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50CC" w14:textId="77777777" w:rsidR="00720043" w:rsidRDefault="00720043" w:rsidP="00720043">
      <w:pPr>
        <w:spacing w:after="360" w:line="360" w:lineRule="auto"/>
        <w:rPr>
          <w:rFonts w:ascii="Arial" w:hAnsi="Arial" w:cs="Arial"/>
          <w:b/>
          <w:bCs/>
          <w:sz w:val="32"/>
          <w:szCs w:val="32"/>
        </w:rPr>
      </w:pPr>
    </w:p>
    <w:p w14:paraId="18406B6B" w14:textId="601680FD" w:rsidR="000777A1" w:rsidRDefault="000777A1" w:rsidP="000777A1">
      <w:pPr>
        <w:spacing w:after="360" w:line="360" w:lineRule="auto"/>
        <w:jc w:val="center"/>
        <w:rPr>
          <w:rFonts w:ascii="Arial" w:hAnsi="Arial" w:cs="Arial"/>
          <w:b/>
          <w:bCs/>
          <w:sz w:val="32"/>
          <w:szCs w:val="32"/>
        </w:rPr>
      </w:pPr>
      <w:r>
        <w:rPr>
          <w:rFonts w:ascii="Arial" w:hAnsi="Arial" w:cs="Arial"/>
          <w:b/>
          <w:bCs/>
          <w:sz w:val="32"/>
          <w:szCs w:val="32"/>
        </w:rPr>
        <w:t>Research Protocol</w:t>
      </w:r>
    </w:p>
    <w:tbl>
      <w:tblPr>
        <w:tblStyle w:val="TableGrid1"/>
        <w:tblW w:w="9072" w:type="dxa"/>
        <w:tblInd w:w="137" w:type="dxa"/>
        <w:tblLook w:val="04A0" w:firstRow="1" w:lastRow="0" w:firstColumn="1" w:lastColumn="0" w:noHBand="0" w:noVBand="1"/>
      </w:tblPr>
      <w:tblGrid>
        <w:gridCol w:w="9072"/>
      </w:tblGrid>
      <w:tr w:rsidR="000777A1" w:rsidRPr="00CD23A5" w14:paraId="3745C6C1" w14:textId="77777777" w:rsidTr="00B84969">
        <w:trPr>
          <w:trHeight w:val="227"/>
        </w:trPr>
        <w:tc>
          <w:tcPr>
            <w:tcW w:w="9072" w:type="dxa"/>
            <w:tcBorders>
              <w:top w:val="single" w:sz="4" w:space="0" w:color="5B9BD5"/>
              <w:left w:val="single" w:sz="4" w:space="0" w:color="5B9BD5"/>
              <w:bottom w:val="single" w:sz="4" w:space="0" w:color="5B9BD5"/>
              <w:right w:val="single" w:sz="4" w:space="0" w:color="5B9BD5"/>
            </w:tcBorders>
            <w:shd w:val="clear" w:color="auto" w:fill="BDD6EE"/>
          </w:tcPr>
          <w:p w14:paraId="148B18DE" w14:textId="77777777" w:rsidR="000777A1" w:rsidRPr="00CD23A5" w:rsidRDefault="000777A1" w:rsidP="00B84969">
            <w:pPr>
              <w:spacing w:before="120" w:line="276" w:lineRule="auto"/>
              <w:rPr>
                <w:rFonts w:ascii="Verdana" w:hAnsi="Verdana"/>
                <w:sz w:val="18"/>
                <w:szCs w:val="18"/>
              </w:rPr>
            </w:pPr>
            <w:r w:rsidRPr="00CD23A5">
              <w:rPr>
                <w:rFonts w:ascii="Calibri" w:hAnsi="Calibri" w:cs="Calibri"/>
                <w:b/>
                <w:color w:val="000000"/>
                <w:sz w:val="20"/>
                <w:szCs w:val="20"/>
              </w:rPr>
              <w:t>T</w:t>
            </w:r>
            <w:r>
              <w:rPr>
                <w:rFonts w:ascii="Calibri" w:hAnsi="Calibri" w:cs="Calibri"/>
                <w:b/>
                <w:color w:val="000000"/>
                <w:sz w:val="20"/>
                <w:szCs w:val="20"/>
              </w:rPr>
              <w:t>i</w:t>
            </w:r>
            <w:r w:rsidRPr="00CD23A5">
              <w:rPr>
                <w:rFonts w:ascii="Calibri" w:hAnsi="Calibri" w:cs="Calibri"/>
                <w:b/>
                <w:color w:val="000000"/>
                <w:sz w:val="20"/>
                <w:szCs w:val="20"/>
              </w:rPr>
              <w:t>tle of project</w:t>
            </w:r>
          </w:p>
        </w:tc>
      </w:tr>
      <w:tr w:rsidR="000777A1" w:rsidRPr="00CD23A5" w14:paraId="4D8460FB" w14:textId="77777777" w:rsidTr="00B84969">
        <w:trPr>
          <w:trHeight w:val="587"/>
        </w:trPr>
        <w:tc>
          <w:tcPr>
            <w:tcW w:w="9072" w:type="dxa"/>
          </w:tcPr>
          <w:p w14:paraId="0AE6A63E" w14:textId="77777777" w:rsidR="000777A1" w:rsidRPr="00CD23A5" w:rsidRDefault="000777A1" w:rsidP="00B84969">
            <w:pPr>
              <w:spacing w:before="120" w:line="276" w:lineRule="auto"/>
              <w:rPr>
                <w:rFonts w:ascii="Calibri" w:hAnsi="Calibri" w:cs="Calibri"/>
                <w:sz w:val="20"/>
                <w:szCs w:val="20"/>
              </w:rPr>
            </w:pPr>
            <w:r w:rsidRPr="00CD23A5">
              <w:rPr>
                <w:rFonts w:ascii="Calibri" w:hAnsi="Calibri" w:cs="Calibri"/>
                <w:sz w:val="20"/>
                <w:szCs w:val="20"/>
              </w:rPr>
              <w:t>Tailored to me: Evaluating the effectiveness and acceptability of behavioural assessments for people living with dementia</w:t>
            </w:r>
          </w:p>
        </w:tc>
      </w:tr>
    </w:tbl>
    <w:p w14:paraId="210819DF" w14:textId="77777777" w:rsidR="00CD23A5" w:rsidRPr="00CD23A5" w:rsidRDefault="00CD23A5" w:rsidP="00CD23A5">
      <w:pPr>
        <w:spacing w:before="120" w:line="276" w:lineRule="auto"/>
        <w:rPr>
          <w:rFonts w:ascii="Verdana" w:eastAsia="Calibri" w:hAnsi="Verdana"/>
          <w:sz w:val="20"/>
          <w:szCs w:val="22"/>
          <w:lang w:val="en-NZ" w:eastAsia="en-US"/>
        </w:rPr>
      </w:pPr>
    </w:p>
    <w:tbl>
      <w:tblPr>
        <w:tblStyle w:val="TableGrid2"/>
        <w:tblW w:w="9072" w:type="dxa"/>
        <w:tblInd w:w="137" w:type="dxa"/>
        <w:tblLook w:val="04A0" w:firstRow="1" w:lastRow="0" w:firstColumn="1" w:lastColumn="0" w:noHBand="0" w:noVBand="1"/>
      </w:tblPr>
      <w:tblGrid>
        <w:gridCol w:w="1276"/>
        <w:gridCol w:w="2835"/>
        <w:gridCol w:w="1984"/>
        <w:gridCol w:w="2977"/>
      </w:tblGrid>
      <w:tr w:rsidR="00CD23A5" w:rsidRPr="00CD23A5" w14:paraId="05673155" w14:textId="77777777" w:rsidTr="000777A1">
        <w:tc>
          <w:tcPr>
            <w:tcW w:w="1276" w:type="dxa"/>
            <w:shd w:val="clear" w:color="auto" w:fill="BDD6EE"/>
            <w:vAlign w:val="center"/>
          </w:tcPr>
          <w:p w14:paraId="4ED53A4E" w14:textId="77777777" w:rsidR="00CD23A5" w:rsidRPr="00CD23A5" w:rsidRDefault="00CD23A5" w:rsidP="00CD23A5">
            <w:pPr>
              <w:spacing w:before="120"/>
              <w:rPr>
                <w:rFonts w:ascii="Calibri" w:hAnsi="Calibri" w:cs="Calibri"/>
                <w:b/>
                <w:sz w:val="20"/>
                <w:szCs w:val="20"/>
              </w:rPr>
            </w:pPr>
            <w:r w:rsidRPr="00CD23A5">
              <w:rPr>
                <w:rFonts w:ascii="Calibri" w:hAnsi="Calibri" w:cs="Calibri"/>
                <w:b/>
                <w:sz w:val="20"/>
                <w:szCs w:val="20"/>
              </w:rPr>
              <w:t>Name:</w:t>
            </w:r>
          </w:p>
        </w:tc>
        <w:tc>
          <w:tcPr>
            <w:tcW w:w="2835" w:type="dxa"/>
            <w:vAlign w:val="center"/>
          </w:tcPr>
          <w:p w14:paraId="652AA850" w14:textId="77777777" w:rsidR="00CD23A5" w:rsidRPr="00CD23A5" w:rsidRDefault="00CD23A5" w:rsidP="00CD23A5">
            <w:pPr>
              <w:spacing w:before="120"/>
              <w:rPr>
                <w:rFonts w:ascii="Calibri" w:hAnsi="Calibri" w:cs="Calibri"/>
                <w:bCs/>
                <w:sz w:val="20"/>
                <w:szCs w:val="20"/>
              </w:rPr>
            </w:pPr>
            <w:r w:rsidRPr="00CD23A5">
              <w:rPr>
                <w:rFonts w:ascii="Calibri" w:hAnsi="Calibri" w:cs="Calibri"/>
                <w:bCs/>
                <w:sz w:val="20"/>
                <w:szCs w:val="20"/>
              </w:rPr>
              <w:t>Rebecca Sharp</w:t>
            </w:r>
          </w:p>
        </w:tc>
        <w:tc>
          <w:tcPr>
            <w:tcW w:w="1984" w:type="dxa"/>
            <w:shd w:val="clear" w:color="auto" w:fill="BDD6EE"/>
            <w:vAlign w:val="center"/>
          </w:tcPr>
          <w:p w14:paraId="3087E712" w14:textId="77777777" w:rsidR="00CD23A5" w:rsidRPr="00CD23A5" w:rsidRDefault="00CD23A5" w:rsidP="00CD23A5">
            <w:pPr>
              <w:spacing w:before="120"/>
              <w:rPr>
                <w:rFonts w:ascii="Calibri" w:hAnsi="Calibri" w:cs="Calibri"/>
                <w:b/>
                <w:sz w:val="20"/>
                <w:szCs w:val="20"/>
              </w:rPr>
            </w:pPr>
            <w:r w:rsidRPr="00CD23A5">
              <w:rPr>
                <w:rFonts w:ascii="Calibri" w:hAnsi="Calibri" w:cs="Calibri"/>
                <w:b/>
                <w:sz w:val="20"/>
                <w:szCs w:val="20"/>
              </w:rPr>
              <w:t>School/Department:</w:t>
            </w:r>
          </w:p>
        </w:tc>
        <w:tc>
          <w:tcPr>
            <w:tcW w:w="2977" w:type="dxa"/>
            <w:vAlign w:val="center"/>
          </w:tcPr>
          <w:p w14:paraId="68B8677E" w14:textId="77777777" w:rsidR="00CD23A5" w:rsidRPr="00CD23A5" w:rsidRDefault="00CD23A5" w:rsidP="00CD23A5">
            <w:pPr>
              <w:spacing w:before="120"/>
              <w:rPr>
                <w:rFonts w:ascii="Calibri" w:hAnsi="Calibri" w:cs="Calibri"/>
                <w:bCs/>
                <w:sz w:val="20"/>
                <w:szCs w:val="20"/>
              </w:rPr>
            </w:pPr>
            <w:r w:rsidRPr="00CD23A5">
              <w:rPr>
                <w:rFonts w:ascii="Calibri" w:hAnsi="Calibri" w:cs="Calibri"/>
                <w:bCs/>
                <w:sz w:val="20"/>
                <w:szCs w:val="20"/>
              </w:rPr>
              <w:t>Psychology</w:t>
            </w:r>
          </w:p>
        </w:tc>
      </w:tr>
      <w:tr w:rsidR="00CD23A5" w:rsidRPr="00CD23A5" w14:paraId="2B0B5FFA" w14:textId="77777777" w:rsidTr="000777A1">
        <w:tc>
          <w:tcPr>
            <w:tcW w:w="1276" w:type="dxa"/>
            <w:shd w:val="clear" w:color="auto" w:fill="BDD6EE"/>
            <w:vAlign w:val="center"/>
          </w:tcPr>
          <w:p w14:paraId="62DC3436" w14:textId="0297F913" w:rsidR="00CD23A5" w:rsidRPr="00CD23A5" w:rsidRDefault="000777A1" w:rsidP="00CD23A5">
            <w:pPr>
              <w:spacing w:before="120"/>
              <w:rPr>
                <w:rFonts w:ascii="Calibri" w:hAnsi="Calibri" w:cs="Calibri"/>
                <w:b/>
                <w:sz w:val="20"/>
                <w:szCs w:val="20"/>
              </w:rPr>
            </w:pPr>
            <w:r>
              <w:rPr>
                <w:rFonts w:ascii="Calibri" w:hAnsi="Calibri" w:cs="Calibri"/>
                <w:b/>
                <w:sz w:val="20"/>
                <w:szCs w:val="20"/>
              </w:rPr>
              <w:t>Institution:</w:t>
            </w:r>
          </w:p>
        </w:tc>
        <w:tc>
          <w:tcPr>
            <w:tcW w:w="2835" w:type="dxa"/>
            <w:vAlign w:val="center"/>
          </w:tcPr>
          <w:p w14:paraId="34CBED82" w14:textId="10A5EA0A" w:rsidR="00CD23A5" w:rsidRPr="00CD23A5" w:rsidRDefault="000777A1" w:rsidP="00CD23A5">
            <w:pPr>
              <w:spacing w:before="120"/>
              <w:rPr>
                <w:rFonts w:ascii="Calibri" w:hAnsi="Calibri" w:cs="Calibri"/>
                <w:bCs/>
                <w:sz w:val="20"/>
                <w:szCs w:val="20"/>
              </w:rPr>
            </w:pPr>
            <w:r>
              <w:rPr>
                <w:rFonts w:ascii="Calibri" w:hAnsi="Calibri" w:cs="Calibri"/>
                <w:bCs/>
                <w:sz w:val="20"/>
                <w:szCs w:val="20"/>
              </w:rPr>
              <w:t>The University of Auckland</w:t>
            </w:r>
          </w:p>
        </w:tc>
        <w:tc>
          <w:tcPr>
            <w:tcW w:w="1984" w:type="dxa"/>
            <w:shd w:val="clear" w:color="auto" w:fill="BDD6EE"/>
            <w:vAlign w:val="center"/>
          </w:tcPr>
          <w:p w14:paraId="0E6371AA" w14:textId="77777777" w:rsidR="00CD23A5" w:rsidRPr="00CD23A5" w:rsidRDefault="00CD23A5" w:rsidP="00CD23A5">
            <w:pPr>
              <w:rPr>
                <w:rFonts w:ascii="Calibri" w:hAnsi="Calibri" w:cs="Calibri"/>
                <w:b/>
                <w:sz w:val="20"/>
                <w:szCs w:val="20"/>
              </w:rPr>
            </w:pPr>
            <w:r w:rsidRPr="00CD23A5">
              <w:rPr>
                <w:rFonts w:ascii="Calibri" w:hAnsi="Calibri" w:cs="Calibri"/>
                <w:b/>
                <w:sz w:val="20"/>
                <w:szCs w:val="20"/>
              </w:rPr>
              <w:t>Email address:</w:t>
            </w:r>
          </w:p>
        </w:tc>
        <w:tc>
          <w:tcPr>
            <w:tcW w:w="2977" w:type="dxa"/>
            <w:vAlign w:val="center"/>
          </w:tcPr>
          <w:p w14:paraId="180C4DA5" w14:textId="77777777" w:rsidR="00CD23A5" w:rsidRPr="00CD23A5" w:rsidRDefault="00CD23A5" w:rsidP="00CD23A5">
            <w:pPr>
              <w:spacing w:before="120"/>
              <w:rPr>
                <w:rFonts w:ascii="Calibri" w:hAnsi="Calibri" w:cs="Calibri"/>
                <w:bCs/>
                <w:sz w:val="20"/>
                <w:szCs w:val="20"/>
              </w:rPr>
            </w:pPr>
            <w:r w:rsidRPr="00CD23A5">
              <w:rPr>
                <w:rFonts w:ascii="Calibri" w:hAnsi="Calibri" w:cs="Calibri"/>
                <w:bCs/>
                <w:sz w:val="20"/>
                <w:szCs w:val="20"/>
              </w:rPr>
              <w:t>r.sharp@auckland.ac.nz</w:t>
            </w:r>
          </w:p>
        </w:tc>
      </w:tr>
    </w:tbl>
    <w:p w14:paraId="3F8C0605" w14:textId="2AD8B31D" w:rsidR="00CD23A5" w:rsidRPr="00CD23A5" w:rsidRDefault="00CD23A5" w:rsidP="00CD23A5">
      <w:pPr>
        <w:spacing w:before="120" w:line="276" w:lineRule="auto"/>
        <w:rPr>
          <w:rFonts w:ascii="Calibri" w:eastAsia="Times New Roman" w:hAnsi="Calibri" w:cs="Calibri"/>
          <w:b/>
          <w:i/>
          <w:sz w:val="20"/>
          <w:szCs w:val="20"/>
          <w:lang w:val="en-NZ" w:eastAsia="en-NZ"/>
        </w:rPr>
      </w:pPr>
      <w:r w:rsidRPr="00CD23A5">
        <w:rPr>
          <w:rFonts w:ascii="Calibri" w:eastAsia="Times New Roman" w:hAnsi="Calibri" w:cs="Calibri"/>
          <w:i/>
          <w:sz w:val="20"/>
          <w:szCs w:val="20"/>
          <w:lang w:val="en-NZ" w:eastAsia="en-NZ"/>
        </w:rPr>
        <w:t xml:space="preserve"> </w:t>
      </w:r>
    </w:p>
    <w:tbl>
      <w:tblPr>
        <w:tblStyle w:val="TableGrid1"/>
        <w:tblW w:w="9072" w:type="dxa"/>
        <w:tblInd w:w="137" w:type="dxa"/>
        <w:tblLook w:val="04A0" w:firstRow="1" w:lastRow="0" w:firstColumn="1" w:lastColumn="0" w:noHBand="0" w:noVBand="1"/>
      </w:tblPr>
      <w:tblGrid>
        <w:gridCol w:w="9072"/>
      </w:tblGrid>
      <w:tr w:rsidR="00CD23A5" w:rsidRPr="00CD23A5" w14:paraId="71837D2D" w14:textId="77777777" w:rsidTr="00CD23A5">
        <w:trPr>
          <w:trHeight w:val="227"/>
        </w:trPr>
        <w:tc>
          <w:tcPr>
            <w:tcW w:w="9072" w:type="dxa"/>
            <w:tcBorders>
              <w:top w:val="single" w:sz="4" w:space="0" w:color="5B9BD5"/>
              <w:left w:val="single" w:sz="4" w:space="0" w:color="5B9BD5"/>
              <w:bottom w:val="single" w:sz="4" w:space="0" w:color="5B9BD5"/>
              <w:right w:val="single" w:sz="4" w:space="0" w:color="5B9BD5"/>
            </w:tcBorders>
            <w:shd w:val="clear" w:color="auto" w:fill="BDD6EE"/>
          </w:tcPr>
          <w:p w14:paraId="32A14FE9" w14:textId="75C2BF03" w:rsidR="00CD23A5" w:rsidRPr="00CD23A5" w:rsidRDefault="00CD23A5" w:rsidP="00CD23A5">
            <w:pPr>
              <w:spacing w:before="120" w:line="276" w:lineRule="auto"/>
              <w:rPr>
                <w:rFonts w:ascii="Calibri" w:hAnsi="Calibri" w:cs="Calibri"/>
                <w:b/>
                <w:color w:val="000000"/>
                <w:sz w:val="20"/>
                <w:szCs w:val="20"/>
              </w:rPr>
            </w:pPr>
            <w:bookmarkStart w:id="0" w:name="_Hlk128665967"/>
            <w:r w:rsidRPr="00CD23A5">
              <w:rPr>
                <w:rFonts w:ascii="Calibri" w:hAnsi="Calibri" w:cs="Calibri"/>
                <w:b/>
                <w:color w:val="000000"/>
                <w:sz w:val="20"/>
                <w:szCs w:val="20"/>
              </w:rPr>
              <w:t xml:space="preserve">Project summary. </w:t>
            </w:r>
          </w:p>
        </w:tc>
      </w:tr>
      <w:tr w:rsidR="00CD23A5" w:rsidRPr="00CD23A5" w14:paraId="40F55A33" w14:textId="77777777" w:rsidTr="00CD23A5">
        <w:trPr>
          <w:trHeight w:val="613"/>
        </w:trPr>
        <w:tc>
          <w:tcPr>
            <w:tcW w:w="9072" w:type="dxa"/>
          </w:tcPr>
          <w:p w14:paraId="5C6617E3"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It is emphasized in the New Zealand Framework for Dementia Care (Ministry of Health, 2013) that people and their care partners should be able to access support for behaviour strategies (including functional analysis; page 39). Despite an increasing body of evidence to show that behavioural principles and technologies can improve the quality of life of people living with dementia, the literature remains limited (Trahan et al., 2011). Additionally, many of the evidence-based assessments used to establish interventions and supports were designed and validated with people with disabilities. As such, there may be aspects of these methods that require adapting for use with people with dementia. For example, Sharp et al. (2023) found that 20% of studies in behavioural gerontology reported difficulties implementing or requiring changes to the method. Assessments may also require adaptation to ensure social validity (i.e., they are acceptable and liked; Wolf, 1978).</w:t>
            </w:r>
          </w:p>
          <w:p w14:paraId="53AF5913"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This research will focus on two core assessment methods in behaviour analysis; preference assessments used to identify preferred activities, objects, and food, and functional assessments used to identify the contingencies maintaining problematic behaviour. Both have been used to support people with dementia (e.g., Baker et al., 2006; </w:t>
            </w:r>
            <w:proofErr w:type="spellStart"/>
            <w:r w:rsidRPr="00CD23A5">
              <w:rPr>
                <w:rFonts w:ascii="Calibri" w:hAnsi="Calibri" w:cs="Calibri"/>
                <w:sz w:val="20"/>
                <w:szCs w:val="20"/>
              </w:rPr>
              <w:t>Virués</w:t>
            </w:r>
            <w:proofErr w:type="spellEnd"/>
            <w:r w:rsidRPr="00CD23A5">
              <w:rPr>
                <w:rFonts w:ascii="Calibri" w:hAnsi="Calibri" w:cs="Calibri"/>
                <w:sz w:val="20"/>
                <w:szCs w:val="20"/>
              </w:rPr>
              <w:t xml:space="preserve">-Ortega et al., 2012), however the aim of this project is to determine how they should be adapted to be effective and acceptable.   </w:t>
            </w:r>
          </w:p>
          <w:p w14:paraId="08F9002D"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Baker, J.  C., Hanley, G.  P., &amp; Mathews, R.  M. (2006). Staff-administered functional analysis and treatment of aggression by an elder with dementia. </w:t>
            </w:r>
            <w:r w:rsidRPr="00CD23A5">
              <w:rPr>
                <w:rFonts w:ascii="Calibri" w:hAnsi="Calibri" w:cs="Calibri"/>
                <w:i/>
                <w:iCs/>
                <w:sz w:val="20"/>
                <w:szCs w:val="20"/>
              </w:rPr>
              <w:t xml:space="preserve">Journal of Applied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 39</w:t>
            </w:r>
            <w:r w:rsidRPr="00CD23A5">
              <w:rPr>
                <w:rFonts w:ascii="Calibri" w:hAnsi="Calibri" w:cs="Calibri"/>
                <w:sz w:val="20"/>
                <w:szCs w:val="20"/>
              </w:rPr>
              <w:t xml:space="preserve">(4), 469–474. </w:t>
            </w:r>
            <w:hyperlink r:id="rId8" w:history="1">
              <w:r w:rsidRPr="00CD23A5">
                <w:rPr>
                  <w:rFonts w:ascii="Calibri" w:hAnsi="Calibri" w:cs="Calibri"/>
                  <w:color w:val="0563C1"/>
                  <w:sz w:val="20"/>
                  <w:szCs w:val="20"/>
                  <w:u w:val="single"/>
                </w:rPr>
                <w:t>https://doi.org/10.1901/jaba.2006.80-05</w:t>
              </w:r>
            </w:hyperlink>
          </w:p>
          <w:p w14:paraId="538882C2"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Ministry of Health. (2013). New Zealand Framework for Dementia Care. Wellington: Ministry of Health. </w:t>
            </w:r>
            <w:hyperlink r:id="rId9" w:history="1">
              <w:r w:rsidRPr="00CD23A5">
                <w:rPr>
                  <w:rFonts w:ascii="Calibri" w:hAnsi="Calibri" w:cs="Calibri"/>
                  <w:color w:val="0563C1"/>
                  <w:sz w:val="20"/>
                  <w:szCs w:val="20"/>
                  <w:u w:val="single"/>
                </w:rPr>
                <w:t>https://www.health.govt.nz/system/files/documents/publications/new-zealand-framework-for-dementia-care-nov13.pdf</w:t>
              </w:r>
            </w:hyperlink>
          </w:p>
          <w:p w14:paraId="370D2019" w14:textId="77777777" w:rsidR="00CD23A5" w:rsidRPr="00CD23A5" w:rsidRDefault="00CD23A5" w:rsidP="00CD23A5">
            <w:pPr>
              <w:spacing w:before="120" w:line="276" w:lineRule="auto"/>
              <w:rPr>
                <w:rFonts w:ascii="Calibri" w:hAnsi="Calibri" w:cs="Calibri"/>
                <w:i/>
                <w:iCs/>
                <w:sz w:val="20"/>
                <w:szCs w:val="20"/>
              </w:rPr>
            </w:pPr>
            <w:r w:rsidRPr="00CD23A5">
              <w:rPr>
                <w:rFonts w:ascii="Calibri" w:hAnsi="Calibri" w:cs="Calibri"/>
                <w:sz w:val="20"/>
                <w:szCs w:val="20"/>
              </w:rPr>
              <w:t xml:space="preserve">Sharp, R. A., Brand, D., </w:t>
            </w:r>
            <w:proofErr w:type="spellStart"/>
            <w:r w:rsidRPr="00CD23A5">
              <w:rPr>
                <w:rFonts w:ascii="Calibri" w:hAnsi="Calibri" w:cs="Calibri"/>
                <w:sz w:val="20"/>
                <w:szCs w:val="20"/>
              </w:rPr>
              <w:t>Virués</w:t>
            </w:r>
            <w:proofErr w:type="spellEnd"/>
            <w:r w:rsidRPr="00CD23A5">
              <w:rPr>
                <w:rFonts w:ascii="Calibri" w:hAnsi="Calibri" w:cs="Calibri"/>
                <w:sz w:val="20"/>
                <w:szCs w:val="20"/>
              </w:rPr>
              <w:t xml:space="preserve">-Ortega, J., &amp; Cowie, S. (2023, in preparation). </w:t>
            </w:r>
            <w:r w:rsidRPr="00CD23A5">
              <w:rPr>
                <w:rFonts w:ascii="Calibri" w:hAnsi="Calibri" w:cs="Calibri"/>
                <w:i/>
                <w:iCs/>
                <w:sz w:val="20"/>
                <w:szCs w:val="20"/>
              </w:rPr>
              <w:t xml:space="preserve">Contributions of Applied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 to the Design of Prosthetic Environments for People with Dementia: A Systematic Review</w:t>
            </w:r>
          </w:p>
          <w:p w14:paraId="0D952DD6"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Trahan, M. A., Kahng, S., Fisher, A. B., &amp; Hausman, N. L. (2011). </w:t>
            </w:r>
            <w:proofErr w:type="spellStart"/>
            <w:r w:rsidRPr="00CD23A5">
              <w:rPr>
                <w:rFonts w:ascii="Calibri" w:hAnsi="Calibri" w:cs="Calibri"/>
                <w:sz w:val="20"/>
                <w:szCs w:val="20"/>
              </w:rPr>
              <w:t>Behavior</w:t>
            </w:r>
            <w:proofErr w:type="spellEnd"/>
            <w:r w:rsidRPr="00CD23A5">
              <w:rPr>
                <w:rFonts w:ascii="Calibri" w:hAnsi="Calibri" w:cs="Calibri"/>
                <w:sz w:val="20"/>
                <w:szCs w:val="20"/>
              </w:rPr>
              <w:t xml:space="preserve">-analytic research on dementia in older adults. </w:t>
            </w:r>
            <w:r w:rsidRPr="00CD23A5">
              <w:rPr>
                <w:rFonts w:ascii="Calibri" w:hAnsi="Calibri" w:cs="Calibri"/>
                <w:i/>
                <w:iCs/>
                <w:sz w:val="20"/>
                <w:szCs w:val="20"/>
              </w:rPr>
              <w:t xml:space="preserve">Journal of Applied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 44</w:t>
            </w:r>
            <w:r w:rsidRPr="00CD23A5">
              <w:rPr>
                <w:rFonts w:ascii="Calibri" w:hAnsi="Calibri" w:cs="Calibri"/>
                <w:sz w:val="20"/>
                <w:szCs w:val="20"/>
              </w:rPr>
              <w:t xml:space="preserve">, 687-691. </w:t>
            </w:r>
            <w:hyperlink r:id="rId10" w:history="1">
              <w:r w:rsidRPr="00CD23A5">
                <w:rPr>
                  <w:rFonts w:ascii="Calibri" w:hAnsi="Calibri" w:cs="Calibri"/>
                  <w:color w:val="0563C1"/>
                  <w:sz w:val="20"/>
                  <w:szCs w:val="20"/>
                  <w:u w:val="single"/>
                </w:rPr>
                <w:t>https://doi.org/10.1901/jaba.2011.44-687</w:t>
              </w:r>
            </w:hyperlink>
          </w:p>
          <w:p w14:paraId="2F0C1A8C"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 </w:t>
            </w:r>
            <w:proofErr w:type="spellStart"/>
            <w:r w:rsidRPr="00CD23A5">
              <w:rPr>
                <w:rFonts w:ascii="Calibri" w:hAnsi="Calibri" w:cs="Calibri"/>
                <w:sz w:val="20"/>
                <w:szCs w:val="20"/>
              </w:rPr>
              <w:t>Virués</w:t>
            </w:r>
            <w:proofErr w:type="spellEnd"/>
            <w:r w:rsidRPr="00CD23A5">
              <w:rPr>
                <w:rFonts w:ascii="Calibri" w:hAnsi="Calibri" w:cs="Calibri"/>
                <w:sz w:val="20"/>
                <w:szCs w:val="20"/>
              </w:rPr>
              <w:t xml:space="preserve">-Ortega, J., Iwata, B. A., Nogales-González, C., &amp; </w:t>
            </w:r>
            <w:proofErr w:type="spellStart"/>
            <w:r w:rsidRPr="00CD23A5">
              <w:rPr>
                <w:rFonts w:ascii="Calibri" w:hAnsi="Calibri" w:cs="Calibri"/>
                <w:sz w:val="20"/>
                <w:szCs w:val="20"/>
              </w:rPr>
              <w:t>Frades</w:t>
            </w:r>
            <w:proofErr w:type="spellEnd"/>
            <w:r w:rsidRPr="00CD23A5">
              <w:rPr>
                <w:rFonts w:ascii="Calibri" w:hAnsi="Calibri" w:cs="Calibri"/>
                <w:sz w:val="20"/>
                <w:szCs w:val="20"/>
              </w:rPr>
              <w:t>, B. (2012). Assessment of preference for edible and leisure items in individuals with dementia</w:t>
            </w:r>
            <w:r w:rsidRPr="00CD23A5">
              <w:rPr>
                <w:rFonts w:ascii="Calibri" w:hAnsi="Calibri" w:cs="Calibri"/>
                <w:i/>
                <w:iCs/>
                <w:sz w:val="20"/>
                <w:szCs w:val="20"/>
              </w:rPr>
              <w:t xml:space="preserve">. Journal of Applied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 45</w:t>
            </w:r>
            <w:r w:rsidRPr="00CD23A5">
              <w:rPr>
                <w:rFonts w:ascii="Calibri" w:hAnsi="Calibri" w:cs="Calibri"/>
                <w:sz w:val="20"/>
                <w:szCs w:val="20"/>
              </w:rPr>
              <w:t xml:space="preserve">(4), 839–844. </w:t>
            </w:r>
            <w:hyperlink r:id="rId11" w:history="1">
              <w:r w:rsidRPr="00CD23A5">
                <w:rPr>
                  <w:rFonts w:ascii="Calibri" w:hAnsi="Calibri" w:cs="Calibri"/>
                  <w:color w:val="0563C1"/>
                  <w:sz w:val="20"/>
                  <w:szCs w:val="20"/>
                  <w:u w:val="single"/>
                </w:rPr>
                <w:t>https://doi.org/10.1901/jaba.2012.45-839</w:t>
              </w:r>
            </w:hyperlink>
          </w:p>
          <w:p w14:paraId="7E634259"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lastRenderedPageBreak/>
              <w:t xml:space="preserve">Wolf, M. M. (1978). Social validity: the case for subjective measurement or how applied </w:t>
            </w:r>
            <w:proofErr w:type="spellStart"/>
            <w:r w:rsidRPr="00CD23A5">
              <w:rPr>
                <w:rFonts w:ascii="Calibri" w:hAnsi="Calibri" w:cs="Calibri"/>
                <w:sz w:val="20"/>
                <w:szCs w:val="20"/>
              </w:rPr>
              <w:t>behavior</w:t>
            </w:r>
            <w:proofErr w:type="spellEnd"/>
            <w:r w:rsidRPr="00CD23A5">
              <w:rPr>
                <w:rFonts w:ascii="Calibri" w:hAnsi="Calibri" w:cs="Calibri"/>
                <w:sz w:val="20"/>
                <w:szCs w:val="20"/>
              </w:rPr>
              <w:t xml:space="preserve"> analysis is finding its heart 1. </w:t>
            </w:r>
            <w:r w:rsidRPr="00CD23A5">
              <w:rPr>
                <w:rFonts w:ascii="Calibri" w:hAnsi="Calibri" w:cs="Calibri"/>
                <w:i/>
                <w:iCs/>
                <w:sz w:val="20"/>
                <w:szCs w:val="20"/>
              </w:rPr>
              <w:t xml:space="preserve">Journal of Applied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w:t>
            </w:r>
            <w:r w:rsidRPr="00CD23A5">
              <w:rPr>
                <w:rFonts w:ascii="Calibri" w:hAnsi="Calibri" w:cs="Calibri"/>
                <w:sz w:val="20"/>
                <w:szCs w:val="20"/>
              </w:rPr>
              <w:t>, </w:t>
            </w:r>
            <w:r w:rsidRPr="00CD23A5">
              <w:rPr>
                <w:rFonts w:ascii="Calibri" w:hAnsi="Calibri" w:cs="Calibri"/>
                <w:i/>
                <w:iCs/>
                <w:sz w:val="20"/>
                <w:szCs w:val="20"/>
              </w:rPr>
              <w:t>11</w:t>
            </w:r>
            <w:r w:rsidRPr="00CD23A5">
              <w:rPr>
                <w:rFonts w:ascii="Calibri" w:hAnsi="Calibri" w:cs="Calibri"/>
                <w:sz w:val="20"/>
                <w:szCs w:val="20"/>
              </w:rPr>
              <w:t>(2), 203-214.</w:t>
            </w:r>
            <w:r w:rsidRPr="00CD23A5">
              <w:rPr>
                <w:rFonts w:ascii="Verdana" w:hAnsi="Verdana"/>
                <w:sz w:val="20"/>
                <w:szCs w:val="20"/>
              </w:rPr>
              <w:t xml:space="preserve"> </w:t>
            </w:r>
            <w:hyperlink r:id="rId12" w:history="1">
              <w:r w:rsidRPr="00CD23A5">
                <w:rPr>
                  <w:rFonts w:ascii="Calibri" w:hAnsi="Calibri" w:cs="Calibri"/>
                  <w:color w:val="0563C1"/>
                  <w:sz w:val="20"/>
                  <w:szCs w:val="20"/>
                  <w:u w:val="single"/>
                </w:rPr>
                <w:t>https://doi.org/10.1901/jaba.1978.11-203</w:t>
              </w:r>
            </w:hyperlink>
          </w:p>
        </w:tc>
      </w:tr>
      <w:bookmarkEnd w:id="0"/>
    </w:tbl>
    <w:p w14:paraId="1F9238C3" w14:textId="77777777" w:rsidR="00CD23A5" w:rsidRPr="00CD23A5" w:rsidRDefault="00CD23A5" w:rsidP="00CD23A5">
      <w:pPr>
        <w:spacing w:before="120" w:line="276" w:lineRule="auto"/>
        <w:rPr>
          <w:rFonts w:ascii="Verdana" w:eastAsia="Calibri" w:hAnsi="Verdana"/>
          <w:sz w:val="20"/>
          <w:szCs w:val="22"/>
          <w:lang w:val="en-NZ" w:eastAsia="en-US"/>
        </w:rPr>
      </w:pPr>
    </w:p>
    <w:tbl>
      <w:tblPr>
        <w:tblStyle w:val="TableGrid1"/>
        <w:tblW w:w="9072" w:type="dxa"/>
        <w:tblInd w:w="137" w:type="dxa"/>
        <w:tblLook w:val="04A0" w:firstRow="1" w:lastRow="0" w:firstColumn="1" w:lastColumn="0" w:noHBand="0" w:noVBand="1"/>
      </w:tblPr>
      <w:tblGrid>
        <w:gridCol w:w="9072"/>
      </w:tblGrid>
      <w:tr w:rsidR="00CD23A5" w:rsidRPr="00CD23A5" w14:paraId="60AEB425" w14:textId="77777777" w:rsidTr="00CD23A5">
        <w:trPr>
          <w:trHeight w:val="227"/>
        </w:trPr>
        <w:tc>
          <w:tcPr>
            <w:tcW w:w="9072" w:type="dxa"/>
            <w:tcBorders>
              <w:top w:val="single" w:sz="4" w:space="0" w:color="5B9BD5"/>
              <w:left w:val="single" w:sz="4" w:space="0" w:color="5B9BD5"/>
              <w:bottom w:val="single" w:sz="4" w:space="0" w:color="5B9BD5"/>
              <w:right w:val="single" w:sz="4" w:space="0" w:color="5B9BD5"/>
            </w:tcBorders>
            <w:shd w:val="clear" w:color="auto" w:fill="BDD6EE"/>
          </w:tcPr>
          <w:p w14:paraId="3842406F" w14:textId="292CA1B6" w:rsidR="00CD23A5" w:rsidRPr="00CD23A5" w:rsidRDefault="00CD23A5" w:rsidP="00CD23A5">
            <w:pPr>
              <w:spacing w:before="120" w:line="276" w:lineRule="auto"/>
              <w:rPr>
                <w:rFonts w:ascii="Calibri" w:hAnsi="Calibri" w:cs="Calibri"/>
                <w:b/>
                <w:color w:val="000000"/>
                <w:sz w:val="20"/>
                <w:szCs w:val="20"/>
              </w:rPr>
            </w:pPr>
            <w:r w:rsidRPr="00CD23A5">
              <w:rPr>
                <w:rFonts w:ascii="Calibri" w:hAnsi="Calibri" w:cs="Calibri"/>
                <w:b/>
                <w:color w:val="000000"/>
                <w:sz w:val="20"/>
                <w:szCs w:val="20"/>
              </w:rPr>
              <w:t>Project details.</w:t>
            </w:r>
            <w:r w:rsidRPr="00CD23A5">
              <w:rPr>
                <w:rFonts w:ascii="Calibri" w:hAnsi="Calibri" w:cs="Calibri"/>
                <w:color w:val="000000"/>
                <w:sz w:val="20"/>
                <w:szCs w:val="20"/>
              </w:rPr>
              <w:t xml:space="preserve"> </w:t>
            </w:r>
          </w:p>
        </w:tc>
      </w:tr>
      <w:tr w:rsidR="00CD23A5" w:rsidRPr="00CD23A5" w14:paraId="1684EBA4" w14:textId="77777777" w:rsidTr="00CD23A5">
        <w:trPr>
          <w:trHeight w:val="623"/>
        </w:trPr>
        <w:tc>
          <w:tcPr>
            <w:tcW w:w="9072" w:type="dxa"/>
          </w:tcPr>
          <w:p w14:paraId="2941D6C5"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The overarching goal is to determine how to ensure that behavioural methods are effective and socially valid to support people with dementia. </w:t>
            </w:r>
          </w:p>
          <w:p w14:paraId="5DD9098C" w14:textId="503CFE51" w:rsidR="00CD23A5" w:rsidRPr="00CD23A5" w:rsidRDefault="00CD23A5" w:rsidP="00CD23A5">
            <w:pPr>
              <w:spacing w:before="120" w:line="276" w:lineRule="auto"/>
              <w:rPr>
                <w:rFonts w:ascii="Calibri" w:hAnsi="Calibri" w:cs="Calibri"/>
                <w:i/>
                <w:iCs/>
                <w:sz w:val="20"/>
                <w:szCs w:val="20"/>
              </w:rPr>
            </w:pPr>
            <w:r w:rsidRPr="00CD23A5">
              <w:rPr>
                <w:rFonts w:ascii="Calibri" w:hAnsi="Calibri" w:cs="Calibri"/>
                <w:b/>
                <w:bCs/>
                <w:i/>
                <w:iCs/>
                <w:sz w:val="20"/>
                <w:szCs w:val="20"/>
              </w:rPr>
              <w:t>Study 1.</w:t>
            </w:r>
            <w:r w:rsidRPr="00CD23A5">
              <w:rPr>
                <w:rFonts w:ascii="Calibri" w:hAnsi="Calibri" w:cs="Calibri"/>
                <w:i/>
                <w:iCs/>
                <w:sz w:val="20"/>
                <w:szCs w:val="20"/>
              </w:rPr>
              <w:t xml:space="preserve"> A scoping review of preference assessment methods for use with people with dementia.</w:t>
            </w:r>
          </w:p>
          <w:p w14:paraId="6A5032B9"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We will systematically explore the literature, extracting data such as diagnosis, abilities, setting, effectiveness, and reported difficulties administering the assessment. This will allow for a synthesis of what is currently known about the use of these assessments. </w:t>
            </w:r>
          </w:p>
          <w:p w14:paraId="21B6CE82" w14:textId="77777777" w:rsidR="00CD23A5" w:rsidRPr="00CD23A5" w:rsidRDefault="00CD23A5" w:rsidP="00CD23A5">
            <w:pPr>
              <w:spacing w:before="120" w:line="276" w:lineRule="auto"/>
              <w:rPr>
                <w:rFonts w:ascii="Calibri" w:hAnsi="Calibri" w:cs="Calibri"/>
                <w:i/>
                <w:iCs/>
                <w:sz w:val="20"/>
                <w:szCs w:val="20"/>
              </w:rPr>
            </w:pPr>
            <w:r w:rsidRPr="00CD23A5">
              <w:rPr>
                <w:rFonts w:ascii="Calibri" w:hAnsi="Calibri" w:cs="Calibri"/>
                <w:b/>
                <w:bCs/>
                <w:i/>
                <w:iCs/>
                <w:sz w:val="20"/>
                <w:szCs w:val="20"/>
              </w:rPr>
              <w:t>Study 2.</w:t>
            </w:r>
            <w:r w:rsidRPr="00CD23A5">
              <w:rPr>
                <w:rFonts w:ascii="Calibri" w:hAnsi="Calibri" w:cs="Calibri"/>
                <w:i/>
                <w:iCs/>
                <w:sz w:val="20"/>
                <w:szCs w:val="20"/>
              </w:rPr>
              <w:t xml:space="preserve"> An evaluation of the a) effectiveness and b) social validity of preference assessments for use with people with dementia. </w:t>
            </w:r>
          </w:p>
          <w:p w14:paraId="7D1D08E5" w14:textId="77777777" w:rsid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We will recruit and work alongside services, care partners, and people with dementia. For each participant, we will administer the suite of preference assessments (e.g., multiple stimulus without replacement; Raetz et al. 2013, free operant, Roane et al. 1998) to evaluate effectiveness and acceptability.</w:t>
            </w:r>
          </w:p>
          <w:p w14:paraId="47DF5D1D" w14:textId="20B3EC79" w:rsidR="00226607" w:rsidRPr="00226607" w:rsidRDefault="00226607" w:rsidP="00226607">
            <w:pPr>
              <w:spacing w:before="120" w:line="276" w:lineRule="auto"/>
              <w:ind w:left="360"/>
              <w:rPr>
                <w:rFonts w:ascii="Calibri" w:hAnsi="Calibri" w:cs="Calibri"/>
                <w:b/>
                <w:bCs/>
                <w:sz w:val="20"/>
                <w:szCs w:val="20"/>
              </w:rPr>
            </w:pPr>
            <w:r w:rsidRPr="00226607">
              <w:rPr>
                <w:rFonts w:ascii="Calibri" w:hAnsi="Calibri" w:cs="Calibri"/>
                <w:b/>
                <w:bCs/>
                <w:sz w:val="20"/>
                <w:szCs w:val="20"/>
              </w:rPr>
              <w:t>Study components:</w:t>
            </w:r>
          </w:p>
          <w:p w14:paraId="5CB32649" w14:textId="16B12176" w:rsidR="00226607" w:rsidRPr="00226607" w:rsidRDefault="00226607" w:rsidP="00CE35C7">
            <w:pPr>
              <w:pStyle w:val="ListParagraph"/>
              <w:numPr>
                <w:ilvl w:val="0"/>
                <w:numId w:val="21"/>
              </w:numPr>
              <w:spacing w:before="120" w:line="276" w:lineRule="auto"/>
              <w:rPr>
                <w:rFonts w:ascii="Calibri" w:hAnsi="Calibri" w:cs="Calibri"/>
                <w:sz w:val="20"/>
                <w:szCs w:val="20"/>
              </w:rPr>
            </w:pPr>
            <w:r w:rsidRPr="00226607">
              <w:rPr>
                <w:rFonts w:ascii="Calibri" w:hAnsi="Calibri" w:cs="Calibri"/>
                <w:b/>
                <w:bCs/>
                <w:sz w:val="20"/>
                <w:szCs w:val="20"/>
              </w:rPr>
              <w:t xml:space="preserve">Survey </w:t>
            </w:r>
            <w:r w:rsidRPr="00226607">
              <w:rPr>
                <w:rFonts w:ascii="Calibri" w:hAnsi="Calibri" w:cs="Calibri"/>
                <w:sz w:val="20"/>
                <w:szCs w:val="20"/>
              </w:rPr>
              <w:t xml:space="preserve">(professional care givers and whanau): Professional caregivers and whanau will be given a social validity survey in paper form to fill out before the beginning of the project, after the first preference assessment and after the second preference assessment. The social validity survey will be multiple choice and take approximately 5-10 minutes to complete. </w:t>
            </w:r>
          </w:p>
          <w:p w14:paraId="2ED6D7BC" w14:textId="77777777" w:rsidR="00226607" w:rsidRDefault="00226607" w:rsidP="00CE35C7">
            <w:pPr>
              <w:pStyle w:val="ListParagraph"/>
              <w:numPr>
                <w:ilvl w:val="0"/>
                <w:numId w:val="21"/>
              </w:numPr>
              <w:spacing w:before="120" w:line="276" w:lineRule="auto"/>
              <w:rPr>
                <w:rFonts w:ascii="Calibri" w:hAnsi="Calibri" w:cs="Calibri"/>
                <w:sz w:val="20"/>
                <w:szCs w:val="20"/>
              </w:rPr>
            </w:pPr>
            <w:r w:rsidRPr="00226607">
              <w:rPr>
                <w:rFonts w:ascii="Calibri" w:hAnsi="Calibri" w:cs="Calibri"/>
                <w:b/>
                <w:bCs/>
                <w:sz w:val="20"/>
                <w:szCs w:val="20"/>
              </w:rPr>
              <w:t>Phase 1.</w:t>
            </w:r>
            <w:r w:rsidRPr="00226607">
              <w:rPr>
                <w:rFonts w:ascii="Calibri" w:hAnsi="Calibri" w:cs="Calibri"/>
                <w:sz w:val="20"/>
                <w:szCs w:val="20"/>
              </w:rPr>
              <w:t xml:space="preserve"> Preference assessment (participants living with dementia): During the baseline session, participants with major neurocognitive disorder will participate in a preference assessment used to assess the participants preference of food, </w:t>
            </w:r>
            <w:proofErr w:type="gramStart"/>
            <w:r w:rsidRPr="00226607">
              <w:rPr>
                <w:rFonts w:ascii="Calibri" w:hAnsi="Calibri" w:cs="Calibri"/>
                <w:sz w:val="20"/>
                <w:szCs w:val="20"/>
              </w:rPr>
              <w:t>objects</w:t>
            </w:r>
            <w:proofErr w:type="gramEnd"/>
            <w:r w:rsidRPr="00226607">
              <w:rPr>
                <w:rFonts w:ascii="Calibri" w:hAnsi="Calibri" w:cs="Calibri"/>
                <w:sz w:val="20"/>
                <w:szCs w:val="20"/>
              </w:rPr>
              <w:t xml:space="preserve"> and activities. This preference assessment may by MSWO or free-operant, depending on the individual participant. The participant will be instructed by the researcher to choose between the options </w:t>
            </w:r>
            <w:proofErr w:type="gramStart"/>
            <w:r w:rsidRPr="00226607">
              <w:rPr>
                <w:rFonts w:ascii="Calibri" w:hAnsi="Calibri" w:cs="Calibri"/>
                <w:sz w:val="20"/>
                <w:szCs w:val="20"/>
              </w:rPr>
              <w:t>available, and</w:t>
            </w:r>
            <w:proofErr w:type="gramEnd"/>
            <w:r w:rsidRPr="00226607">
              <w:rPr>
                <w:rFonts w:ascii="Calibri" w:hAnsi="Calibri" w:cs="Calibri"/>
                <w:sz w:val="20"/>
                <w:szCs w:val="20"/>
              </w:rPr>
              <w:t xml:space="preserve"> make their preference of the options. Or in the case of the free-operant preference assessment, researchers will be observing the participants interaction with different objects food or activities. The baseline sessions will be approximately 30 minutes, and there will be one to four baseline sessions conducted with each participant (no more than two sessions a day). The baseline conditions will run for approximately 4 weeks. </w:t>
            </w:r>
          </w:p>
          <w:p w14:paraId="0E33678E" w14:textId="77777777" w:rsidR="00CE35C7" w:rsidRDefault="00226607" w:rsidP="00CE35C7">
            <w:pPr>
              <w:pStyle w:val="ListParagraph"/>
              <w:numPr>
                <w:ilvl w:val="0"/>
                <w:numId w:val="21"/>
              </w:numPr>
              <w:spacing w:before="120" w:line="276" w:lineRule="auto"/>
              <w:rPr>
                <w:rFonts w:ascii="Calibri" w:hAnsi="Calibri" w:cs="Calibri"/>
                <w:sz w:val="20"/>
                <w:szCs w:val="20"/>
              </w:rPr>
            </w:pPr>
            <w:r w:rsidRPr="00226607">
              <w:rPr>
                <w:rFonts w:ascii="Calibri" w:hAnsi="Calibri" w:cs="Calibri"/>
                <w:b/>
                <w:bCs/>
                <w:sz w:val="20"/>
                <w:szCs w:val="20"/>
              </w:rPr>
              <w:t>Phase 2.</w:t>
            </w:r>
            <w:r w:rsidRPr="00226607">
              <w:rPr>
                <w:rFonts w:ascii="Calibri" w:hAnsi="Calibri" w:cs="Calibri"/>
                <w:sz w:val="20"/>
                <w:szCs w:val="20"/>
              </w:rPr>
              <w:t xml:space="preserve"> Adapted preference assessment (participants with dementia): We will conduct adapted preference assessments with the participants involved, through cooperation with behaviour analysts, professional </w:t>
            </w:r>
            <w:proofErr w:type="spellStart"/>
            <w:r w:rsidRPr="00226607">
              <w:rPr>
                <w:rFonts w:ascii="Calibri" w:hAnsi="Calibri" w:cs="Calibri"/>
                <w:sz w:val="20"/>
                <w:szCs w:val="20"/>
              </w:rPr>
              <w:t>carers</w:t>
            </w:r>
            <w:proofErr w:type="spellEnd"/>
            <w:r w:rsidRPr="00226607">
              <w:rPr>
                <w:rFonts w:ascii="Calibri" w:hAnsi="Calibri" w:cs="Calibri"/>
                <w:sz w:val="20"/>
                <w:szCs w:val="20"/>
              </w:rPr>
              <w:t xml:space="preserve"> and whanau through social validity surveys and questionnaires. The participants will undergo another preference assessment, however, this time it is adapted to measure the effect on different indices of happiness and effectiveness of the procedure. The participants will again be given options of preferred items, </w:t>
            </w:r>
            <w:proofErr w:type="gramStart"/>
            <w:r w:rsidRPr="00226607">
              <w:rPr>
                <w:rFonts w:ascii="Calibri" w:hAnsi="Calibri" w:cs="Calibri"/>
                <w:sz w:val="20"/>
                <w:szCs w:val="20"/>
              </w:rPr>
              <w:t>food</w:t>
            </w:r>
            <w:proofErr w:type="gramEnd"/>
            <w:r w:rsidRPr="00226607">
              <w:rPr>
                <w:rFonts w:ascii="Calibri" w:hAnsi="Calibri" w:cs="Calibri"/>
                <w:sz w:val="20"/>
                <w:szCs w:val="20"/>
              </w:rPr>
              <w:t xml:space="preserve"> or activities, same as in baseline condition, however with the adaptions made to the procedure by the experimenters. These sessions will also be approximately 30 minutes, and there will be one to four adapted preference assessments per participant (no more than two sessions a day). This adapted preference assessment phase will run for approximately 4 weeks. </w:t>
            </w:r>
          </w:p>
          <w:p w14:paraId="2689F147" w14:textId="04768628" w:rsidR="00226607" w:rsidRPr="00CE35C7" w:rsidRDefault="00226607" w:rsidP="00CE35C7">
            <w:pPr>
              <w:pStyle w:val="ListParagraph"/>
              <w:numPr>
                <w:ilvl w:val="0"/>
                <w:numId w:val="21"/>
              </w:numPr>
              <w:spacing w:before="120" w:line="276" w:lineRule="auto"/>
              <w:rPr>
                <w:rFonts w:ascii="Calibri" w:hAnsi="Calibri" w:cs="Calibri"/>
                <w:sz w:val="20"/>
                <w:szCs w:val="20"/>
              </w:rPr>
            </w:pPr>
            <w:r w:rsidRPr="00CE35C7">
              <w:rPr>
                <w:rFonts w:ascii="Calibri" w:hAnsi="Calibri" w:cs="Calibri"/>
                <w:b/>
                <w:bCs/>
                <w:sz w:val="20"/>
                <w:szCs w:val="20"/>
              </w:rPr>
              <w:t>Phase 3</w:t>
            </w:r>
            <w:r w:rsidR="00CE35C7" w:rsidRPr="00CE35C7">
              <w:rPr>
                <w:rFonts w:ascii="Calibri" w:hAnsi="Calibri" w:cs="Calibri"/>
                <w:b/>
                <w:bCs/>
                <w:sz w:val="20"/>
                <w:szCs w:val="20"/>
              </w:rPr>
              <w:t>.</w:t>
            </w:r>
            <w:r w:rsidRPr="00CE35C7">
              <w:rPr>
                <w:rFonts w:ascii="Calibri" w:hAnsi="Calibri" w:cs="Calibri"/>
                <w:sz w:val="20"/>
                <w:szCs w:val="20"/>
              </w:rPr>
              <w:t xml:space="preserve"> Participants living with dementia will continue to take part in the two preference assessment phases, alternating randomly between the two. Preference assessments will continue to be </w:t>
            </w:r>
            <w:proofErr w:type="gramStart"/>
            <w:r w:rsidRPr="00CE35C7">
              <w:rPr>
                <w:rFonts w:ascii="Calibri" w:hAnsi="Calibri" w:cs="Calibri"/>
                <w:sz w:val="20"/>
                <w:szCs w:val="20"/>
              </w:rPr>
              <w:t>30 minute long</w:t>
            </w:r>
            <w:proofErr w:type="gramEnd"/>
            <w:r w:rsidRPr="00CE35C7">
              <w:rPr>
                <w:rFonts w:ascii="Calibri" w:hAnsi="Calibri" w:cs="Calibri"/>
                <w:sz w:val="20"/>
                <w:szCs w:val="20"/>
              </w:rPr>
              <w:t xml:space="preserve"> sessions, one to four sessions per week (no more than two sessions a day). These will run for up to 15 weeks and we will run between 5-15 sessions per participant. This specific design is called an alternating treatments design.</w:t>
            </w:r>
          </w:p>
          <w:p w14:paraId="7C7E3E35" w14:textId="77777777" w:rsidR="00CD23A5" w:rsidRPr="00CD23A5" w:rsidRDefault="00CD23A5" w:rsidP="00CD23A5">
            <w:pPr>
              <w:spacing w:before="120" w:line="276" w:lineRule="auto"/>
              <w:rPr>
                <w:rFonts w:ascii="Calibri" w:hAnsi="Calibri" w:cs="Calibri"/>
                <w:b/>
                <w:bCs/>
                <w:sz w:val="20"/>
                <w:szCs w:val="20"/>
              </w:rPr>
            </w:pPr>
            <w:r w:rsidRPr="00CD23A5">
              <w:rPr>
                <w:rFonts w:ascii="Calibri" w:hAnsi="Calibri" w:cs="Calibri"/>
                <w:b/>
                <w:bCs/>
                <w:sz w:val="20"/>
                <w:szCs w:val="20"/>
              </w:rPr>
              <w:lastRenderedPageBreak/>
              <w:t>Methods and measurement</w:t>
            </w:r>
          </w:p>
          <w:p w14:paraId="12258219" w14:textId="0FF3EFD4" w:rsid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We will collect direct observation quantitative data on a) preferences, b) indices of happiness as objective measures of enjoyment of the assessment, and c) verbal or physical behaviours that indicate enjoyment or lack of (e.g., smiling, leaving the area). We will obtain qualitative data about the acceptability of each type of preference assessment in interviews, questionnaires, and focus groups with care partners (whanau and professional) and people with dementia. Experimental control will be demonstrated using small-N research designs and we will use visual inspection of graphed data (based on baseline logic; </w:t>
            </w:r>
            <w:proofErr w:type="spellStart"/>
            <w:r w:rsidRPr="00CD23A5">
              <w:rPr>
                <w:rFonts w:ascii="Calibri" w:hAnsi="Calibri" w:cs="Calibri"/>
                <w:sz w:val="20"/>
                <w:szCs w:val="20"/>
              </w:rPr>
              <w:t>Kazdin</w:t>
            </w:r>
            <w:proofErr w:type="spellEnd"/>
            <w:r w:rsidRPr="00CD23A5">
              <w:rPr>
                <w:rFonts w:ascii="Calibri" w:hAnsi="Calibri" w:cs="Calibri"/>
                <w:sz w:val="20"/>
                <w:szCs w:val="20"/>
              </w:rPr>
              <w:t xml:space="preserve"> &amp; Tuma, 1982). We will recruit between </w:t>
            </w:r>
            <w:r w:rsidR="002B7CB3">
              <w:rPr>
                <w:rFonts w:ascii="Calibri" w:hAnsi="Calibri" w:cs="Calibri"/>
                <w:sz w:val="20"/>
                <w:szCs w:val="20"/>
              </w:rPr>
              <w:t>5</w:t>
            </w:r>
            <w:r w:rsidRPr="00CD23A5">
              <w:rPr>
                <w:rFonts w:ascii="Calibri" w:hAnsi="Calibri" w:cs="Calibri"/>
                <w:sz w:val="20"/>
                <w:szCs w:val="20"/>
              </w:rPr>
              <w:t xml:space="preserve"> and 1</w:t>
            </w:r>
            <w:r w:rsidR="002B7CB3">
              <w:rPr>
                <w:rFonts w:ascii="Calibri" w:hAnsi="Calibri" w:cs="Calibri"/>
                <w:sz w:val="20"/>
                <w:szCs w:val="20"/>
              </w:rPr>
              <w:t>0</w:t>
            </w:r>
            <w:r w:rsidRPr="00CD23A5">
              <w:rPr>
                <w:rFonts w:ascii="Calibri" w:hAnsi="Calibri" w:cs="Calibri"/>
                <w:sz w:val="20"/>
                <w:szCs w:val="20"/>
              </w:rPr>
              <w:t xml:space="preserve"> people diagnosed with dementia</w:t>
            </w:r>
            <w:r w:rsidR="002B7CB3">
              <w:rPr>
                <w:rFonts w:ascii="Calibri" w:hAnsi="Calibri" w:cs="Calibri"/>
                <w:sz w:val="20"/>
                <w:szCs w:val="20"/>
              </w:rPr>
              <w:t>, their whānau, and carers</w:t>
            </w:r>
            <w:r w:rsidRPr="00CD23A5">
              <w:rPr>
                <w:rFonts w:ascii="Calibri" w:hAnsi="Calibri" w:cs="Calibri"/>
                <w:sz w:val="20"/>
                <w:szCs w:val="20"/>
              </w:rPr>
              <w:t xml:space="preserve">. </w:t>
            </w:r>
          </w:p>
          <w:p w14:paraId="2A8CD819" w14:textId="4786D339" w:rsidR="003A3EE8" w:rsidRPr="003A3EE8" w:rsidRDefault="003A3EE8" w:rsidP="00CD23A5">
            <w:pPr>
              <w:spacing w:before="120" w:line="276" w:lineRule="auto"/>
              <w:rPr>
                <w:rFonts w:ascii="Calibri" w:hAnsi="Calibri" w:cs="Calibri"/>
                <w:b/>
                <w:bCs/>
                <w:sz w:val="20"/>
                <w:szCs w:val="20"/>
              </w:rPr>
            </w:pPr>
            <w:r w:rsidRPr="003A3EE8">
              <w:rPr>
                <w:rFonts w:ascii="Calibri" w:hAnsi="Calibri" w:cs="Calibri"/>
                <w:b/>
                <w:bCs/>
                <w:sz w:val="20"/>
                <w:szCs w:val="20"/>
              </w:rPr>
              <w:t>Analysis</w:t>
            </w:r>
          </w:p>
          <w:p w14:paraId="3E816A1C" w14:textId="254EE144" w:rsidR="003A3EE8" w:rsidRPr="00CD23A5" w:rsidRDefault="003A3EE8" w:rsidP="00CD23A5">
            <w:pPr>
              <w:spacing w:before="120" w:line="276" w:lineRule="auto"/>
              <w:rPr>
                <w:rFonts w:ascii="Calibri" w:hAnsi="Calibri" w:cs="Calibri"/>
                <w:sz w:val="20"/>
                <w:szCs w:val="20"/>
              </w:rPr>
            </w:pPr>
            <w:r w:rsidRPr="003A3EE8">
              <w:rPr>
                <w:rFonts w:ascii="Calibri" w:hAnsi="Calibri" w:cs="Calibri"/>
                <w:sz w:val="20"/>
                <w:szCs w:val="20"/>
              </w:rPr>
              <w:t xml:space="preserve">Behaviour-analytic approaches will be employed. The majority of the data will be collected by direct observational measurement of behaviours and environmental variables, operationally defined, and collected </w:t>
            </w:r>
            <w:proofErr w:type="gramStart"/>
            <w:r w:rsidRPr="003A3EE8">
              <w:rPr>
                <w:rFonts w:ascii="Calibri" w:hAnsi="Calibri" w:cs="Calibri"/>
                <w:sz w:val="20"/>
                <w:szCs w:val="20"/>
              </w:rPr>
              <w:t>via  pen</w:t>
            </w:r>
            <w:proofErr w:type="gramEnd"/>
            <w:r w:rsidRPr="003A3EE8">
              <w:rPr>
                <w:rFonts w:ascii="Calibri" w:hAnsi="Calibri" w:cs="Calibri"/>
                <w:sz w:val="20"/>
                <w:szCs w:val="20"/>
              </w:rPr>
              <w:t xml:space="preserve">-and-paper methods (e.g., Johnson &amp; Pennypacker, 2009; Sharp, </w:t>
            </w:r>
            <w:proofErr w:type="spellStart"/>
            <w:r w:rsidRPr="003A3EE8">
              <w:rPr>
                <w:rFonts w:ascii="Calibri" w:hAnsi="Calibri" w:cs="Calibri"/>
                <w:sz w:val="20"/>
                <w:szCs w:val="20"/>
              </w:rPr>
              <w:t>Mudford</w:t>
            </w:r>
            <w:proofErr w:type="spellEnd"/>
            <w:r w:rsidRPr="003A3EE8">
              <w:rPr>
                <w:rFonts w:ascii="Calibri" w:hAnsi="Calibri" w:cs="Calibri"/>
                <w:sz w:val="20"/>
                <w:szCs w:val="20"/>
              </w:rPr>
              <w:t xml:space="preserve">, &amp; </w:t>
            </w:r>
            <w:proofErr w:type="spellStart"/>
            <w:r w:rsidRPr="003A3EE8">
              <w:rPr>
                <w:rFonts w:ascii="Calibri" w:hAnsi="Calibri" w:cs="Calibri"/>
                <w:sz w:val="20"/>
                <w:szCs w:val="20"/>
              </w:rPr>
              <w:t>Elliffe</w:t>
            </w:r>
            <w:proofErr w:type="spellEnd"/>
            <w:r w:rsidRPr="003A3EE8">
              <w:rPr>
                <w:rFonts w:ascii="Calibri" w:hAnsi="Calibri" w:cs="Calibri"/>
                <w:sz w:val="20"/>
                <w:szCs w:val="20"/>
              </w:rPr>
              <w:t xml:space="preserve">, 2015). Experimental control will be demonstrated with small-N designs, which do not require statistical analyses. In a small-N design, each participant serves as their own control, and is exposed to all conditions. Comparisons of behaviour are made within a participant rather than across participants and we conduct repeated measures of our behaviour of interest (i.e., we measure behaviour throughout each session and phase rather than just pre- and post-intervention). We will use visual inspection of graphed data (based on baseline logic; </w:t>
            </w:r>
            <w:proofErr w:type="spellStart"/>
            <w:r w:rsidRPr="003A3EE8">
              <w:rPr>
                <w:rFonts w:ascii="Calibri" w:hAnsi="Calibri" w:cs="Calibri"/>
                <w:sz w:val="20"/>
                <w:szCs w:val="20"/>
              </w:rPr>
              <w:t>Kazdin</w:t>
            </w:r>
            <w:proofErr w:type="spellEnd"/>
            <w:r w:rsidRPr="003A3EE8">
              <w:rPr>
                <w:rFonts w:ascii="Calibri" w:hAnsi="Calibri" w:cs="Calibri"/>
                <w:sz w:val="20"/>
                <w:szCs w:val="20"/>
              </w:rPr>
              <w:t xml:space="preserve">, 1982), a common method of data analysis employed in most of behaviour-analytic research. This involves tracking data visually on </w:t>
            </w:r>
            <w:proofErr w:type="gramStart"/>
            <w:r w:rsidRPr="003A3EE8">
              <w:rPr>
                <w:rFonts w:ascii="Calibri" w:hAnsi="Calibri" w:cs="Calibri"/>
                <w:sz w:val="20"/>
                <w:szCs w:val="20"/>
              </w:rPr>
              <w:t>graphs, and</w:t>
            </w:r>
            <w:proofErr w:type="gramEnd"/>
            <w:r w:rsidRPr="003A3EE8">
              <w:rPr>
                <w:rFonts w:ascii="Calibri" w:hAnsi="Calibri" w:cs="Calibri"/>
                <w:sz w:val="20"/>
                <w:szCs w:val="20"/>
              </w:rPr>
              <w:t xml:space="preserve"> making data-based decisions during the study. Under this approach, small samples can be highly informative. A key component of small-N design is that we publish our methods in detail (principle of technological). This enables replication; as a field, we are more likely to conduct 20 studies including 5 participants in each rather than one study with 100 participants. This approach allows for a nuanced evaluation of the individual factors that contribute to the effectiveness of an intervention. When working with people with major neurocognitive disorder, a small-N approach is useful because experimental control is unaffected by individual differences in behaviour and the progression of dementia (see </w:t>
            </w:r>
            <w:proofErr w:type="spellStart"/>
            <w:r w:rsidRPr="003A3EE8">
              <w:rPr>
                <w:rFonts w:ascii="Calibri" w:hAnsi="Calibri" w:cs="Calibri"/>
                <w:sz w:val="20"/>
                <w:szCs w:val="20"/>
              </w:rPr>
              <w:t>Steingrimsdottir</w:t>
            </w:r>
            <w:proofErr w:type="spellEnd"/>
            <w:r w:rsidRPr="003A3EE8">
              <w:rPr>
                <w:rFonts w:ascii="Calibri" w:hAnsi="Calibri" w:cs="Calibri"/>
                <w:sz w:val="20"/>
                <w:szCs w:val="20"/>
              </w:rPr>
              <w:t xml:space="preserve"> &amp; </w:t>
            </w:r>
            <w:proofErr w:type="spellStart"/>
            <w:r w:rsidRPr="003A3EE8">
              <w:rPr>
                <w:rFonts w:ascii="Calibri" w:hAnsi="Calibri" w:cs="Calibri"/>
                <w:sz w:val="20"/>
                <w:szCs w:val="20"/>
              </w:rPr>
              <w:t>Artnzen</w:t>
            </w:r>
            <w:proofErr w:type="spellEnd"/>
            <w:r w:rsidRPr="003A3EE8">
              <w:rPr>
                <w:rFonts w:ascii="Calibri" w:hAnsi="Calibri" w:cs="Calibri"/>
                <w:sz w:val="20"/>
                <w:szCs w:val="20"/>
              </w:rPr>
              <w:t>, 2015 for a detailed discussion).</w:t>
            </w:r>
          </w:p>
          <w:p w14:paraId="43FCC2E3" w14:textId="77777777" w:rsidR="00CD23A5" w:rsidRPr="00CD23A5" w:rsidRDefault="00CD23A5" w:rsidP="00CD23A5">
            <w:pPr>
              <w:spacing w:before="120" w:line="276" w:lineRule="auto"/>
              <w:rPr>
                <w:rFonts w:ascii="Calibri" w:hAnsi="Calibri" w:cs="Calibri"/>
                <w:b/>
                <w:bCs/>
                <w:sz w:val="20"/>
                <w:szCs w:val="20"/>
              </w:rPr>
            </w:pPr>
            <w:r w:rsidRPr="00CD23A5">
              <w:rPr>
                <w:rFonts w:ascii="Calibri" w:hAnsi="Calibri" w:cs="Calibri"/>
                <w:b/>
                <w:bCs/>
                <w:sz w:val="20"/>
                <w:szCs w:val="20"/>
              </w:rPr>
              <w:t>Expected outputs:</w:t>
            </w:r>
          </w:p>
          <w:p w14:paraId="52CD5515" w14:textId="77777777" w:rsidR="00CD23A5" w:rsidRPr="00CD23A5" w:rsidRDefault="00CD23A5" w:rsidP="00CD23A5">
            <w:pPr>
              <w:numPr>
                <w:ilvl w:val="0"/>
                <w:numId w:val="19"/>
              </w:numPr>
              <w:spacing w:before="120" w:line="276" w:lineRule="auto"/>
              <w:contextualSpacing/>
              <w:rPr>
                <w:rFonts w:ascii="Calibri" w:hAnsi="Calibri" w:cs="Calibri"/>
                <w:sz w:val="20"/>
                <w:szCs w:val="20"/>
              </w:rPr>
            </w:pPr>
            <w:r w:rsidRPr="00CD23A5">
              <w:rPr>
                <w:rFonts w:ascii="Calibri" w:hAnsi="Calibri" w:cs="Calibri"/>
                <w:sz w:val="20"/>
                <w:szCs w:val="20"/>
              </w:rPr>
              <w:t xml:space="preserve">A dataset demonstrating the adaptations required to ensure that functional and preference assessments are both effective and socially valid for use with people with dementia. </w:t>
            </w:r>
          </w:p>
          <w:p w14:paraId="2A45DF92" w14:textId="77777777" w:rsidR="00CD23A5" w:rsidRPr="00CD23A5" w:rsidRDefault="00CD23A5" w:rsidP="00CD23A5">
            <w:pPr>
              <w:numPr>
                <w:ilvl w:val="0"/>
                <w:numId w:val="19"/>
              </w:numPr>
              <w:spacing w:before="120" w:line="276" w:lineRule="auto"/>
              <w:contextualSpacing/>
              <w:rPr>
                <w:rFonts w:ascii="Calibri" w:hAnsi="Calibri" w:cs="Calibri"/>
                <w:sz w:val="20"/>
                <w:szCs w:val="20"/>
              </w:rPr>
            </w:pPr>
            <w:r w:rsidRPr="00CD23A5">
              <w:rPr>
                <w:rFonts w:ascii="Calibri" w:hAnsi="Calibri" w:cs="Calibri"/>
                <w:sz w:val="20"/>
                <w:szCs w:val="20"/>
              </w:rPr>
              <w:t>A dataset indicating the common function of behaviour that challenges exhibited by people with dementia (i.e., akin to that reported by Hanley et al., 2003)</w:t>
            </w:r>
          </w:p>
          <w:p w14:paraId="559EAED1" w14:textId="77777777" w:rsidR="00CD23A5" w:rsidRPr="00CD23A5" w:rsidRDefault="00CD23A5" w:rsidP="00CD23A5">
            <w:pPr>
              <w:numPr>
                <w:ilvl w:val="0"/>
                <w:numId w:val="19"/>
              </w:numPr>
              <w:spacing w:before="120" w:line="276" w:lineRule="auto"/>
              <w:contextualSpacing/>
              <w:rPr>
                <w:rFonts w:ascii="Calibri" w:hAnsi="Calibri" w:cs="Calibri"/>
                <w:sz w:val="20"/>
                <w:szCs w:val="20"/>
              </w:rPr>
            </w:pPr>
            <w:r w:rsidRPr="00CD23A5">
              <w:rPr>
                <w:rFonts w:ascii="Calibri" w:hAnsi="Calibri" w:cs="Calibri"/>
                <w:sz w:val="20"/>
                <w:szCs w:val="20"/>
              </w:rPr>
              <w:t>Some best practice guidelines to be disseminated within the field of behaviour analysis.</w:t>
            </w:r>
          </w:p>
          <w:p w14:paraId="43A56C68" w14:textId="77777777" w:rsidR="00CD23A5" w:rsidRPr="00CD23A5" w:rsidRDefault="00CD23A5" w:rsidP="00CD23A5">
            <w:pPr>
              <w:numPr>
                <w:ilvl w:val="0"/>
                <w:numId w:val="19"/>
              </w:numPr>
              <w:spacing w:before="120" w:line="276" w:lineRule="auto"/>
              <w:contextualSpacing/>
              <w:rPr>
                <w:rFonts w:ascii="Calibri" w:hAnsi="Calibri" w:cs="Calibri"/>
                <w:sz w:val="20"/>
                <w:szCs w:val="20"/>
              </w:rPr>
            </w:pPr>
            <w:r w:rsidRPr="00CD23A5">
              <w:rPr>
                <w:rFonts w:ascii="Calibri" w:hAnsi="Calibri" w:cs="Calibri"/>
                <w:sz w:val="20"/>
                <w:szCs w:val="20"/>
              </w:rPr>
              <w:t>At least three publications in peer-reviewed journals.</w:t>
            </w:r>
          </w:p>
          <w:p w14:paraId="3C3C9B83" w14:textId="77777777" w:rsidR="00CD23A5" w:rsidRPr="00CD23A5" w:rsidRDefault="00CD23A5" w:rsidP="00CD23A5">
            <w:pPr>
              <w:numPr>
                <w:ilvl w:val="0"/>
                <w:numId w:val="19"/>
              </w:numPr>
              <w:spacing w:before="120" w:line="276" w:lineRule="auto"/>
              <w:contextualSpacing/>
              <w:rPr>
                <w:rFonts w:ascii="Calibri" w:hAnsi="Calibri" w:cs="Calibri"/>
                <w:sz w:val="20"/>
                <w:szCs w:val="20"/>
              </w:rPr>
            </w:pPr>
            <w:r w:rsidRPr="00CD23A5">
              <w:rPr>
                <w:rFonts w:ascii="Calibri" w:hAnsi="Calibri" w:cs="Calibri"/>
                <w:sz w:val="20"/>
                <w:szCs w:val="20"/>
              </w:rPr>
              <w:t>At least two conference presentations (behaviour-analytic or dementia).</w:t>
            </w:r>
          </w:p>
          <w:p w14:paraId="7C26C03C" w14:textId="77777777" w:rsidR="00CD23A5" w:rsidRPr="00CD23A5" w:rsidRDefault="00CD23A5" w:rsidP="00CD23A5">
            <w:pPr>
              <w:numPr>
                <w:ilvl w:val="0"/>
                <w:numId w:val="19"/>
              </w:numPr>
              <w:spacing w:before="120" w:line="276" w:lineRule="auto"/>
              <w:contextualSpacing/>
              <w:rPr>
                <w:rFonts w:ascii="Calibri" w:hAnsi="Calibri" w:cs="Calibri"/>
                <w:sz w:val="20"/>
                <w:szCs w:val="20"/>
              </w:rPr>
            </w:pPr>
            <w:r w:rsidRPr="00CD23A5">
              <w:rPr>
                <w:rFonts w:ascii="Calibri" w:hAnsi="Calibri" w:cs="Calibri"/>
                <w:sz w:val="20"/>
                <w:szCs w:val="20"/>
              </w:rPr>
              <w:t xml:space="preserve">Connections with local service providers to facilitate further co-designed research, placements for intern psychologists, and employment opportunities for graduates. </w:t>
            </w:r>
          </w:p>
          <w:p w14:paraId="75A9C138" w14:textId="77777777" w:rsidR="00CD23A5" w:rsidRPr="00CD23A5" w:rsidRDefault="00CD23A5" w:rsidP="00CD23A5">
            <w:pPr>
              <w:spacing w:before="120" w:line="276" w:lineRule="auto"/>
              <w:rPr>
                <w:rFonts w:ascii="Calibri" w:hAnsi="Calibri" w:cs="Calibri"/>
                <w:b/>
                <w:bCs/>
                <w:sz w:val="20"/>
                <w:szCs w:val="20"/>
              </w:rPr>
            </w:pPr>
            <w:r w:rsidRPr="00CD23A5">
              <w:rPr>
                <w:rFonts w:ascii="Calibri" w:hAnsi="Calibri" w:cs="Calibri"/>
                <w:b/>
                <w:bCs/>
                <w:sz w:val="20"/>
                <w:szCs w:val="20"/>
              </w:rPr>
              <w:t>Significance of expected results</w:t>
            </w:r>
          </w:p>
          <w:p w14:paraId="0C667244" w14:textId="12DF5139"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Stud</w:t>
            </w:r>
            <w:r w:rsidR="00780D17">
              <w:rPr>
                <w:rFonts w:ascii="Calibri" w:hAnsi="Calibri" w:cs="Calibri"/>
                <w:sz w:val="20"/>
                <w:szCs w:val="20"/>
              </w:rPr>
              <w:t>y 2</w:t>
            </w:r>
            <w:r w:rsidRPr="00CD23A5">
              <w:rPr>
                <w:rFonts w:ascii="Calibri" w:hAnsi="Calibri" w:cs="Calibri"/>
                <w:sz w:val="20"/>
                <w:szCs w:val="20"/>
              </w:rPr>
              <w:t xml:space="preserve"> will generate data that will be useful for the support of the participants involved. Beyond this impact, our results will also contribute to the growing field of behavioural gerontology. Specifically, we will produce best practice guidelines to support practitioners to expand their clinical practice (aligned with suggestions made by LeBlanc et al., 2012) and contribute to improved quality of life for people with dementia. Although there are a handful of studies using these assessments with people with dementia, the full suite of preference assessments has not yet been evaluated. Our data will contribute to this evidence base. Finally, this project aligns with current focus of the field to ensure the meaningful inclusion of people we support in their care, demonstrating that good behaviour analysis is person-</w:t>
            </w:r>
            <w:proofErr w:type="spellStart"/>
            <w:r w:rsidRPr="00CD23A5">
              <w:rPr>
                <w:rFonts w:ascii="Calibri" w:hAnsi="Calibri" w:cs="Calibri"/>
                <w:sz w:val="20"/>
                <w:szCs w:val="20"/>
              </w:rPr>
              <w:t>centered</w:t>
            </w:r>
            <w:proofErr w:type="spellEnd"/>
            <w:r w:rsidRPr="00CD23A5">
              <w:rPr>
                <w:rFonts w:ascii="Calibri" w:hAnsi="Calibri" w:cs="Calibri"/>
                <w:sz w:val="20"/>
                <w:szCs w:val="20"/>
              </w:rPr>
              <w:t xml:space="preserve"> and responsive to needs. </w:t>
            </w:r>
          </w:p>
          <w:p w14:paraId="513A43FD"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lastRenderedPageBreak/>
              <w:t xml:space="preserve">Engstrom, E., </w:t>
            </w:r>
            <w:proofErr w:type="spellStart"/>
            <w:r w:rsidRPr="00CD23A5">
              <w:rPr>
                <w:rFonts w:ascii="Calibri" w:hAnsi="Calibri" w:cs="Calibri"/>
                <w:sz w:val="20"/>
                <w:szCs w:val="20"/>
              </w:rPr>
              <w:t>Mudford</w:t>
            </w:r>
            <w:proofErr w:type="spellEnd"/>
            <w:r w:rsidRPr="00CD23A5">
              <w:rPr>
                <w:rFonts w:ascii="Calibri" w:hAnsi="Calibri" w:cs="Calibri"/>
                <w:sz w:val="20"/>
                <w:szCs w:val="20"/>
              </w:rPr>
              <w:t xml:space="preserve">, O.  C., &amp; Brand, D. (2015). Replication and extension of a check-in procedure to increase activity engagement among people with severe dementia. </w:t>
            </w:r>
            <w:r w:rsidRPr="00CD23A5">
              <w:rPr>
                <w:rFonts w:ascii="Calibri" w:hAnsi="Calibri" w:cs="Calibri"/>
                <w:i/>
                <w:iCs/>
                <w:sz w:val="20"/>
                <w:szCs w:val="20"/>
              </w:rPr>
              <w:t xml:space="preserve">Journal of Applied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 48</w:t>
            </w:r>
            <w:r w:rsidRPr="00CD23A5">
              <w:rPr>
                <w:rFonts w:ascii="Calibri" w:hAnsi="Calibri" w:cs="Calibri"/>
                <w:sz w:val="20"/>
                <w:szCs w:val="20"/>
              </w:rPr>
              <w:t xml:space="preserve">(2), 460–465. </w:t>
            </w:r>
            <w:hyperlink r:id="rId13" w:history="1">
              <w:r w:rsidRPr="00CD23A5">
                <w:rPr>
                  <w:rFonts w:ascii="Calibri" w:hAnsi="Calibri" w:cs="Calibri"/>
                  <w:color w:val="0563C1"/>
                  <w:sz w:val="20"/>
                  <w:szCs w:val="20"/>
                  <w:u w:val="single"/>
                </w:rPr>
                <w:t>https://doi.org/10.1002/jaba.195</w:t>
              </w:r>
            </w:hyperlink>
          </w:p>
          <w:p w14:paraId="4D3DA3DC" w14:textId="4C27EFD6" w:rsidR="00CD23A5" w:rsidRPr="00CD23A5" w:rsidRDefault="00780D17" w:rsidP="00CD23A5">
            <w:pPr>
              <w:spacing w:before="120" w:line="276" w:lineRule="auto"/>
              <w:rPr>
                <w:rFonts w:ascii="Calibri" w:hAnsi="Calibri" w:cs="Calibri"/>
                <w:sz w:val="20"/>
                <w:szCs w:val="20"/>
              </w:rPr>
            </w:pPr>
            <w:proofErr w:type="spellStart"/>
            <w:r>
              <w:rPr>
                <w:rFonts w:ascii="Calibri" w:hAnsi="Calibri" w:cs="Calibri"/>
                <w:sz w:val="20"/>
                <w:szCs w:val="20"/>
              </w:rPr>
              <w:t>K</w:t>
            </w:r>
            <w:r w:rsidR="00CD23A5" w:rsidRPr="00CD23A5">
              <w:rPr>
                <w:rFonts w:ascii="Calibri" w:hAnsi="Calibri" w:cs="Calibri"/>
                <w:sz w:val="20"/>
                <w:szCs w:val="20"/>
              </w:rPr>
              <w:t>azdin</w:t>
            </w:r>
            <w:proofErr w:type="spellEnd"/>
            <w:r w:rsidR="00CD23A5" w:rsidRPr="00CD23A5">
              <w:rPr>
                <w:rFonts w:ascii="Calibri" w:hAnsi="Calibri" w:cs="Calibri"/>
                <w:sz w:val="20"/>
                <w:szCs w:val="20"/>
              </w:rPr>
              <w:t xml:space="preserve">, A. E., &amp; Tuma, A. H. (1982). </w:t>
            </w:r>
            <w:r w:rsidR="00CD23A5" w:rsidRPr="00CD23A5">
              <w:rPr>
                <w:rFonts w:ascii="Calibri" w:hAnsi="Calibri" w:cs="Calibri"/>
                <w:i/>
                <w:iCs/>
                <w:sz w:val="20"/>
                <w:szCs w:val="20"/>
              </w:rPr>
              <w:t>Single-case research designs</w:t>
            </w:r>
            <w:r w:rsidR="00CD23A5" w:rsidRPr="00CD23A5">
              <w:rPr>
                <w:rFonts w:ascii="Calibri" w:hAnsi="Calibri" w:cs="Calibri"/>
                <w:sz w:val="20"/>
                <w:szCs w:val="20"/>
              </w:rPr>
              <w:t>.</w:t>
            </w:r>
          </w:p>
          <w:p w14:paraId="50C416EC"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LeBlanc, L. A., Heinicke, M. R., &amp; Baker, J. C. (2012). Expanding the consumer base for </w:t>
            </w:r>
            <w:proofErr w:type="spellStart"/>
            <w:r w:rsidRPr="00CD23A5">
              <w:rPr>
                <w:rFonts w:ascii="Calibri" w:hAnsi="Calibri" w:cs="Calibri"/>
                <w:sz w:val="20"/>
                <w:szCs w:val="20"/>
              </w:rPr>
              <w:t>behavior</w:t>
            </w:r>
            <w:proofErr w:type="spellEnd"/>
            <w:r w:rsidRPr="00CD23A5">
              <w:rPr>
                <w:rFonts w:ascii="Calibri" w:hAnsi="Calibri" w:cs="Calibri"/>
                <w:sz w:val="20"/>
                <w:szCs w:val="20"/>
              </w:rPr>
              <w:t>-analytic services: Meeting the needs of consumers in the 21st century.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 in Practice</w:t>
            </w:r>
            <w:r w:rsidRPr="00CD23A5">
              <w:rPr>
                <w:rFonts w:ascii="Calibri" w:hAnsi="Calibri" w:cs="Calibri"/>
                <w:sz w:val="20"/>
                <w:szCs w:val="20"/>
              </w:rPr>
              <w:t>, </w:t>
            </w:r>
            <w:r w:rsidRPr="00CD23A5">
              <w:rPr>
                <w:rFonts w:ascii="Calibri" w:hAnsi="Calibri" w:cs="Calibri"/>
                <w:i/>
                <w:iCs/>
                <w:sz w:val="20"/>
                <w:szCs w:val="20"/>
              </w:rPr>
              <w:t>5</w:t>
            </w:r>
            <w:r w:rsidRPr="00CD23A5">
              <w:rPr>
                <w:rFonts w:ascii="Calibri" w:hAnsi="Calibri" w:cs="Calibri"/>
                <w:sz w:val="20"/>
                <w:szCs w:val="20"/>
              </w:rPr>
              <w:t xml:space="preserve">, 4-14. </w:t>
            </w:r>
            <w:hyperlink r:id="rId14" w:history="1">
              <w:r w:rsidRPr="00CD23A5">
                <w:rPr>
                  <w:rFonts w:ascii="Calibri" w:hAnsi="Calibri" w:cs="Calibri"/>
                  <w:color w:val="0563C1"/>
                  <w:sz w:val="20"/>
                  <w:szCs w:val="20"/>
                  <w:u w:val="single"/>
                </w:rPr>
                <w:t>https://doi.org/10.1007/BF03391813</w:t>
              </w:r>
            </w:hyperlink>
          </w:p>
          <w:p w14:paraId="0DB03A13"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Raetz, P.  B., LeBlanc, L.  A., Baker, J.  C., &amp; Hilton, L. C. (2013). Utility of the </w:t>
            </w:r>
            <w:proofErr w:type="gramStart"/>
            <w:r w:rsidRPr="00CD23A5">
              <w:rPr>
                <w:rFonts w:ascii="Calibri" w:hAnsi="Calibri" w:cs="Calibri"/>
                <w:sz w:val="20"/>
                <w:szCs w:val="20"/>
              </w:rPr>
              <w:t>multiple-stimulus</w:t>
            </w:r>
            <w:proofErr w:type="gramEnd"/>
            <w:r w:rsidRPr="00CD23A5">
              <w:rPr>
                <w:rFonts w:ascii="Calibri" w:hAnsi="Calibri" w:cs="Calibri"/>
                <w:sz w:val="20"/>
                <w:szCs w:val="20"/>
              </w:rPr>
              <w:t xml:space="preserve"> without replacement procedure and stability of preferences of older adults with dementia</w:t>
            </w:r>
            <w:r w:rsidRPr="00CD23A5">
              <w:rPr>
                <w:rFonts w:ascii="Calibri" w:hAnsi="Calibri" w:cs="Calibri"/>
                <w:i/>
                <w:iCs/>
                <w:sz w:val="20"/>
                <w:szCs w:val="20"/>
              </w:rPr>
              <w:t xml:space="preserve">. Journal of Applied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 46</w:t>
            </w:r>
            <w:r w:rsidRPr="00CD23A5">
              <w:rPr>
                <w:rFonts w:ascii="Calibri" w:hAnsi="Calibri" w:cs="Calibri"/>
                <w:sz w:val="20"/>
                <w:szCs w:val="20"/>
              </w:rPr>
              <w:t xml:space="preserve">(4), 765–780. </w:t>
            </w:r>
            <w:hyperlink r:id="rId15" w:history="1">
              <w:r w:rsidRPr="00CD23A5">
                <w:rPr>
                  <w:rFonts w:ascii="Calibri" w:hAnsi="Calibri" w:cs="Calibri"/>
                  <w:color w:val="0563C1"/>
                  <w:sz w:val="20"/>
                  <w:szCs w:val="20"/>
                  <w:u w:val="single"/>
                </w:rPr>
                <w:t>https://doi.org/10.1002/jaba.88</w:t>
              </w:r>
            </w:hyperlink>
          </w:p>
          <w:p w14:paraId="3CB09251"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Roane, H. S., Vollmer, T. R., Ringdahl, J. E., &amp; Marcus, B. A. (1998). Evaluation of a brief stimulus preference assessment. </w:t>
            </w:r>
            <w:r w:rsidRPr="00CD23A5">
              <w:rPr>
                <w:rFonts w:ascii="Calibri" w:hAnsi="Calibri" w:cs="Calibri"/>
                <w:i/>
                <w:iCs/>
                <w:sz w:val="20"/>
                <w:szCs w:val="20"/>
              </w:rPr>
              <w:t xml:space="preserve">Journal of Applied </w:t>
            </w:r>
            <w:proofErr w:type="spellStart"/>
            <w:r w:rsidRPr="00CD23A5">
              <w:rPr>
                <w:rFonts w:ascii="Calibri" w:hAnsi="Calibri" w:cs="Calibri"/>
                <w:i/>
                <w:iCs/>
                <w:sz w:val="20"/>
                <w:szCs w:val="20"/>
              </w:rPr>
              <w:t>Behavior</w:t>
            </w:r>
            <w:proofErr w:type="spellEnd"/>
            <w:r w:rsidRPr="00CD23A5">
              <w:rPr>
                <w:rFonts w:ascii="Calibri" w:hAnsi="Calibri" w:cs="Calibri"/>
                <w:i/>
                <w:iCs/>
                <w:sz w:val="20"/>
                <w:szCs w:val="20"/>
              </w:rPr>
              <w:t xml:space="preserve"> Analysis</w:t>
            </w:r>
            <w:r w:rsidRPr="00CD23A5">
              <w:rPr>
                <w:rFonts w:ascii="Calibri" w:hAnsi="Calibri" w:cs="Calibri"/>
                <w:sz w:val="20"/>
                <w:szCs w:val="20"/>
              </w:rPr>
              <w:t>, </w:t>
            </w:r>
            <w:r w:rsidRPr="00CD23A5">
              <w:rPr>
                <w:rFonts w:ascii="Calibri" w:hAnsi="Calibri" w:cs="Calibri"/>
                <w:i/>
                <w:iCs/>
                <w:sz w:val="20"/>
                <w:szCs w:val="20"/>
              </w:rPr>
              <w:t>31</w:t>
            </w:r>
            <w:r w:rsidRPr="00CD23A5">
              <w:rPr>
                <w:rFonts w:ascii="Calibri" w:hAnsi="Calibri" w:cs="Calibri"/>
                <w:sz w:val="20"/>
                <w:szCs w:val="20"/>
              </w:rPr>
              <w:t xml:space="preserve">(4), 605-620. </w:t>
            </w:r>
            <w:hyperlink r:id="rId16" w:history="1">
              <w:r w:rsidRPr="00CD23A5">
                <w:rPr>
                  <w:rFonts w:ascii="Calibri" w:hAnsi="Calibri" w:cs="Calibri"/>
                  <w:color w:val="0563C1"/>
                  <w:sz w:val="20"/>
                  <w:szCs w:val="20"/>
                  <w:u w:val="single"/>
                </w:rPr>
                <w:t>https://doi.org/10.1901/jaba.1998.31-605</w:t>
              </w:r>
            </w:hyperlink>
          </w:p>
          <w:p w14:paraId="5CE9F5BB"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Sharp, R. A., Lucock, Z. R., &amp; Jones, R. S. (2021). Preliminary investigation of two functional assessment methods for people with dementia: Effectiveness and acceptability. </w:t>
            </w:r>
            <w:proofErr w:type="spellStart"/>
            <w:r w:rsidRPr="00CD23A5">
              <w:rPr>
                <w:rFonts w:ascii="Calibri" w:hAnsi="Calibri" w:cs="Calibri"/>
                <w:i/>
                <w:iCs/>
                <w:sz w:val="20"/>
                <w:szCs w:val="20"/>
              </w:rPr>
              <w:t>Behavioral</w:t>
            </w:r>
            <w:proofErr w:type="spellEnd"/>
            <w:r w:rsidRPr="00CD23A5">
              <w:rPr>
                <w:rFonts w:ascii="Calibri" w:hAnsi="Calibri" w:cs="Calibri"/>
                <w:i/>
                <w:iCs/>
                <w:sz w:val="20"/>
                <w:szCs w:val="20"/>
              </w:rPr>
              <w:t xml:space="preserve"> Interventions</w:t>
            </w:r>
            <w:r w:rsidRPr="00CD23A5">
              <w:rPr>
                <w:rFonts w:ascii="Calibri" w:hAnsi="Calibri" w:cs="Calibri"/>
                <w:sz w:val="20"/>
                <w:szCs w:val="20"/>
              </w:rPr>
              <w:t>, </w:t>
            </w:r>
            <w:r w:rsidRPr="00CD23A5">
              <w:rPr>
                <w:rFonts w:ascii="Calibri" w:hAnsi="Calibri" w:cs="Calibri"/>
                <w:i/>
                <w:iCs/>
                <w:sz w:val="20"/>
                <w:szCs w:val="20"/>
              </w:rPr>
              <w:t>36</w:t>
            </w:r>
            <w:r w:rsidRPr="00CD23A5">
              <w:rPr>
                <w:rFonts w:ascii="Calibri" w:hAnsi="Calibri" w:cs="Calibri"/>
                <w:sz w:val="20"/>
                <w:szCs w:val="20"/>
              </w:rPr>
              <w:t xml:space="preserve">(1), 93-104. </w:t>
            </w:r>
            <w:hyperlink r:id="rId17" w:history="1">
              <w:r w:rsidRPr="00CD23A5">
                <w:rPr>
                  <w:rFonts w:ascii="Calibri" w:hAnsi="Calibri" w:cs="Calibri"/>
                  <w:color w:val="0563C1"/>
                  <w:sz w:val="20"/>
                  <w:szCs w:val="20"/>
                  <w:u w:val="single"/>
                </w:rPr>
                <w:t>https://doi.org/10.1002/bin.1747</w:t>
              </w:r>
            </w:hyperlink>
          </w:p>
        </w:tc>
      </w:tr>
    </w:tbl>
    <w:p w14:paraId="0450AADA" w14:textId="77777777" w:rsidR="00CD23A5" w:rsidRDefault="00CD23A5" w:rsidP="00CD23A5">
      <w:pPr>
        <w:spacing w:before="120" w:line="276" w:lineRule="auto"/>
        <w:rPr>
          <w:rFonts w:ascii="Verdana" w:eastAsia="Calibri" w:hAnsi="Verdana"/>
          <w:sz w:val="20"/>
          <w:szCs w:val="22"/>
          <w:lang w:val="en-NZ" w:eastAsia="en-US"/>
        </w:rPr>
      </w:pPr>
    </w:p>
    <w:tbl>
      <w:tblPr>
        <w:tblStyle w:val="TableGrid1"/>
        <w:tblW w:w="9072" w:type="dxa"/>
        <w:tblInd w:w="137" w:type="dxa"/>
        <w:tblLook w:val="04A0" w:firstRow="1" w:lastRow="0" w:firstColumn="1" w:lastColumn="0" w:noHBand="0" w:noVBand="1"/>
      </w:tblPr>
      <w:tblGrid>
        <w:gridCol w:w="9072"/>
      </w:tblGrid>
      <w:tr w:rsidR="00E5352C" w:rsidRPr="00CD23A5" w14:paraId="70F4076E" w14:textId="77777777" w:rsidTr="00B84969">
        <w:trPr>
          <w:trHeight w:val="227"/>
        </w:trPr>
        <w:tc>
          <w:tcPr>
            <w:tcW w:w="9072" w:type="dxa"/>
            <w:tcBorders>
              <w:top w:val="single" w:sz="4" w:space="0" w:color="5B9BD5"/>
              <w:left w:val="single" w:sz="4" w:space="0" w:color="5B9BD5"/>
              <w:bottom w:val="single" w:sz="4" w:space="0" w:color="5B9BD5"/>
              <w:right w:val="single" w:sz="4" w:space="0" w:color="5B9BD5"/>
            </w:tcBorders>
            <w:shd w:val="clear" w:color="auto" w:fill="BDD6EE"/>
          </w:tcPr>
          <w:p w14:paraId="50087EC4" w14:textId="5583C3AD" w:rsidR="00E5352C" w:rsidRPr="00CD23A5" w:rsidRDefault="00415E00" w:rsidP="00B84969">
            <w:pPr>
              <w:spacing w:before="120" w:line="276" w:lineRule="auto"/>
              <w:rPr>
                <w:rFonts w:ascii="Calibri" w:hAnsi="Calibri" w:cs="Calibri"/>
                <w:b/>
                <w:color w:val="000000"/>
                <w:sz w:val="20"/>
                <w:szCs w:val="20"/>
              </w:rPr>
            </w:pPr>
            <w:r>
              <w:rPr>
                <w:rFonts w:ascii="Calibri" w:hAnsi="Calibri" w:cs="Calibri"/>
                <w:b/>
                <w:color w:val="000000"/>
                <w:sz w:val="20"/>
                <w:szCs w:val="20"/>
              </w:rPr>
              <w:t>Ethics and safety</w:t>
            </w:r>
          </w:p>
        </w:tc>
      </w:tr>
      <w:tr w:rsidR="00E5352C" w:rsidRPr="00CD23A5" w14:paraId="71D363E8" w14:textId="77777777" w:rsidTr="00B84969">
        <w:trPr>
          <w:trHeight w:val="611"/>
        </w:trPr>
        <w:tc>
          <w:tcPr>
            <w:tcW w:w="9072" w:type="dxa"/>
          </w:tcPr>
          <w:p w14:paraId="6B3C35DE" w14:textId="77777777" w:rsidR="00E5352C" w:rsidRPr="00DB579C" w:rsidRDefault="00295EB2" w:rsidP="00295EB2">
            <w:pPr>
              <w:spacing w:before="120" w:line="276" w:lineRule="auto"/>
              <w:rPr>
                <w:rFonts w:ascii="Calibri" w:hAnsi="Calibri" w:cs="Calibri"/>
                <w:b/>
                <w:bCs/>
                <w:sz w:val="20"/>
                <w:szCs w:val="20"/>
              </w:rPr>
            </w:pPr>
            <w:r w:rsidRPr="00DB579C">
              <w:rPr>
                <w:rFonts w:ascii="Calibri" w:hAnsi="Calibri" w:cs="Calibri"/>
                <w:b/>
                <w:bCs/>
                <w:sz w:val="20"/>
                <w:szCs w:val="20"/>
              </w:rPr>
              <w:t>Participant distress</w:t>
            </w:r>
          </w:p>
          <w:p w14:paraId="38190007" w14:textId="4B79ABD0" w:rsidR="00DB579C" w:rsidRPr="00DB579C" w:rsidRDefault="00DB579C" w:rsidP="00DB579C">
            <w:pPr>
              <w:spacing w:before="120" w:line="276" w:lineRule="auto"/>
              <w:rPr>
                <w:rFonts w:ascii="Calibri" w:hAnsi="Calibri" w:cs="Calibri"/>
                <w:sz w:val="20"/>
                <w:szCs w:val="20"/>
              </w:rPr>
            </w:pPr>
            <w:r w:rsidRPr="00DB579C">
              <w:rPr>
                <w:rFonts w:ascii="Calibri" w:hAnsi="Calibri" w:cs="Calibri"/>
                <w:sz w:val="20"/>
                <w:szCs w:val="20"/>
              </w:rPr>
              <w:t xml:space="preserve">When working with people with dementia / mate </w:t>
            </w:r>
            <w:proofErr w:type="spellStart"/>
            <w:r w:rsidRPr="00DB579C">
              <w:rPr>
                <w:rFonts w:ascii="Calibri" w:hAnsi="Calibri" w:cs="Calibri"/>
                <w:sz w:val="20"/>
                <w:szCs w:val="20"/>
              </w:rPr>
              <w:t>wareware</w:t>
            </w:r>
            <w:proofErr w:type="spellEnd"/>
            <w:r w:rsidRPr="00DB579C">
              <w:rPr>
                <w:rFonts w:ascii="Calibri" w:hAnsi="Calibri" w:cs="Calibri"/>
                <w:sz w:val="20"/>
                <w:szCs w:val="20"/>
              </w:rPr>
              <w:t>, there is the risk of participants feeling levels of distress or discomfort. We have a clear distress protocol to follow. Once we have consent from participants who are going to be taking part in the study, we will ask staff (preferably a staff member and family collaboratively) to complete the Disability Distress Assessment Tool (</w:t>
            </w:r>
            <w:proofErr w:type="spellStart"/>
            <w:r w:rsidRPr="00DB579C">
              <w:rPr>
                <w:rFonts w:ascii="Calibri" w:hAnsi="Calibri" w:cs="Calibri"/>
                <w:sz w:val="20"/>
                <w:szCs w:val="20"/>
              </w:rPr>
              <w:t>DisDAT</w:t>
            </w:r>
            <w:proofErr w:type="spellEnd"/>
            <w:r w:rsidRPr="00DB579C">
              <w:rPr>
                <w:rFonts w:ascii="Calibri" w:hAnsi="Calibri" w:cs="Calibri"/>
                <w:sz w:val="20"/>
                <w:szCs w:val="20"/>
              </w:rPr>
              <w:t xml:space="preserve">; </w:t>
            </w:r>
            <w:proofErr w:type="spellStart"/>
            <w:r w:rsidRPr="00DB579C">
              <w:rPr>
                <w:rFonts w:ascii="Calibri" w:hAnsi="Calibri" w:cs="Calibri"/>
                <w:sz w:val="20"/>
                <w:szCs w:val="20"/>
              </w:rPr>
              <w:t>Regnard</w:t>
            </w:r>
            <w:proofErr w:type="spellEnd"/>
            <w:r w:rsidRPr="00DB579C">
              <w:rPr>
                <w:rFonts w:ascii="Calibri" w:hAnsi="Calibri" w:cs="Calibri"/>
                <w:sz w:val="20"/>
                <w:szCs w:val="20"/>
              </w:rPr>
              <w:t xml:space="preserve"> et al.,2007) for each participant to outline signs of distress for that participant. They will identify the appearance, vocal signs, </w:t>
            </w:r>
            <w:proofErr w:type="gramStart"/>
            <w:r w:rsidRPr="00DB579C">
              <w:rPr>
                <w:rFonts w:ascii="Calibri" w:hAnsi="Calibri" w:cs="Calibri"/>
                <w:sz w:val="20"/>
                <w:szCs w:val="20"/>
              </w:rPr>
              <w:t>habits</w:t>
            </w:r>
            <w:proofErr w:type="gramEnd"/>
            <w:r w:rsidRPr="00DB579C">
              <w:rPr>
                <w:rFonts w:ascii="Calibri" w:hAnsi="Calibri" w:cs="Calibri"/>
                <w:sz w:val="20"/>
                <w:szCs w:val="20"/>
              </w:rPr>
              <w:t xml:space="preserve"> and the posture of the participant when they are both content and when they are distressed. We expect this should take about 10 minutes to complete. This will </w:t>
            </w:r>
            <w:proofErr w:type="gramStart"/>
            <w:r w:rsidRPr="00DB579C">
              <w:rPr>
                <w:rFonts w:ascii="Calibri" w:hAnsi="Calibri" w:cs="Calibri"/>
                <w:sz w:val="20"/>
                <w:szCs w:val="20"/>
              </w:rPr>
              <w:t>be with the research team at all times</w:t>
            </w:r>
            <w:proofErr w:type="gramEnd"/>
            <w:r w:rsidRPr="00DB579C">
              <w:rPr>
                <w:rFonts w:ascii="Calibri" w:hAnsi="Calibri" w:cs="Calibri"/>
                <w:sz w:val="20"/>
                <w:szCs w:val="20"/>
              </w:rPr>
              <w:t xml:space="preserve"> whilst they are in the care home and available to the staff to ensure that everyone working with the participant is able to recognise signs that they are distressed and be able to react appropriately as soon as any signs appear. If one of the participants in this research were to become distressed, we could presume that the cause may be in or out of our control. If the causal variable is out of our control (e.g., due to other factors such as events in the care home, physical </w:t>
            </w:r>
            <w:proofErr w:type="gramStart"/>
            <w:r w:rsidRPr="00DB579C">
              <w:rPr>
                <w:rFonts w:ascii="Calibri" w:hAnsi="Calibri" w:cs="Calibri"/>
                <w:sz w:val="20"/>
                <w:szCs w:val="20"/>
              </w:rPr>
              <w:t>stimuli</w:t>
            </w:r>
            <w:proofErr w:type="gramEnd"/>
            <w:r w:rsidRPr="00DB579C">
              <w:rPr>
                <w:rFonts w:ascii="Calibri" w:hAnsi="Calibri" w:cs="Calibri"/>
                <w:sz w:val="20"/>
                <w:szCs w:val="20"/>
              </w:rPr>
              <w:t xml:space="preserve"> or internal events such as thoughts), then this would presumably occur whether we were present or not. There will </w:t>
            </w:r>
            <w:proofErr w:type="gramStart"/>
            <w:r w:rsidRPr="00DB579C">
              <w:rPr>
                <w:rFonts w:ascii="Calibri" w:hAnsi="Calibri" w:cs="Calibri"/>
                <w:sz w:val="20"/>
                <w:szCs w:val="20"/>
              </w:rPr>
              <w:t>be a staff member present at all times</w:t>
            </w:r>
            <w:proofErr w:type="gramEnd"/>
            <w:r w:rsidRPr="00DB579C">
              <w:rPr>
                <w:rFonts w:ascii="Calibri" w:hAnsi="Calibri" w:cs="Calibri"/>
                <w:sz w:val="20"/>
                <w:szCs w:val="20"/>
              </w:rPr>
              <w:t xml:space="preserve">, who will be able to help de-escalate the situation. They will use a calm, gentle, and soft tone of voice, and remove all demands from the immediate environment. They will adopt a non-judgmental and empathetic </w:t>
            </w:r>
            <w:proofErr w:type="gramStart"/>
            <w:r w:rsidRPr="00DB579C">
              <w:rPr>
                <w:rFonts w:ascii="Calibri" w:hAnsi="Calibri" w:cs="Calibri"/>
                <w:sz w:val="20"/>
                <w:szCs w:val="20"/>
              </w:rPr>
              <w:t>approach, and</w:t>
            </w:r>
            <w:proofErr w:type="gramEnd"/>
            <w:r w:rsidRPr="00DB579C">
              <w:rPr>
                <w:rFonts w:ascii="Calibri" w:hAnsi="Calibri" w:cs="Calibri"/>
                <w:sz w:val="20"/>
                <w:szCs w:val="20"/>
              </w:rPr>
              <w:t xml:space="preserve"> offer the person to move to a quiet area. They will also offer a refreshment and ensure that the person is not left alone. We will be aware of body language, physical proximity, and safety. Alternatives to the behaviour in which the person is engaging will be offered, representing a collaborative problem-solving approach.</w:t>
            </w:r>
          </w:p>
          <w:p w14:paraId="05B5FC9A" w14:textId="77777777" w:rsidR="00295EB2" w:rsidRDefault="00DB579C" w:rsidP="00DB579C">
            <w:pPr>
              <w:spacing w:before="120" w:line="276" w:lineRule="auto"/>
              <w:rPr>
                <w:rFonts w:ascii="Calibri" w:hAnsi="Calibri" w:cs="Calibri"/>
                <w:sz w:val="20"/>
                <w:szCs w:val="20"/>
              </w:rPr>
            </w:pPr>
            <w:r w:rsidRPr="00DB579C">
              <w:rPr>
                <w:rFonts w:ascii="Calibri" w:hAnsi="Calibri" w:cs="Calibri"/>
                <w:sz w:val="20"/>
                <w:szCs w:val="20"/>
              </w:rPr>
              <w:t xml:space="preserve">Once the participant is no longer distressed, we will discuss with the staff, care home manager, whānau, guardian, and participant about whether that participant should continue with the study or not. This judgement will be made in the best interests of the participant as a collaborative decision between those that know the individual the most. If the participant becomes distressed due to something within our control (e.g. they dislike our presence, the </w:t>
            </w:r>
            <w:proofErr w:type="gramStart"/>
            <w:r w:rsidRPr="00DB579C">
              <w:rPr>
                <w:rFonts w:ascii="Calibri" w:hAnsi="Calibri" w:cs="Calibri"/>
                <w:sz w:val="20"/>
                <w:szCs w:val="20"/>
              </w:rPr>
              <w:t>procedure</w:t>
            </w:r>
            <w:proofErr w:type="gramEnd"/>
            <w:r w:rsidRPr="00DB579C">
              <w:rPr>
                <w:rFonts w:ascii="Calibri" w:hAnsi="Calibri" w:cs="Calibri"/>
                <w:sz w:val="20"/>
                <w:szCs w:val="20"/>
              </w:rPr>
              <w:t xml:space="preserve"> or some other factor about the research team/procedure) then the same procedure will be followed as above, with immediately removing our presence from the vicinity and the staff calming the participant. If it is clear we </w:t>
            </w:r>
            <w:proofErr w:type="gramStart"/>
            <w:r w:rsidRPr="00DB579C">
              <w:rPr>
                <w:rFonts w:ascii="Calibri" w:hAnsi="Calibri" w:cs="Calibri"/>
                <w:sz w:val="20"/>
                <w:szCs w:val="20"/>
              </w:rPr>
              <w:t>are able to</w:t>
            </w:r>
            <w:proofErr w:type="gramEnd"/>
            <w:r w:rsidRPr="00DB579C">
              <w:rPr>
                <w:rFonts w:ascii="Calibri" w:hAnsi="Calibri" w:cs="Calibri"/>
                <w:sz w:val="20"/>
                <w:szCs w:val="20"/>
              </w:rPr>
              <w:t xml:space="preserve"> identify the variable that is upsetting the participant, then we can discuss with all involved (as above) whether to continue to not, or whether to modify the procedure to further tailor it to that individual. For example, if there is a specific member of the </w:t>
            </w:r>
            <w:r w:rsidRPr="00DB579C">
              <w:rPr>
                <w:rFonts w:ascii="Calibri" w:hAnsi="Calibri" w:cs="Calibri"/>
                <w:sz w:val="20"/>
                <w:szCs w:val="20"/>
              </w:rPr>
              <w:lastRenderedPageBreak/>
              <w:t xml:space="preserve">research team that the participant does not like (for whatever reason; e.g. they have similar features to someone they did not like in their past), then this is easily rectified by removing that person from the procedure for that participant and replacing them with another member. Again, the decision to do this would be made in conjunction with the staff, participant and their whānau if appropriate, and if it was felt that it was in the best interests to withdraw the participant from the study completely then this would be done immediately. </w:t>
            </w:r>
          </w:p>
          <w:p w14:paraId="2B0CA1A2" w14:textId="77777777" w:rsidR="002B6FB8" w:rsidRPr="00715CC8" w:rsidRDefault="002B6FB8" w:rsidP="00DB579C">
            <w:pPr>
              <w:spacing w:before="120" w:line="276" w:lineRule="auto"/>
              <w:rPr>
                <w:rFonts w:ascii="Calibri" w:hAnsi="Calibri" w:cs="Calibri"/>
                <w:b/>
                <w:bCs/>
                <w:sz w:val="20"/>
                <w:szCs w:val="20"/>
              </w:rPr>
            </w:pPr>
            <w:r w:rsidRPr="00715CC8">
              <w:rPr>
                <w:rFonts w:ascii="Calibri" w:hAnsi="Calibri" w:cs="Calibri"/>
                <w:b/>
                <w:bCs/>
                <w:sz w:val="20"/>
                <w:szCs w:val="20"/>
              </w:rPr>
              <w:t>Informed consent</w:t>
            </w:r>
          </w:p>
          <w:p w14:paraId="57C20CDB" w14:textId="45F1C94C" w:rsidR="000F55CD" w:rsidRPr="000F55CD" w:rsidRDefault="000F55CD" w:rsidP="000F55CD">
            <w:pPr>
              <w:pStyle w:val="ListParagraph"/>
              <w:numPr>
                <w:ilvl w:val="0"/>
                <w:numId w:val="22"/>
              </w:numPr>
              <w:spacing w:before="120" w:line="276" w:lineRule="auto"/>
              <w:rPr>
                <w:rFonts w:ascii="Calibri" w:hAnsi="Calibri" w:cs="Calibri"/>
                <w:sz w:val="20"/>
                <w:szCs w:val="20"/>
              </w:rPr>
            </w:pPr>
            <w:r w:rsidRPr="000F55CD">
              <w:rPr>
                <w:rFonts w:ascii="Calibri" w:hAnsi="Calibri" w:cs="Calibri"/>
                <w:sz w:val="20"/>
                <w:szCs w:val="20"/>
              </w:rPr>
              <w:t xml:space="preserve">People with mate </w:t>
            </w:r>
            <w:proofErr w:type="spellStart"/>
            <w:r w:rsidRPr="000F55CD">
              <w:rPr>
                <w:rFonts w:ascii="Calibri" w:hAnsi="Calibri" w:cs="Calibri"/>
                <w:sz w:val="20"/>
                <w:szCs w:val="20"/>
              </w:rPr>
              <w:t>wareware</w:t>
            </w:r>
            <w:proofErr w:type="spellEnd"/>
            <w:r w:rsidRPr="000F55CD">
              <w:rPr>
                <w:rFonts w:ascii="Calibri" w:hAnsi="Calibri" w:cs="Calibri"/>
                <w:sz w:val="20"/>
                <w:szCs w:val="20"/>
              </w:rPr>
              <w:t xml:space="preserve"> will receive the invitation in person from the nominated person in their service. The team will offer to meet potential participants to discuss the study and answer questions. If appropriate, supported decision making will be used. Participants will be asked to provide informed consent after discussion, when </w:t>
            </w:r>
            <w:proofErr w:type="gramStart"/>
            <w:r w:rsidRPr="000F55CD">
              <w:rPr>
                <w:rFonts w:ascii="Calibri" w:hAnsi="Calibri" w:cs="Calibri"/>
                <w:sz w:val="20"/>
                <w:szCs w:val="20"/>
              </w:rPr>
              <w:t>it is clear that all</w:t>
            </w:r>
            <w:proofErr w:type="gramEnd"/>
            <w:r w:rsidRPr="000F55CD">
              <w:rPr>
                <w:rFonts w:ascii="Calibri" w:hAnsi="Calibri" w:cs="Calibri"/>
                <w:sz w:val="20"/>
                <w:szCs w:val="20"/>
              </w:rPr>
              <w:t xml:space="preserve"> questions have been answered.</w:t>
            </w:r>
          </w:p>
          <w:p w14:paraId="610D3D0F" w14:textId="2E28B19F" w:rsidR="000F55CD" w:rsidRPr="000F55CD" w:rsidRDefault="000F55CD" w:rsidP="000F55CD">
            <w:pPr>
              <w:pStyle w:val="ListParagraph"/>
              <w:numPr>
                <w:ilvl w:val="0"/>
                <w:numId w:val="22"/>
              </w:numPr>
              <w:spacing w:before="120" w:line="276" w:lineRule="auto"/>
              <w:rPr>
                <w:rFonts w:ascii="Calibri" w:hAnsi="Calibri" w:cs="Calibri"/>
                <w:sz w:val="20"/>
                <w:szCs w:val="20"/>
              </w:rPr>
            </w:pPr>
            <w:r w:rsidRPr="000F55CD">
              <w:rPr>
                <w:rFonts w:ascii="Calibri" w:hAnsi="Calibri" w:cs="Calibri"/>
                <w:sz w:val="20"/>
                <w:szCs w:val="20"/>
              </w:rPr>
              <w:t xml:space="preserve">Whānau will receive the invitation and PIS by phone call and in person by the organisation. The team will offer to meet potential participants to discuss the study and answer questions. Whānau will be asked to provide informed consent after discussion, when </w:t>
            </w:r>
            <w:proofErr w:type="gramStart"/>
            <w:r w:rsidRPr="000F55CD">
              <w:rPr>
                <w:rFonts w:ascii="Calibri" w:hAnsi="Calibri" w:cs="Calibri"/>
                <w:sz w:val="20"/>
                <w:szCs w:val="20"/>
              </w:rPr>
              <w:t>it is clear that all</w:t>
            </w:r>
            <w:proofErr w:type="gramEnd"/>
            <w:r w:rsidRPr="000F55CD">
              <w:rPr>
                <w:rFonts w:ascii="Calibri" w:hAnsi="Calibri" w:cs="Calibri"/>
                <w:sz w:val="20"/>
                <w:szCs w:val="20"/>
              </w:rPr>
              <w:t xml:space="preserve"> questions have been answered.</w:t>
            </w:r>
          </w:p>
          <w:p w14:paraId="2E2B9175" w14:textId="77777777" w:rsidR="002B6FB8" w:rsidRDefault="000F55CD" w:rsidP="000F55CD">
            <w:pPr>
              <w:pStyle w:val="ListParagraph"/>
              <w:numPr>
                <w:ilvl w:val="0"/>
                <w:numId w:val="22"/>
              </w:numPr>
              <w:spacing w:before="120" w:line="276" w:lineRule="auto"/>
              <w:rPr>
                <w:rFonts w:ascii="Calibri" w:hAnsi="Calibri" w:cs="Calibri"/>
                <w:sz w:val="20"/>
                <w:szCs w:val="20"/>
              </w:rPr>
            </w:pPr>
            <w:r w:rsidRPr="000F55CD">
              <w:rPr>
                <w:rFonts w:ascii="Calibri" w:hAnsi="Calibri" w:cs="Calibri"/>
                <w:sz w:val="20"/>
                <w:szCs w:val="20"/>
              </w:rPr>
              <w:t xml:space="preserve">Carers / professionals will receive a verbal invitation (via hui) or email invitation (from manager), and the PIS will be provided.  The research team will address any questions the professional has and ask for informed consent when </w:t>
            </w:r>
            <w:proofErr w:type="gramStart"/>
            <w:r w:rsidRPr="000F55CD">
              <w:rPr>
                <w:rFonts w:ascii="Calibri" w:hAnsi="Calibri" w:cs="Calibri"/>
                <w:sz w:val="20"/>
                <w:szCs w:val="20"/>
              </w:rPr>
              <w:t>it is clear that all</w:t>
            </w:r>
            <w:proofErr w:type="gramEnd"/>
            <w:r w:rsidRPr="000F55CD">
              <w:rPr>
                <w:rFonts w:ascii="Calibri" w:hAnsi="Calibri" w:cs="Calibri"/>
                <w:sz w:val="20"/>
                <w:szCs w:val="20"/>
              </w:rPr>
              <w:t xml:space="preserve"> questions have been answered.</w:t>
            </w:r>
          </w:p>
          <w:p w14:paraId="5E35EA46" w14:textId="15A8283D" w:rsidR="00152360" w:rsidRPr="00152360" w:rsidRDefault="00152360" w:rsidP="00152360">
            <w:pPr>
              <w:spacing w:before="120" w:line="276" w:lineRule="auto"/>
              <w:rPr>
                <w:rFonts w:ascii="Calibri" w:hAnsi="Calibri" w:cs="Calibri"/>
                <w:sz w:val="20"/>
                <w:szCs w:val="20"/>
              </w:rPr>
            </w:pPr>
            <w:r w:rsidRPr="00152360">
              <w:rPr>
                <w:rFonts w:ascii="Calibri" w:hAnsi="Calibri" w:cs="Calibri"/>
                <w:sz w:val="20"/>
                <w:szCs w:val="20"/>
              </w:rPr>
              <w:t>We have t</w:t>
            </w:r>
            <w:r w:rsidR="00413968">
              <w:rPr>
                <w:rFonts w:ascii="Calibri" w:hAnsi="Calibri" w:cs="Calibri"/>
                <w:sz w:val="20"/>
                <w:szCs w:val="20"/>
              </w:rPr>
              <w:t>wo</w:t>
            </w:r>
            <w:r w:rsidRPr="00152360">
              <w:rPr>
                <w:rFonts w:ascii="Calibri" w:hAnsi="Calibri" w:cs="Calibri"/>
                <w:sz w:val="20"/>
                <w:szCs w:val="20"/>
              </w:rPr>
              <w:t xml:space="preserve"> routes through which a person with dementia may partake:</w:t>
            </w:r>
          </w:p>
          <w:p w14:paraId="497AD0BC" w14:textId="2A2CB445" w:rsidR="00152360" w:rsidRPr="00152360" w:rsidRDefault="00152360" w:rsidP="00152360">
            <w:pPr>
              <w:pStyle w:val="ListParagraph"/>
              <w:numPr>
                <w:ilvl w:val="0"/>
                <w:numId w:val="24"/>
              </w:numPr>
              <w:spacing w:before="120" w:line="276" w:lineRule="auto"/>
              <w:rPr>
                <w:rFonts w:ascii="Calibri" w:hAnsi="Calibri" w:cs="Calibri"/>
                <w:sz w:val="20"/>
                <w:szCs w:val="20"/>
              </w:rPr>
            </w:pPr>
            <w:r w:rsidRPr="00152360">
              <w:rPr>
                <w:rFonts w:ascii="Calibri" w:hAnsi="Calibri" w:cs="Calibri"/>
                <w:sz w:val="20"/>
                <w:szCs w:val="20"/>
              </w:rPr>
              <w:t xml:space="preserve">They are able to consent on their own </w:t>
            </w:r>
            <w:proofErr w:type="gramStart"/>
            <w:r w:rsidRPr="00152360">
              <w:rPr>
                <w:rFonts w:ascii="Calibri" w:hAnsi="Calibri" w:cs="Calibri"/>
                <w:sz w:val="20"/>
                <w:szCs w:val="20"/>
              </w:rPr>
              <w:t>behalf</w:t>
            </w:r>
            <w:proofErr w:type="gramEnd"/>
          </w:p>
          <w:p w14:paraId="07A68701" w14:textId="33BA04E6" w:rsidR="00152360" w:rsidRPr="00152360" w:rsidRDefault="00152360" w:rsidP="00152360">
            <w:pPr>
              <w:pStyle w:val="ListParagraph"/>
              <w:numPr>
                <w:ilvl w:val="0"/>
                <w:numId w:val="24"/>
              </w:numPr>
              <w:spacing w:before="120" w:line="276" w:lineRule="auto"/>
              <w:rPr>
                <w:rFonts w:ascii="Calibri" w:hAnsi="Calibri" w:cs="Calibri"/>
                <w:sz w:val="20"/>
                <w:szCs w:val="20"/>
              </w:rPr>
            </w:pPr>
            <w:r w:rsidRPr="00152360">
              <w:rPr>
                <w:rFonts w:ascii="Calibri" w:hAnsi="Calibri" w:cs="Calibri"/>
                <w:sz w:val="20"/>
                <w:szCs w:val="20"/>
              </w:rPr>
              <w:t xml:space="preserve">They are able to consent through supported decision </w:t>
            </w:r>
            <w:proofErr w:type="gramStart"/>
            <w:r w:rsidRPr="00152360">
              <w:rPr>
                <w:rFonts w:ascii="Calibri" w:hAnsi="Calibri" w:cs="Calibri"/>
                <w:sz w:val="20"/>
                <w:szCs w:val="20"/>
              </w:rPr>
              <w:t>making</w:t>
            </w:r>
            <w:proofErr w:type="gramEnd"/>
          </w:p>
          <w:p w14:paraId="3142A264" w14:textId="77777777" w:rsidR="006E09E8" w:rsidRDefault="006E09E8" w:rsidP="006E09E8">
            <w:pPr>
              <w:spacing w:before="120" w:line="276" w:lineRule="auto"/>
              <w:rPr>
                <w:rFonts w:ascii="Calibri" w:hAnsi="Calibri" w:cs="Calibri"/>
                <w:b/>
                <w:bCs/>
                <w:sz w:val="20"/>
                <w:szCs w:val="20"/>
              </w:rPr>
            </w:pPr>
            <w:r w:rsidRPr="003A0A61">
              <w:rPr>
                <w:rFonts w:ascii="Calibri" w:hAnsi="Calibri" w:cs="Calibri"/>
                <w:b/>
                <w:bCs/>
                <w:sz w:val="20"/>
                <w:szCs w:val="20"/>
              </w:rPr>
              <w:t>Confidentiality</w:t>
            </w:r>
          </w:p>
          <w:p w14:paraId="5B82DBA5" w14:textId="16F22F7E" w:rsidR="003A0A61" w:rsidRDefault="001435B5" w:rsidP="006E09E8">
            <w:pPr>
              <w:spacing w:before="120" w:line="276" w:lineRule="auto"/>
              <w:rPr>
                <w:rFonts w:ascii="Calibri" w:hAnsi="Calibri" w:cs="Calibri"/>
                <w:sz w:val="20"/>
                <w:szCs w:val="20"/>
              </w:rPr>
            </w:pPr>
            <w:r w:rsidRPr="001435B5">
              <w:rPr>
                <w:rFonts w:ascii="Calibri" w:hAnsi="Calibri" w:cs="Calibri"/>
                <w:sz w:val="20"/>
                <w:szCs w:val="20"/>
              </w:rPr>
              <w:t>Pre-existing health data will be accessed from the organisations supporting the people living with dementia only after consent has been obtained from that individual. We will only record demographic information (e.g., age, ethnicity, gender) and medical diagnoses.  Data will be de-identified by the researcher at the point of collection (we will assign participants pseudonyms</w:t>
            </w:r>
            <w:r w:rsidR="00BA73B5">
              <w:rPr>
                <w:rFonts w:ascii="Calibri" w:hAnsi="Calibri" w:cs="Calibri"/>
                <w:sz w:val="20"/>
                <w:szCs w:val="20"/>
              </w:rPr>
              <w:t>)</w:t>
            </w:r>
            <w:r w:rsidRPr="001435B5">
              <w:rPr>
                <w:rFonts w:ascii="Calibri" w:hAnsi="Calibri" w:cs="Calibri"/>
                <w:sz w:val="20"/>
                <w:szCs w:val="20"/>
              </w:rPr>
              <w:t>.</w:t>
            </w:r>
            <w:r w:rsidR="00F87A43">
              <w:rPr>
                <w:rFonts w:ascii="Calibri" w:hAnsi="Calibri" w:cs="Calibri"/>
                <w:sz w:val="20"/>
                <w:szCs w:val="20"/>
              </w:rPr>
              <w:t xml:space="preserve"> </w:t>
            </w:r>
            <w:r w:rsidR="00F87A43" w:rsidRPr="00F87A43">
              <w:rPr>
                <w:rFonts w:ascii="Calibri" w:hAnsi="Calibri" w:cs="Calibri"/>
                <w:sz w:val="20"/>
                <w:szCs w:val="20"/>
              </w:rPr>
              <w:t>Collection of data will be limited to that necessary for the specified purposes of the study, or for additional purposes that the participant has explicitly consented to.</w:t>
            </w:r>
          </w:p>
          <w:p w14:paraId="27F9CE0C" w14:textId="3543F38A" w:rsidR="0037270C" w:rsidRPr="001435B5" w:rsidRDefault="0037270C" w:rsidP="0037270C">
            <w:pPr>
              <w:spacing w:before="120" w:line="276" w:lineRule="auto"/>
              <w:rPr>
                <w:rFonts w:ascii="Calibri" w:hAnsi="Calibri" w:cs="Calibri"/>
                <w:sz w:val="20"/>
                <w:szCs w:val="20"/>
              </w:rPr>
            </w:pPr>
            <w:r w:rsidRPr="0037270C">
              <w:rPr>
                <w:rFonts w:ascii="Calibri" w:hAnsi="Calibri" w:cs="Calibri"/>
                <w:sz w:val="20"/>
                <w:szCs w:val="20"/>
              </w:rPr>
              <w:t>De-identified data will carry a participant code or pseudonym (e.g., P1, P2, P3). Because the number of participants is small, a log linking participant code with identifiers is not required.</w:t>
            </w:r>
            <w:r>
              <w:rPr>
                <w:rFonts w:ascii="Calibri" w:hAnsi="Calibri" w:cs="Calibri"/>
                <w:sz w:val="20"/>
                <w:szCs w:val="20"/>
              </w:rPr>
              <w:t xml:space="preserve"> </w:t>
            </w:r>
            <w:r w:rsidRPr="0037270C">
              <w:rPr>
                <w:rFonts w:ascii="Calibri" w:hAnsi="Calibri" w:cs="Calibri"/>
                <w:sz w:val="20"/>
                <w:szCs w:val="20"/>
              </w:rPr>
              <w:t>The de-identified data will remain on University of Auckland servers for up to approximately 2 years.</w:t>
            </w:r>
            <w:r>
              <w:rPr>
                <w:rFonts w:ascii="Calibri" w:hAnsi="Calibri" w:cs="Calibri"/>
                <w:sz w:val="20"/>
                <w:szCs w:val="20"/>
              </w:rPr>
              <w:t xml:space="preserve"> </w:t>
            </w:r>
            <w:r w:rsidRPr="0037270C">
              <w:rPr>
                <w:rFonts w:ascii="Calibri" w:hAnsi="Calibri" w:cs="Calibri"/>
                <w:sz w:val="20"/>
                <w:szCs w:val="20"/>
              </w:rPr>
              <w:t>De-identified data is stored in zip files long-term by the University of Auckland in in secure cloud-based servers.</w:t>
            </w:r>
            <w:r>
              <w:rPr>
                <w:rFonts w:ascii="Calibri" w:hAnsi="Calibri" w:cs="Calibri"/>
                <w:sz w:val="20"/>
                <w:szCs w:val="20"/>
              </w:rPr>
              <w:t xml:space="preserve"> </w:t>
            </w:r>
            <w:r w:rsidRPr="0037270C">
              <w:rPr>
                <w:rFonts w:ascii="Calibri" w:hAnsi="Calibri" w:cs="Calibri"/>
                <w:sz w:val="20"/>
                <w:szCs w:val="20"/>
              </w:rPr>
              <w:t>De-identified data will be retained for 10 years.</w:t>
            </w:r>
          </w:p>
          <w:p w14:paraId="19F89E08" w14:textId="5D14C576" w:rsidR="006E09E8" w:rsidRPr="006E09E8" w:rsidRDefault="003A0A61" w:rsidP="006E09E8">
            <w:pPr>
              <w:spacing w:before="120" w:line="276" w:lineRule="auto"/>
              <w:rPr>
                <w:rFonts w:ascii="Calibri" w:hAnsi="Calibri" w:cs="Calibri"/>
                <w:sz w:val="20"/>
                <w:szCs w:val="20"/>
              </w:rPr>
            </w:pPr>
            <w:r w:rsidRPr="003A0A61">
              <w:rPr>
                <w:rFonts w:ascii="Calibri" w:hAnsi="Calibri" w:cs="Calibri"/>
                <w:sz w:val="20"/>
                <w:szCs w:val="20"/>
                <w:lang w:val="en-US"/>
              </w:rPr>
              <w:t>Secondary observers collecting inter-observer agreement (</w:t>
            </w:r>
            <w:r>
              <w:rPr>
                <w:rFonts w:ascii="Calibri" w:hAnsi="Calibri" w:cs="Calibri"/>
                <w:sz w:val="20"/>
                <w:szCs w:val="20"/>
                <w:lang w:val="en-US"/>
              </w:rPr>
              <w:t>a check of data quality in which a second, independent observer is present to collect data; 30% of sessions)</w:t>
            </w:r>
            <w:r w:rsidRPr="003A0A61">
              <w:rPr>
                <w:rFonts w:ascii="Calibri" w:hAnsi="Calibri" w:cs="Calibri"/>
                <w:sz w:val="20"/>
                <w:szCs w:val="20"/>
                <w:lang w:val="en-US"/>
              </w:rPr>
              <w:t xml:space="preserve">, and observers collecting procedural integrity (a checklist to ensure the experimenter is following the procedure correctly) </w:t>
            </w:r>
            <w:r>
              <w:rPr>
                <w:rFonts w:ascii="Calibri" w:hAnsi="Calibri" w:cs="Calibri"/>
                <w:sz w:val="20"/>
                <w:szCs w:val="20"/>
                <w:lang w:val="en-US"/>
              </w:rPr>
              <w:t>will be present during some sessions.</w:t>
            </w:r>
            <w:r w:rsidRPr="003A0A61">
              <w:rPr>
                <w:rFonts w:ascii="Calibri" w:hAnsi="Calibri" w:cs="Calibri"/>
                <w:sz w:val="20"/>
                <w:szCs w:val="20"/>
                <w:lang w:val="en-US"/>
              </w:rPr>
              <w:t xml:space="preserve"> They will be required to fill out a confidentiality agreement</w:t>
            </w:r>
          </w:p>
        </w:tc>
      </w:tr>
    </w:tbl>
    <w:p w14:paraId="3A7B7F31" w14:textId="77777777" w:rsidR="00E5352C" w:rsidRPr="00CD23A5" w:rsidRDefault="00E5352C" w:rsidP="00CD23A5">
      <w:pPr>
        <w:spacing w:before="120" w:line="276" w:lineRule="auto"/>
        <w:rPr>
          <w:rFonts w:ascii="Verdana" w:eastAsia="Calibri" w:hAnsi="Verdana"/>
          <w:sz w:val="20"/>
          <w:szCs w:val="22"/>
          <w:lang w:val="en-NZ" w:eastAsia="en-US"/>
        </w:rPr>
      </w:pPr>
    </w:p>
    <w:tbl>
      <w:tblPr>
        <w:tblStyle w:val="TableGrid1"/>
        <w:tblW w:w="9072" w:type="dxa"/>
        <w:tblInd w:w="137" w:type="dxa"/>
        <w:tblLook w:val="04A0" w:firstRow="1" w:lastRow="0" w:firstColumn="1" w:lastColumn="0" w:noHBand="0" w:noVBand="1"/>
      </w:tblPr>
      <w:tblGrid>
        <w:gridCol w:w="9072"/>
      </w:tblGrid>
      <w:tr w:rsidR="00CD23A5" w:rsidRPr="00CD23A5" w14:paraId="461976DA" w14:textId="77777777" w:rsidTr="00CD23A5">
        <w:trPr>
          <w:trHeight w:val="227"/>
        </w:trPr>
        <w:tc>
          <w:tcPr>
            <w:tcW w:w="9072" w:type="dxa"/>
            <w:tcBorders>
              <w:top w:val="single" w:sz="4" w:space="0" w:color="5B9BD5"/>
              <w:left w:val="single" w:sz="4" w:space="0" w:color="5B9BD5"/>
              <w:bottom w:val="single" w:sz="4" w:space="0" w:color="5B9BD5"/>
              <w:right w:val="single" w:sz="4" w:space="0" w:color="5B9BD5"/>
            </w:tcBorders>
            <w:shd w:val="clear" w:color="auto" w:fill="BDD6EE"/>
          </w:tcPr>
          <w:p w14:paraId="7FCBBCDD" w14:textId="6E66ACC1" w:rsidR="00CD23A5" w:rsidRPr="00CD23A5" w:rsidRDefault="008517A9" w:rsidP="00CD23A5">
            <w:pPr>
              <w:spacing w:before="120" w:line="276" w:lineRule="auto"/>
              <w:rPr>
                <w:rFonts w:ascii="Calibri" w:hAnsi="Calibri" w:cs="Calibri"/>
                <w:b/>
                <w:color w:val="000000"/>
                <w:sz w:val="20"/>
                <w:szCs w:val="20"/>
              </w:rPr>
            </w:pPr>
            <w:r>
              <w:rPr>
                <w:rFonts w:ascii="Calibri" w:hAnsi="Calibri" w:cs="Calibri"/>
                <w:b/>
                <w:color w:val="000000"/>
                <w:sz w:val="20"/>
                <w:szCs w:val="20"/>
              </w:rPr>
              <w:t>Contributions</w:t>
            </w:r>
            <w:r w:rsidR="002B7CB3">
              <w:rPr>
                <w:rFonts w:ascii="Calibri" w:hAnsi="Calibri" w:cs="Calibri"/>
                <w:b/>
                <w:color w:val="000000"/>
                <w:sz w:val="20"/>
                <w:szCs w:val="20"/>
              </w:rPr>
              <w:t xml:space="preserve"> to knowledge base</w:t>
            </w:r>
          </w:p>
        </w:tc>
      </w:tr>
      <w:tr w:rsidR="00CD23A5" w:rsidRPr="00CD23A5" w14:paraId="36A5080F" w14:textId="77777777" w:rsidTr="00CD23A5">
        <w:trPr>
          <w:trHeight w:val="611"/>
        </w:trPr>
        <w:tc>
          <w:tcPr>
            <w:tcW w:w="9072" w:type="dxa"/>
          </w:tcPr>
          <w:p w14:paraId="59F159BE" w14:textId="4C8F7B78"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Understanding behaviour for people with dementia will directly contribute to developing effective service delivery. The assessments we will evaluate allow for an understanding of how best to ensure that a person can access meaningful activities. Being able to use these assessments effectively, but also in a way valued by people with dementia, will enhance their use, increasing the potential impact for people living with dementia to live well</w:t>
            </w:r>
            <w:r w:rsidR="002B7CB3">
              <w:rPr>
                <w:rFonts w:ascii="Calibri" w:hAnsi="Calibri" w:cs="Calibri"/>
                <w:sz w:val="20"/>
                <w:szCs w:val="20"/>
              </w:rPr>
              <w:t>.</w:t>
            </w:r>
            <w:r w:rsidRPr="00CD23A5">
              <w:rPr>
                <w:rFonts w:ascii="Calibri" w:hAnsi="Calibri" w:cs="Calibri"/>
                <w:sz w:val="20"/>
                <w:szCs w:val="20"/>
              </w:rPr>
              <w:t xml:space="preserve"> </w:t>
            </w:r>
          </w:p>
          <w:p w14:paraId="1B0CB1FB" w14:textId="4526A291"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lastRenderedPageBreak/>
              <w:t xml:space="preserve">Our research is conducted alongside people living with dementia, their care partners, and the services supporting them. We strongly emphasise co-design, and this project will enable a strengthening of the community connections that the Learning and Behaviour Programme has developed. Therefore, this work might have further impact in that it helps to further support collaborations. The inclusion of a Research Assistant provides an opportunity for a promising student or clinician to gain experience in behavioural gerontology, further widening the potential for people with dementia to access behavioural support by contributing to this workforce. </w:t>
            </w:r>
          </w:p>
          <w:p w14:paraId="5114A97F" w14:textId="2211C2D1"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The number of people living with dementia continues to increase (predicted to be 50 million worldwide, with an additional 10 million diagnoses per year; WHO, 2023). The project aligns with the government’s Healthy Ageing Strategy priorities: 5) Implement models of care that are needs based, person-centred and equitable and 6) Support the capacity and capability of the workforce to provide care and support (Healthy Ageing Strategy, 2016). Additionally, it aligns with other action plans and strategies, both in Aotearoa and on the world stage (e.g., Better Later Life – He </w:t>
            </w:r>
            <w:proofErr w:type="spellStart"/>
            <w:r w:rsidRPr="00CD23A5">
              <w:rPr>
                <w:rFonts w:ascii="Calibri" w:hAnsi="Calibri" w:cs="Calibri"/>
                <w:sz w:val="20"/>
                <w:szCs w:val="20"/>
              </w:rPr>
              <w:t>Oranga</w:t>
            </w:r>
            <w:proofErr w:type="spellEnd"/>
            <w:r w:rsidRPr="00CD23A5">
              <w:rPr>
                <w:rFonts w:ascii="Calibri" w:hAnsi="Calibri" w:cs="Calibri"/>
                <w:sz w:val="20"/>
                <w:szCs w:val="20"/>
              </w:rPr>
              <w:t xml:space="preserve"> Kaumātua, World Health Organisation Global Dementia Action Plan)</w:t>
            </w:r>
            <w:r w:rsidR="002B7CB3">
              <w:rPr>
                <w:rFonts w:ascii="Calibri" w:hAnsi="Calibri" w:cs="Calibri"/>
                <w:sz w:val="20"/>
                <w:szCs w:val="20"/>
              </w:rPr>
              <w:t>.</w:t>
            </w:r>
            <w:r w:rsidRPr="00CD23A5">
              <w:rPr>
                <w:rFonts w:ascii="Calibri" w:hAnsi="Calibri" w:cs="Calibri"/>
                <w:sz w:val="20"/>
                <w:szCs w:val="20"/>
              </w:rPr>
              <w:t xml:space="preserve"> </w:t>
            </w:r>
          </w:p>
          <w:p w14:paraId="523551C1"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Ministry of Health. (2013). New Zealand Framework for Dementia Care. Wellington: Ministry of Health. </w:t>
            </w:r>
            <w:hyperlink r:id="rId18" w:history="1">
              <w:r w:rsidRPr="00CD23A5">
                <w:rPr>
                  <w:rFonts w:ascii="Calibri" w:hAnsi="Calibri" w:cs="Calibri"/>
                  <w:color w:val="0563C1"/>
                  <w:sz w:val="20"/>
                  <w:szCs w:val="20"/>
                  <w:u w:val="single"/>
                </w:rPr>
                <w:t>https://www.health.govt.nz/system/files/documents/publications/new-zealand-framework-for-dementia-care-nov13.pdf</w:t>
              </w:r>
            </w:hyperlink>
          </w:p>
          <w:p w14:paraId="628E3606"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Associate Minister of Health. (2016). </w:t>
            </w:r>
            <w:r w:rsidRPr="00CD23A5">
              <w:rPr>
                <w:rFonts w:ascii="Calibri" w:hAnsi="Calibri" w:cs="Calibri"/>
                <w:i/>
                <w:iCs/>
                <w:sz w:val="20"/>
                <w:szCs w:val="20"/>
              </w:rPr>
              <w:t>Healthy Ageing Strategy</w:t>
            </w:r>
            <w:r w:rsidRPr="00CD23A5">
              <w:rPr>
                <w:rFonts w:ascii="Calibri" w:hAnsi="Calibri" w:cs="Calibri"/>
                <w:sz w:val="20"/>
                <w:szCs w:val="20"/>
              </w:rPr>
              <w:t xml:space="preserve">. Wellington: Ministry of Health. </w:t>
            </w:r>
            <w:hyperlink r:id="rId19" w:history="1">
              <w:r w:rsidRPr="00CD23A5">
                <w:rPr>
                  <w:rFonts w:ascii="Calibri" w:hAnsi="Calibri" w:cs="Calibri"/>
                  <w:color w:val="0563C1"/>
                  <w:sz w:val="20"/>
                  <w:szCs w:val="20"/>
                  <w:u w:val="single"/>
                </w:rPr>
                <w:t>https://www.health.govt.nz/system/files/documents/publications/healthy-ageing-strategy_june_2017.pdf</w:t>
              </w:r>
            </w:hyperlink>
          </w:p>
          <w:p w14:paraId="04BB6704" w14:textId="77777777" w:rsidR="00CD23A5" w:rsidRPr="00CD23A5" w:rsidRDefault="00CD23A5" w:rsidP="00CD23A5">
            <w:pPr>
              <w:spacing w:before="120" w:line="276" w:lineRule="auto"/>
              <w:rPr>
                <w:rFonts w:ascii="Calibri" w:hAnsi="Calibri" w:cs="Calibri"/>
                <w:sz w:val="20"/>
                <w:szCs w:val="20"/>
              </w:rPr>
            </w:pPr>
            <w:proofErr w:type="spellStart"/>
            <w:r w:rsidRPr="00CD23A5">
              <w:rPr>
                <w:rFonts w:ascii="Calibri" w:hAnsi="Calibri" w:cs="Calibri"/>
                <w:sz w:val="20"/>
                <w:szCs w:val="20"/>
              </w:rPr>
              <w:t>Te</w:t>
            </w:r>
            <w:proofErr w:type="spellEnd"/>
            <w:r w:rsidRPr="00CD23A5">
              <w:rPr>
                <w:rFonts w:ascii="Calibri" w:hAnsi="Calibri" w:cs="Calibri"/>
                <w:sz w:val="20"/>
                <w:szCs w:val="20"/>
              </w:rPr>
              <w:t xml:space="preserve"> Tari Kaumātua Office for Seniors. (2019). Better Later Life – He </w:t>
            </w:r>
            <w:proofErr w:type="spellStart"/>
            <w:r w:rsidRPr="00CD23A5">
              <w:rPr>
                <w:rFonts w:ascii="Calibri" w:hAnsi="Calibri" w:cs="Calibri"/>
                <w:sz w:val="20"/>
                <w:szCs w:val="20"/>
              </w:rPr>
              <w:t>Oranga</w:t>
            </w:r>
            <w:proofErr w:type="spellEnd"/>
            <w:r w:rsidRPr="00CD23A5">
              <w:rPr>
                <w:rFonts w:ascii="Calibri" w:hAnsi="Calibri" w:cs="Calibri"/>
                <w:sz w:val="20"/>
                <w:szCs w:val="20"/>
              </w:rPr>
              <w:t xml:space="preserve"> Kaumātua.</w:t>
            </w:r>
          </w:p>
          <w:p w14:paraId="246BA7F9" w14:textId="77777777" w:rsidR="00CD23A5" w:rsidRPr="00CD23A5" w:rsidRDefault="00413968" w:rsidP="00CD23A5">
            <w:pPr>
              <w:spacing w:before="120" w:line="276" w:lineRule="auto"/>
              <w:rPr>
                <w:rFonts w:ascii="Calibri" w:hAnsi="Calibri" w:cs="Calibri"/>
                <w:sz w:val="20"/>
                <w:szCs w:val="20"/>
              </w:rPr>
            </w:pPr>
            <w:hyperlink r:id="rId20" w:history="1">
              <w:r w:rsidR="00CD23A5" w:rsidRPr="00CD23A5">
                <w:rPr>
                  <w:rFonts w:ascii="Calibri" w:hAnsi="Calibri" w:cs="Calibri"/>
                  <w:color w:val="0563C1"/>
                  <w:sz w:val="20"/>
                  <w:szCs w:val="20"/>
                  <w:u w:val="single"/>
                </w:rPr>
                <w:t>https://officeforseniors.govt.nz/better-later-life-strategy/</w:t>
              </w:r>
            </w:hyperlink>
          </w:p>
          <w:p w14:paraId="5117B2AE"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World Health Organization. (2017). Global action plan on the public health response to dementia 2017–2025. Geneva. Licence: CC BY-NC-SA 3.0 IGO.</w:t>
            </w:r>
          </w:p>
          <w:p w14:paraId="152E9208" w14:textId="77777777" w:rsidR="00CD23A5" w:rsidRPr="00CD23A5" w:rsidRDefault="00413968" w:rsidP="00CD23A5">
            <w:pPr>
              <w:spacing w:before="120" w:line="276" w:lineRule="auto"/>
              <w:rPr>
                <w:rFonts w:ascii="Calibri" w:hAnsi="Calibri" w:cs="Calibri"/>
                <w:sz w:val="20"/>
                <w:szCs w:val="20"/>
              </w:rPr>
            </w:pPr>
            <w:hyperlink r:id="rId21" w:history="1">
              <w:r w:rsidR="00CD23A5" w:rsidRPr="00CD23A5">
                <w:rPr>
                  <w:rFonts w:ascii="Calibri" w:hAnsi="Calibri" w:cs="Calibri"/>
                  <w:color w:val="0563C1"/>
                  <w:sz w:val="20"/>
                  <w:szCs w:val="20"/>
                  <w:u w:val="single"/>
                </w:rPr>
                <w:t>https://www.who.int/publications/i/item/9789241513487</w:t>
              </w:r>
            </w:hyperlink>
          </w:p>
        </w:tc>
      </w:tr>
    </w:tbl>
    <w:p w14:paraId="74330867" w14:textId="77777777" w:rsidR="00CD23A5" w:rsidRPr="00CD23A5" w:rsidRDefault="00CD23A5" w:rsidP="00CD23A5">
      <w:pPr>
        <w:spacing w:before="120" w:line="276" w:lineRule="auto"/>
        <w:rPr>
          <w:rFonts w:ascii="Verdana" w:eastAsia="Calibri" w:hAnsi="Verdana"/>
          <w:sz w:val="20"/>
          <w:szCs w:val="22"/>
          <w:lang w:val="en-NZ" w:eastAsia="en-US"/>
        </w:rPr>
      </w:pPr>
    </w:p>
    <w:tbl>
      <w:tblPr>
        <w:tblStyle w:val="TableGrid1"/>
        <w:tblW w:w="9072" w:type="dxa"/>
        <w:tblInd w:w="137" w:type="dxa"/>
        <w:tblLook w:val="04A0" w:firstRow="1" w:lastRow="0" w:firstColumn="1" w:lastColumn="0" w:noHBand="0" w:noVBand="1"/>
      </w:tblPr>
      <w:tblGrid>
        <w:gridCol w:w="9072"/>
      </w:tblGrid>
      <w:tr w:rsidR="00CD23A5" w:rsidRPr="00CD23A5" w14:paraId="25B3780F" w14:textId="77777777" w:rsidTr="00CD23A5">
        <w:trPr>
          <w:trHeight w:val="227"/>
        </w:trPr>
        <w:tc>
          <w:tcPr>
            <w:tcW w:w="9072" w:type="dxa"/>
            <w:tcBorders>
              <w:top w:val="single" w:sz="4" w:space="0" w:color="5B9BD5"/>
              <w:left w:val="single" w:sz="4" w:space="0" w:color="5B9BD5"/>
              <w:bottom w:val="single" w:sz="4" w:space="0" w:color="5B9BD5"/>
              <w:right w:val="single" w:sz="4" w:space="0" w:color="5B9BD5"/>
            </w:tcBorders>
            <w:shd w:val="clear" w:color="auto" w:fill="BDD6EE"/>
          </w:tcPr>
          <w:p w14:paraId="3580B52E" w14:textId="79E05B34" w:rsidR="00CD23A5" w:rsidRPr="00CD23A5" w:rsidRDefault="00CD23A5" w:rsidP="00CD23A5">
            <w:pPr>
              <w:spacing w:before="120" w:line="276" w:lineRule="auto"/>
              <w:rPr>
                <w:rFonts w:ascii="Calibri" w:hAnsi="Calibri" w:cs="Calibri"/>
                <w:b/>
                <w:color w:val="000000"/>
                <w:sz w:val="20"/>
                <w:szCs w:val="20"/>
              </w:rPr>
            </w:pPr>
            <w:r w:rsidRPr="00CD23A5">
              <w:rPr>
                <w:rFonts w:ascii="Calibri" w:hAnsi="Calibri" w:cs="Calibri"/>
                <w:b/>
                <w:sz w:val="20"/>
                <w:szCs w:val="20"/>
              </w:rPr>
              <w:t xml:space="preserve">Vision </w:t>
            </w:r>
            <w:proofErr w:type="spellStart"/>
            <w:r w:rsidRPr="00CD23A5">
              <w:rPr>
                <w:rFonts w:ascii="Calibri" w:hAnsi="Calibri" w:cs="Calibri"/>
                <w:b/>
                <w:sz w:val="20"/>
                <w:szCs w:val="20"/>
              </w:rPr>
              <w:t>Mātauranga</w:t>
            </w:r>
            <w:proofErr w:type="spellEnd"/>
            <w:r w:rsidRPr="00CD23A5">
              <w:rPr>
                <w:rFonts w:ascii="Calibri" w:hAnsi="Calibri" w:cs="Calibri"/>
                <w:color w:val="000000"/>
                <w:sz w:val="20"/>
                <w:szCs w:val="20"/>
              </w:rPr>
              <w:t xml:space="preserve"> </w:t>
            </w:r>
          </w:p>
        </w:tc>
      </w:tr>
      <w:tr w:rsidR="00CD23A5" w:rsidRPr="00CD23A5" w14:paraId="30D38557" w14:textId="77777777" w:rsidTr="00CD23A5">
        <w:trPr>
          <w:trHeight w:val="770"/>
        </w:trPr>
        <w:tc>
          <w:tcPr>
            <w:tcW w:w="9072" w:type="dxa"/>
          </w:tcPr>
          <w:p w14:paraId="7111A2D3" w14:textId="77777777" w:rsidR="00CD23A5" w:rsidRPr="00CD23A5" w:rsidRDefault="00CD23A5" w:rsidP="00CD23A5">
            <w:pPr>
              <w:spacing w:before="120" w:line="276" w:lineRule="auto"/>
              <w:rPr>
                <w:rFonts w:ascii="Calibri" w:hAnsi="Calibri" w:cs="Calibri"/>
                <w:b/>
                <w:bCs/>
                <w:sz w:val="20"/>
                <w:szCs w:val="20"/>
              </w:rPr>
            </w:pPr>
            <w:r w:rsidRPr="00CD23A5">
              <w:rPr>
                <w:rFonts w:ascii="Calibri" w:hAnsi="Calibri" w:cs="Calibri"/>
                <w:b/>
                <w:bCs/>
                <w:sz w:val="20"/>
                <w:szCs w:val="20"/>
              </w:rPr>
              <w:t>Indigenous Innovation</w:t>
            </w:r>
          </w:p>
          <w:p w14:paraId="4CA06E84"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The inclusion of Māori as partners in the research will contribute to the outputs of the project (i.e., best practice guidelines). Including Māori participants will promote the inclusion of Māori knowledge. Because the acceptability of behavioural methods is what is of interest, the project strongly aligns with this theme in the aim to hear the voices of Māori living with dementia and their whānau.</w:t>
            </w:r>
          </w:p>
          <w:p w14:paraId="41BC8D27" w14:textId="77777777" w:rsidR="00CD23A5" w:rsidRPr="00CD23A5" w:rsidRDefault="00CD23A5" w:rsidP="00CD23A5">
            <w:pPr>
              <w:spacing w:before="120" w:line="276" w:lineRule="auto"/>
              <w:rPr>
                <w:rFonts w:ascii="Calibri" w:hAnsi="Calibri" w:cs="Calibri"/>
                <w:b/>
                <w:bCs/>
                <w:sz w:val="20"/>
                <w:szCs w:val="20"/>
              </w:rPr>
            </w:pPr>
            <w:r w:rsidRPr="00CD23A5">
              <w:rPr>
                <w:rFonts w:ascii="Calibri" w:hAnsi="Calibri" w:cs="Calibri"/>
                <w:b/>
                <w:bCs/>
                <w:sz w:val="20"/>
                <w:szCs w:val="20"/>
              </w:rPr>
              <w:t>Hauora/</w:t>
            </w:r>
            <w:proofErr w:type="spellStart"/>
            <w:r w:rsidRPr="00CD23A5">
              <w:rPr>
                <w:rFonts w:ascii="Calibri" w:hAnsi="Calibri" w:cs="Calibri"/>
                <w:b/>
                <w:bCs/>
                <w:sz w:val="20"/>
                <w:szCs w:val="20"/>
              </w:rPr>
              <w:t>Oranga</w:t>
            </w:r>
            <w:proofErr w:type="spellEnd"/>
          </w:p>
          <w:p w14:paraId="797FEAC7"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The overarching aim of the project is to improve health and social wellbeing of people with dementia, which aligns with the theme of </w:t>
            </w:r>
            <w:proofErr w:type="spellStart"/>
            <w:r w:rsidRPr="00CD23A5">
              <w:rPr>
                <w:rFonts w:ascii="Calibri" w:hAnsi="Calibri" w:cs="Calibri"/>
                <w:sz w:val="20"/>
                <w:szCs w:val="20"/>
              </w:rPr>
              <w:t>hauora</w:t>
            </w:r>
            <w:proofErr w:type="spellEnd"/>
            <w:r w:rsidRPr="00CD23A5">
              <w:rPr>
                <w:rFonts w:ascii="Calibri" w:hAnsi="Calibri" w:cs="Calibri"/>
                <w:sz w:val="20"/>
                <w:szCs w:val="20"/>
              </w:rPr>
              <w:t xml:space="preserve"> / </w:t>
            </w:r>
            <w:proofErr w:type="spellStart"/>
            <w:r w:rsidRPr="00CD23A5">
              <w:rPr>
                <w:rFonts w:ascii="Calibri" w:hAnsi="Calibri" w:cs="Calibri"/>
                <w:sz w:val="20"/>
                <w:szCs w:val="20"/>
              </w:rPr>
              <w:t>oranga</w:t>
            </w:r>
            <w:proofErr w:type="spellEnd"/>
            <w:r w:rsidRPr="00CD23A5">
              <w:rPr>
                <w:rFonts w:ascii="Calibri" w:hAnsi="Calibri" w:cs="Calibri"/>
                <w:sz w:val="20"/>
                <w:szCs w:val="20"/>
              </w:rPr>
              <w:t>.  Specifically, we are interested in what makes behavioural methods effective and acceptable at an individual level, which allows for an assessment of how behaviour analysis can meet the distinctive needs of Māori and Māori communities.</w:t>
            </w:r>
          </w:p>
          <w:p w14:paraId="3B5EDDC9" w14:textId="77777777" w:rsidR="00CD23A5" w:rsidRPr="00CD23A5" w:rsidRDefault="00CD23A5" w:rsidP="00CD23A5">
            <w:pPr>
              <w:spacing w:before="120" w:line="276" w:lineRule="auto"/>
              <w:rPr>
                <w:rFonts w:ascii="Calibri" w:hAnsi="Calibri" w:cs="Calibri"/>
                <w:b/>
                <w:bCs/>
                <w:sz w:val="20"/>
                <w:szCs w:val="20"/>
              </w:rPr>
            </w:pPr>
            <w:proofErr w:type="spellStart"/>
            <w:r w:rsidRPr="00CD23A5">
              <w:rPr>
                <w:rFonts w:ascii="Calibri" w:hAnsi="Calibri" w:cs="Calibri"/>
                <w:b/>
                <w:bCs/>
                <w:sz w:val="20"/>
                <w:szCs w:val="20"/>
              </w:rPr>
              <w:t>Mātauranga</w:t>
            </w:r>
            <w:proofErr w:type="spellEnd"/>
          </w:p>
          <w:p w14:paraId="416F4DD9"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We hope to ensure, through the inclusion of key stakeholders and community outreach, that Māori will have a kaitiaki role in the project (i.e., beyond consultation). This will be facilitated by seeking input throughout the project (e.g., implementation, framing of results)</w:t>
            </w:r>
          </w:p>
          <w:p w14:paraId="660A51E6" w14:textId="77777777" w:rsidR="00CD23A5" w:rsidRPr="00CD23A5" w:rsidRDefault="00CD23A5" w:rsidP="00CD23A5">
            <w:pPr>
              <w:spacing w:before="120" w:line="276" w:lineRule="auto"/>
              <w:rPr>
                <w:rFonts w:ascii="Calibri" w:hAnsi="Calibri" w:cs="Calibri"/>
                <w:sz w:val="20"/>
                <w:szCs w:val="20"/>
              </w:rPr>
            </w:pPr>
            <w:r w:rsidRPr="00CD23A5">
              <w:rPr>
                <w:rFonts w:ascii="Calibri" w:hAnsi="Calibri" w:cs="Calibri"/>
                <w:sz w:val="20"/>
                <w:szCs w:val="20"/>
              </w:rPr>
              <w:t xml:space="preserve">We will ensure the consideration of Māori research design analysis and dissemination of the results in considering Māori ethical framework </w:t>
            </w:r>
            <w:proofErr w:type="spellStart"/>
            <w:r w:rsidRPr="00CD23A5">
              <w:rPr>
                <w:rFonts w:ascii="Calibri" w:hAnsi="Calibri" w:cs="Calibri"/>
                <w:sz w:val="20"/>
                <w:szCs w:val="20"/>
              </w:rPr>
              <w:t>Te</w:t>
            </w:r>
            <w:proofErr w:type="spellEnd"/>
            <w:r w:rsidRPr="00CD23A5">
              <w:rPr>
                <w:rFonts w:ascii="Calibri" w:hAnsi="Calibri" w:cs="Calibri"/>
                <w:sz w:val="20"/>
                <w:szCs w:val="20"/>
              </w:rPr>
              <w:t xml:space="preserve"> Ara Tika. The project could be categorised as Research Specifically Relevant to Māori (as specified by the MBIE). </w:t>
            </w:r>
          </w:p>
          <w:p w14:paraId="34F4DD1E" w14:textId="77777777" w:rsidR="00CD23A5" w:rsidRPr="00CD23A5" w:rsidRDefault="00413968" w:rsidP="00CD23A5">
            <w:pPr>
              <w:spacing w:before="120" w:line="276" w:lineRule="auto"/>
              <w:rPr>
                <w:rFonts w:ascii="Calibri" w:hAnsi="Calibri" w:cs="Calibri"/>
                <w:sz w:val="20"/>
                <w:szCs w:val="20"/>
              </w:rPr>
            </w:pPr>
            <w:hyperlink r:id="rId22" w:history="1">
              <w:r w:rsidR="00CD23A5" w:rsidRPr="00CD23A5">
                <w:rPr>
                  <w:rFonts w:ascii="Calibri" w:hAnsi="Calibri" w:cs="Calibri"/>
                  <w:color w:val="0563C1"/>
                  <w:sz w:val="20"/>
                  <w:szCs w:val="20"/>
                  <w:u w:val="single"/>
                </w:rPr>
                <w:t>http://www.hrc.govt.nz/sites/default/files/2019-06/Resource%20Library%20PDF%20-%20Te%20Ara%20Tika%20Guidelines%20for%20Maori%20Research%20Ethics_0.pdf</w:t>
              </w:r>
            </w:hyperlink>
          </w:p>
        </w:tc>
      </w:tr>
    </w:tbl>
    <w:p w14:paraId="3DAF3259" w14:textId="77777777" w:rsidR="00CD23A5" w:rsidRPr="00CD23A5" w:rsidRDefault="00CD23A5" w:rsidP="00CD23A5">
      <w:pPr>
        <w:spacing w:before="120" w:line="276" w:lineRule="auto"/>
        <w:rPr>
          <w:rFonts w:ascii="Verdana" w:eastAsia="Calibri" w:hAnsi="Verdana"/>
          <w:sz w:val="20"/>
          <w:szCs w:val="22"/>
          <w:lang w:val="en-NZ" w:eastAsia="en-US"/>
        </w:rPr>
      </w:pPr>
    </w:p>
    <w:p w14:paraId="26000957" w14:textId="77777777" w:rsidR="00720043" w:rsidRDefault="00720043" w:rsidP="00720043">
      <w:pPr>
        <w:spacing w:after="360" w:line="360" w:lineRule="auto"/>
        <w:rPr>
          <w:rFonts w:ascii="Arial" w:hAnsi="Arial" w:cs="Arial"/>
          <w:b/>
          <w:bCs/>
          <w:sz w:val="32"/>
          <w:szCs w:val="32"/>
        </w:rPr>
      </w:pPr>
    </w:p>
    <w:sectPr w:rsidR="00720043" w:rsidSect="00264D39">
      <w:headerReference w:type="first" r:id="rId23"/>
      <w:pgSz w:w="11907" w:h="16840" w:code="9"/>
      <w:pgMar w:top="1247" w:right="1304" w:bottom="1247" w:left="1304" w:header="561"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4A6A" w14:textId="77777777" w:rsidR="00264D39" w:rsidRDefault="00264D39">
      <w:r>
        <w:separator/>
      </w:r>
    </w:p>
  </w:endnote>
  <w:endnote w:type="continuationSeparator" w:id="0">
    <w:p w14:paraId="7A54F5A2" w14:textId="77777777" w:rsidR="00264D39" w:rsidRDefault="0026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b 2Stone Sans Semibold">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E602" w14:textId="77777777" w:rsidR="00264D39" w:rsidRDefault="00264D39">
      <w:r>
        <w:separator/>
      </w:r>
    </w:p>
  </w:footnote>
  <w:footnote w:type="continuationSeparator" w:id="0">
    <w:p w14:paraId="0370DA92" w14:textId="77777777" w:rsidR="00264D39" w:rsidRDefault="0026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27C" w14:textId="77777777" w:rsidR="00112462" w:rsidRDefault="00112462" w:rsidP="00112462">
    <w:pPr>
      <w:pStyle w:val="Header"/>
      <w:tabs>
        <w:tab w:val="clear" w:pos="4320"/>
        <w:tab w:val="clear" w:pos="8640"/>
        <w:tab w:val="left" w:pos="2268"/>
        <w:tab w:val="left" w:pos="6237"/>
      </w:tabs>
      <w:spacing w:line="180" w:lineRule="exact"/>
      <w:rPr>
        <w:rFonts w:ascii="Arial" w:hAnsi="Arial"/>
        <w:sz w:val="12"/>
      </w:rPr>
    </w:pPr>
    <w:r>
      <w:rPr>
        <w:noProof/>
        <w:sz w:val="14"/>
        <w:lang w:val="en-US" w:eastAsia="zh-TW"/>
      </w:rPr>
      <mc:AlternateContent>
        <mc:Choice Requires="wps">
          <w:drawing>
            <wp:anchor distT="0" distB="0" distL="114300" distR="114300" simplePos="0" relativeHeight="251659264" behindDoc="0" locked="0" layoutInCell="1" allowOverlap="1" wp14:anchorId="7DEB7DA3" wp14:editId="4E3FD657">
              <wp:simplePos x="0" y="0"/>
              <wp:positionH relativeFrom="column">
                <wp:posOffset>4540250</wp:posOffset>
              </wp:positionH>
              <wp:positionV relativeFrom="paragraph">
                <wp:posOffset>-93345</wp:posOffset>
              </wp:positionV>
              <wp:extent cx="2514600" cy="21717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6732C" w14:textId="77777777" w:rsidR="00112462" w:rsidRDefault="00112462" w:rsidP="00112462">
                          <w:pPr>
                            <w:spacing w:line="200" w:lineRule="exact"/>
                            <w:rPr>
                              <w:rFonts w:ascii="Arial" w:hAnsi="Arial"/>
                              <w:color w:val="333333"/>
                              <w:sz w:val="14"/>
                            </w:rPr>
                          </w:pPr>
                        </w:p>
                        <w:p w14:paraId="313D3561" w14:textId="77777777" w:rsidR="00112462" w:rsidRPr="00E43FC8" w:rsidRDefault="00112462" w:rsidP="00112462">
                          <w:pPr>
                            <w:pStyle w:val="BodyText"/>
                            <w:spacing w:before="109"/>
                            <w:rPr>
                              <w:rFonts w:ascii="Verdana" w:hAnsi="Verdana"/>
                            </w:rPr>
                          </w:pPr>
                          <w:r>
                            <w:rPr>
                              <w:rFonts w:ascii="Verdana" w:hAnsi="Verdana"/>
                              <w:color w:val="58595B"/>
                            </w:rPr>
                            <w:t>Science Centre, Building 302</w:t>
                          </w:r>
                        </w:p>
                        <w:p w14:paraId="14358E47" w14:textId="77777777" w:rsidR="00112462" w:rsidRDefault="00112462" w:rsidP="00112462">
                          <w:pPr>
                            <w:pStyle w:val="BodyText"/>
                            <w:tabs>
                              <w:tab w:val="left" w:pos="2552"/>
                            </w:tabs>
                            <w:spacing w:line="249" w:lineRule="auto"/>
                            <w:ind w:right="500"/>
                            <w:rPr>
                              <w:rFonts w:ascii="Verdana" w:hAnsi="Verdana"/>
                              <w:color w:val="58595B"/>
                            </w:rPr>
                          </w:pPr>
                          <w:r>
                            <w:rPr>
                              <w:rFonts w:ascii="Verdana" w:hAnsi="Verdana"/>
                              <w:color w:val="58595B"/>
                            </w:rPr>
                            <w:t>2</w:t>
                          </w:r>
                          <w:r w:rsidRPr="00FD3D5D">
                            <w:rPr>
                              <w:rFonts w:ascii="Verdana" w:hAnsi="Verdana"/>
                              <w:color w:val="58595B"/>
                              <w:vertAlign w:val="superscript"/>
                            </w:rPr>
                            <w:t>nd</w:t>
                          </w:r>
                          <w:r>
                            <w:rPr>
                              <w:rFonts w:ascii="Verdana" w:hAnsi="Verdana"/>
                              <w:color w:val="58595B"/>
                            </w:rPr>
                            <w:t xml:space="preserve"> Floor, Room 236</w:t>
                          </w:r>
                        </w:p>
                        <w:p w14:paraId="659FEA92" w14:textId="77777777" w:rsidR="00112462" w:rsidRDefault="00112462" w:rsidP="00112462">
                          <w:pPr>
                            <w:pStyle w:val="BodyText"/>
                            <w:spacing w:line="249" w:lineRule="auto"/>
                            <w:ind w:right="74"/>
                            <w:rPr>
                              <w:rFonts w:ascii="Verdana" w:hAnsi="Verdana"/>
                              <w:color w:val="58595B"/>
                            </w:rPr>
                          </w:pPr>
                          <w:r>
                            <w:rPr>
                              <w:rFonts w:ascii="Verdana" w:hAnsi="Verdana"/>
                              <w:color w:val="58595B"/>
                            </w:rPr>
                            <w:t xml:space="preserve">23 Symonds Street, Auckland, </w:t>
                          </w:r>
                        </w:p>
                        <w:p w14:paraId="42F6C665" w14:textId="77777777" w:rsidR="00112462" w:rsidRPr="00E43FC8" w:rsidRDefault="00112462" w:rsidP="00112462">
                          <w:pPr>
                            <w:pStyle w:val="BodyText"/>
                            <w:spacing w:line="249" w:lineRule="auto"/>
                            <w:ind w:right="74"/>
                            <w:rPr>
                              <w:rFonts w:ascii="Verdana" w:hAnsi="Verdana"/>
                            </w:rPr>
                          </w:pPr>
                          <w:r w:rsidRPr="00E43FC8">
                            <w:rPr>
                              <w:rFonts w:ascii="Verdana" w:hAnsi="Verdana"/>
                              <w:color w:val="58595B"/>
                            </w:rPr>
                            <w:t>New</w:t>
                          </w:r>
                          <w:r w:rsidRPr="00E43FC8">
                            <w:rPr>
                              <w:rFonts w:ascii="Verdana" w:hAnsi="Verdana"/>
                              <w:color w:val="58595B"/>
                              <w:spacing w:val="-4"/>
                            </w:rPr>
                            <w:t xml:space="preserve"> </w:t>
                          </w:r>
                          <w:r w:rsidRPr="00E43FC8">
                            <w:rPr>
                              <w:rFonts w:ascii="Verdana" w:hAnsi="Verdana"/>
                              <w:color w:val="58595B"/>
                            </w:rPr>
                            <w:t xml:space="preserve">Zealand </w:t>
                          </w:r>
                          <w:r>
                            <w:rPr>
                              <w:rFonts w:ascii="Verdana" w:hAnsi="Verdana"/>
                              <w:color w:val="58595B"/>
                            </w:rPr>
                            <w:br/>
                          </w:r>
                          <w:r w:rsidRPr="00E43FC8">
                            <w:rPr>
                              <w:rFonts w:ascii="Verdana" w:hAnsi="Verdana"/>
                              <w:b/>
                              <w:color w:val="005DAA"/>
                            </w:rPr>
                            <w:t>T</w:t>
                          </w:r>
                          <w:r w:rsidRPr="00E43FC8">
                            <w:rPr>
                              <w:rFonts w:ascii="Verdana" w:hAnsi="Verdana"/>
                              <w:b/>
                              <w:color w:val="005DAA"/>
                              <w:spacing w:val="13"/>
                            </w:rPr>
                            <w:t xml:space="preserve"> </w:t>
                          </w:r>
                          <w:r w:rsidRPr="00E43FC8">
                            <w:rPr>
                              <w:rFonts w:ascii="Verdana" w:hAnsi="Verdana"/>
                              <w:color w:val="58595B"/>
                            </w:rPr>
                            <w:t>+64</w:t>
                          </w:r>
                          <w:r w:rsidRPr="00E43FC8">
                            <w:rPr>
                              <w:rFonts w:ascii="Verdana" w:hAnsi="Verdana"/>
                              <w:color w:val="58595B"/>
                              <w:spacing w:val="22"/>
                            </w:rPr>
                            <w:t xml:space="preserve"> </w:t>
                          </w:r>
                          <w:r w:rsidRPr="00E43FC8">
                            <w:rPr>
                              <w:rFonts w:ascii="Verdana" w:hAnsi="Verdana"/>
                              <w:color w:val="58595B"/>
                            </w:rPr>
                            <w:t>9</w:t>
                          </w:r>
                          <w:r w:rsidRPr="00E43FC8">
                            <w:rPr>
                              <w:rFonts w:ascii="Verdana" w:hAnsi="Verdana"/>
                              <w:color w:val="58595B"/>
                              <w:spacing w:val="22"/>
                            </w:rPr>
                            <w:t xml:space="preserve"> </w:t>
                          </w:r>
                          <w:r>
                            <w:rPr>
                              <w:rFonts w:ascii="Verdana" w:hAnsi="Verdana"/>
                              <w:color w:val="58595B"/>
                            </w:rPr>
                            <w:t>923 8557</w:t>
                          </w:r>
                        </w:p>
                        <w:p w14:paraId="1025E4FD" w14:textId="77777777" w:rsidR="00112462" w:rsidRPr="00E43FC8" w:rsidRDefault="00112462" w:rsidP="00112462">
                          <w:pPr>
                            <w:pStyle w:val="BodyText"/>
                            <w:spacing w:before="0"/>
                            <w:rPr>
                              <w:rFonts w:ascii="Verdana" w:hAnsi="Verdana"/>
                            </w:rPr>
                          </w:pPr>
                          <w:r w:rsidRPr="00E43FC8">
                            <w:rPr>
                              <w:rFonts w:ascii="Verdana" w:hAnsi="Verdana"/>
                              <w:b/>
                              <w:color w:val="005DAA"/>
                            </w:rPr>
                            <w:t>W</w:t>
                          </w:r>
                          <w:r w:rsidRPr="00E43FC8">
                            <w:rPr>
                              <w:rFonts w:ascii="Verdana" w:hAnsi="Verdana"/>
                              <w:b/>
                              <w:color w:val="005DAA"/>
                              <w:spacing w:val="6"/>
                            </w:rPr>
                            <w:t xml:space="preserve"> </w:t>
                          </w:r>
                          <w:r w:rsidRPr="00E43FC8">
                            <w:rPr>
                              <w:rFonts w:ascii="Verdana" w:hAnsi="Verdana"/>
                              <w:color w:val="58595B"/>
                            </w:rPr>
                            <w:t>auckland.ac.nz</w:t>
                          </w:r>
                        </w:p>
                        <w:p w14:paraId="18CE7EA7" w14:textId="77777777" w:rsidR="00112462" w:rsidRPr="00E43FC8" w:rsidRDefault="00112462" w:rsidP="00112462">
                          <w:pPr>
                            <w:spacing w:before="7"/>
                            <w:ind w:left="131"/>
                            <w:rPr>
                              <w:rFonts w:ascii="Verdana" w:eastAsia="Calibri" w:hAnsi="Verdana" w:cs="Calibri"/>
                              <w:sz w:val="15"/>
                              <w:szCs w:val="15"/>
                            </w:rPr>
                          </w:pPr>
                          <w:r w:rsidRPr="00E43FC8">
                            <w:rPr>
                              <w:rFonts w:ascii="Verdana" w:hAnsi="Verdana"/>
                              <w:b/>
                              <w:color w:val="58595B"/>
                              <w:sz w:val="15"/>
                            </w:rPr>
                            <w:t>The</w:t>
                          </w:r>
                          <w:r w:rsidRPr="00E43FC8">
                            <w:rPr>
                              <w:rFonts w:ascii="Verdana" w:hAnsi="Verdana"/>
                              <w:b/>
                              <w:color w:val="58595B"/>
                              <w:spacing w:val="7"/>
                              <w:sz w:val="15"/>
                            </w:rPr>
                            <w:t xml:space="preserve"> </w:t>
                          </w:r>
                          <w:r w:rsidRPr="00E43FC8">
                            <w:rPr>
                              <w:rFonts w:ascii="Verdana" w:hAnsi="Verdana"/>
                              <w:b/>
                              <w:color w:val="58595B"/>
                              <w:sz w:val="15"/>
                            </w:rPr>
                            <w:t>University</w:t>
                          </w:r>
                          <w:r w:rsidRPr="00E43FC8">
                            <w:rPr>
                              <w:rFonts w:ascii="Verdana" w:hAnsi="Verdana"/>
                              <w:b/>
                              <w:color w:val="58595B"/>
                              <w:spacing w:val="7"/>
                              <w:sz w:val="15"/>
                            </w:rPr>
                            <w:t xml:space="preserve"> </w:t>
                          </w:r>
                          <w:r w:rsidRPr="00E43FC8">
                            <w:rPr>
                              <w:rFonts w:ascii="Verdana" w:hAnsi="Verdana"/>
                              <w:b/>
                              <w:color w:val="58595B"/>
                              <w:sz w:val="15"/>
                            </w:rPr>
                            <w:t>of</w:t>
                          </w:r>
                          <w:r w:rsidRPr="00E43FC8">
                            <w:rPr>
                              <w:rFonts w:ascii="Verdana" w:hAnsi="Verdana"/>
                              <w:b/>
                              <w:color w:val="58595B"/>
                              <w:spacing w:val="8"/>
                              <w:sz w:val="15"/>
                            </w:rPr>
                            <w:t xml:space="preserve"> </w:t>
                          </w:r>
                          <w:r w:rsidRPr="00E43FC8">
                            <w:rPr>
                              <w:rFonts w:ascii="Verdana" w:hAnsi="Verdana"/>
                              <w:b/>
                              <w:color w:val="58595B"/>
                              <w:sz w:val="15"/>
                            </w:rPr>
                            <w:t>Auckland</w:t>
                          </w:r>
                        </w:p>
                        <w:p w14:paraId="44DD7DBF" w14:textId="77777777" w:rsidR="00112462" w:rsidRPr="00E43FC8" w:rsidRDefault="00112462" w:rsidP="00112462">
                          <w:pPr>
                            <w:pStyle w:val="BodyText"/>
                            <w:rPr>
                              <w:rFonts w:ascii="Verdana" w:hAnsi="Verdana"/>
                            </w:rPr>
                          </w:pPr>
                          <w:r w:rsidRPr="00E43FC8">
                            <w:rPr>
                              <w:rFonts w:ascii="Verdana" w:hAnsi="Verdana"/>
                              <w:color w:val="58595B"/>
                              <w:w w:val="105"/>
                            </w:rPr>
                            <w:t>Private</w:t>
                          </w:r>
                          <w:r w:rsidRPr="00E43FC8">
                            <w:rPr>
                              <w:rFonts w:ascii="Verdana" w:hAnsi="Verdana"/>
                              <w:color w:val="58595B"/>
                              <w:spacing w:val="-12"/>
                              <w:w w:val="105"/>
                            </w:rPr>
                            <w:t xml:space="preserve"> </w:t>
                          </w:r>
                          <w:r w:rsidRPr="00E43FC8">
                            <w:rPr>
                              <w:rFonts w:ascii="Verdana" w:hAnsi="Verdana"/>
                              <w:color w:val="58595B"/>
                              <w:w w:val="105"/>
                            </w:rPr>
                            <w:t>Bag</w:t>
                          </w:r>
                          <w:r w:rsidRPr="00E43FC8">
                            <w:rPr>
                              <w:rFonts w:ascii="Verdana" w:hAnsi="Verdana"/>
                              <w:color w:val="58595B"/>
                              <w:spacing w:val="-11"/>
                              <w:w w:val="105"/>
                            </w:rPr>
                            <w:t xml:space="preserve"> </w:t>
                          </w:r>
                          <w:r w:rsidRPr="00E43FC8">
                            <w:rPr>
                              <w:rFonts w:ascii="Verdana" w:hAnsi="Verdana"/>
                              <w:color w:val="58595B"/>
                              <w:w w:val="105"/>
                            </w:rPr>
                            <w:t>92019</w:t>
                          </w:r>
                        </w:p>
                        <w:p w14:paraId="002DE142" w14:textId="77777777" w:rsidR="00112462" w:rsidRPr="00E43FC8" w:rsidRDefault="00112462" w:rsidP="00112462">
                          <w:pPr>
                            <w:pStyle w:val="BodyText"/>
                            <w:spacing w:line="249" w:lineRule="auto"/>
                            <w:ind w:right="1434"/>
                            <w:rPr>
                              <w:rFonts w:ascii="Verdana" w:hAnsi="Verdana"/>
                            </w:rPr>
                          </w:pPr>
                          <w:r w:rsidRPr="00E43FC8">
                            <w:rPr>
                              <w:rFonts w:ascii="Verdana" w:hAnsi="Verdana"/>
                              <w:color w:val="58595B"/>
                            </w:rPr>
                            <w:t>Auckland 1142</w:t>
                          </w:r>
                          <w:r w:rsidRPr="00E43FC8">
                            <w:rPr>
                              <w:rFonts w:ascii="Verdana" w:hAnsi="Verdana"/>
                              <w:color w:val="58595B"/>
                              <w:w w:val="112"/>
                            </w:rPr>
                            <w:t xml:space="preserve"> </w:t>
                          </w:r>
                          <w:r w:rsidRPr="00E43FC8">
                            <w:rPr>
                              <w:rFonts w:ascii="Verdana" w:hAnsi="Verdana"/>
                              <w:color w:val="58595B"/>
                            </w:rPr>
                            <w:t>New</w:t>
                          </w:r>
                          <w:r w:rsidRPr="00E43FC8">
                            <w:rPr>
                              <w:rFonts w:ascii="Verdana" w:hAnsi="Verdana"/>
                              <w:color w:val="58595B"/>
                              <w:spacing w:val="-13"/>
                            </w:rPr>
                            <w:t xml:space="preserve"> </w:t>
                          </w:r>
                          <w:r w:rsidRPr="00E43FC8">
                            <w:rPr>
                              <w:rFonts w:ascii="Verdana" w:hAnsi="Verdana"/>
                              <w:color w:val="58595B"/>
                            </w:rPr>
                            <w:t>Zealand</w:t>
                          </w:r>
                        </w:p>
                        <w:p w14:paraId="7B273E6C" w14:textId="77777777" w:rsidR="00112462" w:rsidRDefault="00112462" w:rsidP="00112462">
                          <w:pPr>
                            <w:pStyle w:val="BodyText"/>
                            <w:spacing w:before="70"/>
                            <w:ind w:left="119"/>
                            <w:rPr>
                              <w:color w:val="58595B"/>
                              <w:spacing w:val="-20"/>
                            </w:rPr>
                          </w:pPr>
                          <w:r>
                            <w:rPr>
                              <w:color w:val="58595B"/>
                              <w:spacing w:val="-20"/>
                            </w:rPr>
                            <w:t>––––––––––––––––––––––––––––––––––––––––––––––</w:t>
                          </w:r>
                        </w:p>
                        <w:p w14:paraId="2B929DD6" w14:textId="77777777" w:rsidR="00112462" w:rsidRDefault="00112462" w:rsidP="00112462">
                          <w:pPr>
                            <w:spacing w:line="200" w:lineRule="exact"/>
                            <w:rPr>
                              <w:color w:val="3333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B7DA3" id="_x0000_t202" coordsize="21600,21600" o:spt="202" path="m,l,21600r21600,l21600,xe">
              <v:stroke joinstyle="miter"/>
              <v:path gradientshapeok="t" o:connecttype="rect"/>
            </v:shapetype>
            <v:shape id="Text Box 18" o:spid="_x0000_s1026" type="#_x0000_t202" style="position:absolute;margin-left:357.5pt;margin-top:-7.35pt;width:198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" filled="f" stroked="f">
              <v:textbox inset="0,0,0,0">
                <w:txbxContent>
                  <w:p w14:paraId="2DC6732C" w14:textId="77777777" w:rsidR="00112462" w:rsidRDefault="00112462" w:rsidP="00112462">
                    <w:pPr>
                      <w:spacing w:line="200" w:lineRule="exact"/>
                      <w:rPr>
                        <w:rFonts w:ascii="Arial" w:hAnsi="Arial"/>
                        <w:color w:val="333333"/>
                        <w:sz w:val="14"/>
                      </w:rPr>
                    </w:pPr>
                  </w:p>
                  <w:p w14:paraId="313D3561" w14:textId="77777777" w:rsidR="00112462" w:rsidRPr="00E43FC8" w:rsidRDefault="00112462" w:rsidP="00112462">
                    <w:pPr>
                      <w:pStyle w:val="BodyText"/>
                      <w:spacing w:before="109"/>
                      <w:rPr>
                        <w:rFonts w:ascii="Verdana" w:hAnsi="Verdana"/>
                      </w:rPr>
                    </w:pPr>
                    <w:r>
                      <w:rPr>
                        <w:rFonts w:ascii="Verdana" w:hAnsi="Verdana"/>
                        <w:color w:val="58595B"/>
                      </w:rPr>
                      <w:t>Science Centre, Building 302</w:t>
                    </w:r>
                  </w:p>
                  <w:p w14:paraId="14358E47" w14:textId="77777777" w:rsidR="00112462" w:rsidRDefault="00112462" w:rsidP="00112462">
                    <w:pPr>
                      <w:pStyle w:val="BodyText"/>
                      <w:tabs>
                        <w:tab w:val="left" w:pos="2552"/>
                      </w:tabs>
                      <w:spacing w:line="249" w:lineRule="auto"/>
                      <w:ind w:right="500"/>
                      <w:rPr>
                        <w:rFonts w:ascii="Verdana" w:hAnsi="Verdana"/>
                        <w:color w:val="58595B"/>
                      </w:rPr>
                    </w:pPr>
                    <w:r>
                      <w:rPr>
                        <w:rFonts w:ascii="Verdana" w:hAnsi="Verdana"/>
                        <w:color w:val="58595B"/>
                      </w:rPr>
                      <w:t>2</w:t>
                    </w:r>
                    <w:r w:rsidRPr="00FD3D5D">
                      <w:rPr>
                        <w:rFonts w:ascii="Verdana" w:hAnsi="Verdana"/>
                        <w:color w:val="58595B"/>
                        <w:vertAlign w:val="superscript"/>
                      </w:rPr>
                      <w:t>nd</w:t>
                    </w:r>
                    <w:r>
                      <w:rPr>
                        <w:rFonts w:ascii="Verdana" w:hAnsi="Verdana"/>
                        <w:color w:val="58595B"/>
                      </w:rPr>
                      <w:t xml:space="preserve"> Floor, Room 236</w:t>
                    </w:r>
                  </w:p>
                  <w:p w14:paraId="659FEA92" w14:textId="77777777" w:rsidR="00112462" w:rsidRDefault="00112462" w:rsidP="00112462">
                    <w:pPr>
                      <w:pStyle w:val="BodyText"/>
                      <w:spacing w:line="249" w:lineRule="auto"/>
                      <w:ind w:right="74"/>
                      <w:rPr>
                        <w:rFonts w:ascii="Verdana" w:hAnsi="Verdana"/>
                        <w:color w:val="58595B"/>
                      </w:rPr>
                    </w:pPr>
                    <w:r>
                      <w:rPr>
                        <w:rFonts w:ascii="Verdana" w:hAnsi="Verdana"/>
                        <w:color w:val="58595B"/>
                      </w:rPr>
                      <w:t xml:space="preserve">23 Symonds Street, Auckland, </w:t>
                    </w:r>
                  </w:p>
                  <w:p w14:paraId="42F6C665" w14:textId="77777777" w:rsidR="00112462" w:rsidRPr="00E43FC8" w:rsidRDefault="00112462" w:rsidP="00112462">
                    <w:pPr>
                      <w:pStyle w:val="BodyText"/>
                      <w:spacing w:line="249" w:lineRule="auto"/>
                      <w:ind w:right="74"/>
                      <w:rPr>
                        <w:rFonts w:ascii="Verdana" w:hAnsi="Verdana"/>
                      </w:rPr>
                    </w:pPr>
                    <w:r w:rsidRPr="00E43FC8">
                      <w:rPr>
                        <w:rFonts w:ascii="Verdana" w:hAnsi="Verdana"/>
                        <w:color w:val="58595B"/>
                      </w:rPr>
                      <w:t>New</w:t>
                    </w:r>
                    <w:r w:rsidRPr="00E43FC8">
                      <w:rPr>
                        <w:rFonts w:ascii="Verdana" w:hAnsi="Verdana"/>
                        <w:color w:val="58595B"/>
                        <w:spacing w:val="-4"/>
                      </w:rPr>
                      <w:t xml:space="preserve"> </w:t>
                    </w:r>
                    <w:r w:rsidRPr="00E43FC8">
                      <w:rPr>
                        <w:rFonts w:ascii="Verdana" w:hAnsi="Verdana"/>
                        <w:color w:val="58595B"/>
                      </w:rPr>
                      <w:t xml:space="preserve">Zealand </w:t>
                    </w:r>
                    <w:r>
                      <w:rPr>
                        <w:rFonts w:ascii="Verdana" w:hAnsi="Verdana"/>
                        <w:color w:val="58595B"/>
                      </w:rPr>
                      <w:br/>
                    </w:r>
                    <w:r w:rsidRPr="00E43FC8">
                      <w:rPr>
                        <w:rFonts w:ascii="Verdana" w:hAnsi="Verdana"/>
                        <w:b/>
                        <w:color w:val="005DAA"/>
                      </w:rPr>
                      <w:t>T</w:t>
                    </w:r>
                    <w:r w:rsidRPr="00E43FC8">
                      <w:rPr>
                        <w:rFonts w:ascii="Verdana" w:hAnsi="Verdana"/>
                        <w:b/>
                        <w:color w:val="005DAA"/>
                        <w:spacing w:val="13"/>
                      </w:rPr>
                      <w:t xml:space="preserve"> </w:t>
                    </w:r>
                    <w:r w:rsidRPr="00E43FC8">
                      <w:rPr>
                        <w:rFonts w:ascii="Verdana" w:hAnsi="Verdana"/>
                        <w:color w:val="58595B"/>
                      </w:rPr>
                      <w:t>+64</w:t>
                    </w:r>
                    <w:r w:rsidRPr="00E43FC8">
                      <w:rPr>
                        <w:rFonts w:ascii="Verdana" w:hAnsi="Verdana"/>
                        <w:color w:val="58595B"/>
                        <w:spacing w:val="22"/>
                      </w:rPr>
                      <w:t xml:space="preserve"> </w:t>
                    </w:r>
                    <w:r w:rsidRPr="00E43FC8">
                      <w:rPr>
                        <w:rFonts w:ascii="Verdana" w:hAnsi="Verdana"/>
                        <w:color w:val="58595B"/>
                      </w:rPr>
                      <w:t>9</w:t>
                    </w:r>
                    <w:r w:rsidRPr="00E43FC8">
                      <w:rPr>
                        <w:rFonts w:ascii="Verdana" w:hAnsi="Verdana"/>
                        <w:color w:val="58595B"/>
                        <w:spacing w:val="22"/>
                      </w:rPr>
                      <w:t xml:space="preserve"> </w:t>
                    </w:r>
                    <w:r>
                      <w:rPr>
                        <w:rFonts w:ascii="Verdana" w:hAnsi="Verdana"/>
                        <w:color w:val="58595B"/>
                      </w:rPr>
                      <w:t>923 8557</w:t>
                    </w:r>
                  </w:p>
                  <w:p w14:paraId="1025E4FD" w14:textId="77777777" w:rsidR="00112462" w:rsidRPr="00E43FC8" w:rsidRDefault="00112462" w:rsidP="00112462">
                    <w:pPr>
                      <w:pStyle w:val="BodyText"/>
                      <w:spacing w:before="0"/>
                      <w:rPr>
                        <w:rFonts w:ascii="Verdana" w:hAnsi="Verdana"/>
                      </w:rPr>
                    </w:pPr>
                    <w:r w:rsidRPr="00E43FC8">
                      <w:rPr>
                        <w:rFonts w:ascii="Verdana" w:hAnsi="Verdana"/>
                        <w:b/>
                        <w:color w:val="005DAA"/>
                      </w:rPr>
                      <w:t>W</w:t>
                    </w:r>
                    <w:r w:rsidRPr="00E43FC8">
                      <w:rPr>
                        <w:rFonts w:ascii="Verdana" w:hAnsi="Verdana"/>
                        <w:b/>
                        <w:color w:val="005DAA"/>
                        <w:spacing w:val="6"/>
                      </w:rPr>
                      <w:t xml:space="preserve"> </w:t>
                    </w:r>
                    <w:r w:rsidRPr="00E43FC8">
                      <w:rPr>
                        <w:rFonts w:ascii="Verdana" w:hAnsi="Verdana"/>
                        <w:color w:val="58595B"/>
                      </w:rPr>
                      <w:t>auckland.ac.nz</w:t>
                    </w:r>
                  </w:p>
                  <w:p w14:paraId="18CE7EA7" w14:textId="77777777" w:rsidR="00112462" w:rsidRPr="00E43FC8" w:rsidRDefault="00112462" w:rsidP="00112462">
                    <w:pPr>
                      <w:spacing w:before="7"/>
                      <w:ind w:left="131"/>
                      <w:rPr>
                        <w:rFonts w:ascii="Verdana" w:eastAsia="Calibri" w:hAnsi="Verdana" w:cs="Calibri"/>
                        <w:sz w:val="15"/>
                        <w:szCs w:val="15"/>
                      </w:rPr>
                    </w:pPr>
                    <w:r w:rsidRPr="00E43FC8">
                      <w:rPr>
                        <w:rFonts w:ascii="Verdana" w:hAnsi="Verdana"/>
                        <w:b/>
                        <w:color w:val="58595B"/>
                        <w:sz w:val="15"/>
                      </w:rPr>
                      <w:t>The</w:t>
                    </w:r>
                    <w:r w:rsidRPr="00E43FC8">
                      <w:rPr>
                        <w:rFonts w:ascii="Verdana" w:hAnsi="Verdana"/>
                        <w:b/>
                        <w:color w:val="58595B"/>
                        <w:spacing w:val="7"/>
                        <w:sz w:val="15"/>
                      </w:rPr>
                      <w:t xml:space="preserve"> </w:t>
                    </w:r>
                    <w:r w:rsidRPr="00E43FC8">
                      <w:rPr>
                        <w:rFonts w:ascii="Verdana" w:hAnsi="Verdana"/>
                        <w:b/>
                        <w:color w:val="58595B"/>
                        <w:sz w:val="15"/>
                      </w:rPr>
                      <w:t>University</w:t>
                    </w:r>
                    <w:r w:rsidRPr="00E43FC8">
                      <w:rPr>
                        <w:rFonts w:ascii="Verdana" w:hAnsi="Verdana"/>
                        <w:b/>
                        <w:color w:val="58595B"/>
                        <w:spacing w:val="7"/>
                        <w:sz w:val="15"/>
                      </w:rPr>
                      <w:t xml:space="preserve"> </w:t>
                    </w:r>
                    <w:r w:rsidRPr="00E43FC8">
                      <w:rPr>
                        <w:rFonts w:ascii="Verdana" w:hAnsi="Verdana"/>
                        <w:b/>
                        <w:color w:val="58595B"/>
                        <w:sz w:val="15"/>
                      </w:rPr>
                      <w:t>of</w:t>
                    </w:r>
                    <w:r w:rsidRPr="00E43FC8">
                      <w:rPr>
                        <w:rFonts w:ascii="Verdana" w:hAnsi="Verdana"/>
                        <w:b/>
                        <w:color w:val="58595B"/>
                        <w:spacing w:val="8"/>
                        <w:sz w:val="15"/>
                      </w:rPr>
                      <w:t xml:space="preserve"> </w:t>
                    </w:r>
                    <w:r w:rsidRPr="00E43FC8">
                      <w:rPr>
                        <w:rFonts w:ascii="Verdana" w:hAnsi="Verdana"/>
                        <w:b/>
                        <w:color w:val="58595B"/>
                        <w:sz w:val="15"/>
                      </w:rPr>
                      <w:t>Auckland</w:t>
                    </w:r>
                  </w:p>
                  <w:p w14:paraId="44DD7DBF" w14:textId="77777777" w:rsidR="00112462" w:rsidRPr="00E43FC8" w:rsidRDefault="00112462" w:rsidP="00112462">
                    <w:pPr>
                      <w:pStyle w:val="BodyText"/>
                      <w:rPr>
                        <w:rFonts w:ascii="Verdana" w:hAnsi="Verdana"/>
                      </w:rPr>
                    </w:pPr>
                    <w:r w:rsidRPr="00E43FC8">
                      <w:rPr>
                        <w:rFonts w:ascii="Verdana" w:hAnsi="Verdana"/>
                        <w:color w:val="58595B"/>
                        <w:w w:val="105"/>
                      </w:rPr>
                      <w:t>Private</w:t>
                    </w:r>
                    <w:r w:rsidRPr="00E43FC8">
                      <w:rPr>
                        <w:rFonts w:ascii="Verdana" w:hAnsi="Verdana"/>
                        <w:color w:val="58595B"/>
                        <w:spacing w:val="-12"/>
                        <w:w w:val="105"/>
                      </w:rPr>
                      <w:t xml:space="preserve"> </w:t>
                    </w:r>
                    <w:r w:rsidRPr="00E43FC8">
                      <w:rPr>
                        <w:rFonts w:ascii="Verdana" w:hAnsi="Verdana"/>
                        <w:color w:val="58595B"/>
                        <w:w w:val="105"/>
                      </w:rPr>
                      <w:t>Bag</w:t>
                    </w:r>
                    <w:r w:rsidRPr="00E43FC8">
                      <w:rPr>
                        <w:rFonts w:ascii="Verdana" w:hAnsi="Verdana"/>
                        <w:color w:val="58595B"/>
                        <w:spacing w:val="-11"/>
                        <w:w w:val="105"/>
                      </w:rPr>
                      <w:t xml:space="preserve"> </w:t>
                    </w:r>
                    <w:r w:rsidRPr="00E43FC8">
                      <w:rPr>
                        <w:rFonts w:ascii="Verdana" w:hAnsi="Verdana"/>
                        <w:color w:val="58595B"/>
                        <w:w w:val="105"/>
                      </w:rPr>
                      <w:t>92019</w:t>
                    </w:r>
                  </w:p>
                  <w:p w14:paraId="002DE142" w14:textId="77777777" w:rsidR="00112462" w:rsidRPr="00E43FC8" w:rsidRDefault="00112462" w:rsidP="00112462">
                    <w:pPr>
                      <w:pStyle w:val="BodyText"/>
                      <w:spacing w:line="249" w:lineRule="auto"/>
                      <w:ind w:right="1434"/>
                      <w:rPr>
                        <w:rFonts w:ascii="Verdana" w:hAnsi="Verdana"/>
                      </w:rPr>
                    </w:pPr>
                    <w:r w:rsidRPr="00E43FC8">
                      <w:rPr>
                        <w:rFonts w:ascii="Verdana" w:hAnsi="Verdana"/>
                        <w:color w:val="58595B"/>
                      </w:rPr>
                      <w:t>Auckland 1142</w:t>
                    </w:r>
                    <w:r w:rsidRPr="00E43FC8">
                      <w:rPr>
                        <w:rFonts w:ascii="Verdana" w:hAnsi="Verdana"/>
                        <w:color w:val="58595B"/>
                        <w:w w:val="112"/>
                      </w:rPr>
                      <w:t xml:space="preserve"> </w:t>
                    </w:r>
                    <w:r w:rsidRPr="00E43FC8">
                      <w:rPr>
                        <w:rFonts w:ascii="Verdana" w:hAnsi="Verdana"/>
                        <w:color w:val="58595B"/>
                      </w:rPr>
                      <w:t>New</w:t>
                    </w:r>
                    <w:r w:rsidRPr="00E43FC8">
                      <w:rPr>
                        <w:rFonts w:ascii="Verdana" w:hAnsi="Verdana"/>
                        <w:color w:val="58595B"/>
                        <w:spacing w:val="-13"/>
                      </w:rPr>
                      <w:t xml:space="preserve"> </w:t>
                    </w:r>
                    <w:r w:rsidRPr="00E43FC8">
                      <w:rPr>
                        <w:rFonts w:ascii="Verdana" w:hAnsi="Verdana"/>
                        <w:color w:val="58595B"/>
                      </w:rPr>
                      <w:t>Zealand</w:t>
                    </w:r>
                  </w:p>
                  <w:p w14:paraId="7B273E6C" w14:textId="77777777" w:rsidR="00112462" w:rsidRDefault="00112462" w:rsidP="00112462">
                    <w:pPr>
                      <w:pStyle w:val="BodyText"/>
                      <w:spacing w:before="70"/>
                      <w:ind w:left="119"/>
                      <w:rPr>
                        <w:color w:val="58595B"/>
                        <w:spacing w:val="-20"/>
                      </w:rPr>
                    </w:pPr>
                    <w:r>
                      <w:rPr>
                        <w:color w:val="58595B"/>
                        <w:spacing w:val="-20"/>
                      </w:rPr>
                      <w:t>––––––––––––––––––––––––––––––––––––––––––––––</w:t>
                    </w:r>
                  </w:p>
                  <w:p w14:paraId="2B929DD6" w14:textId="77777777" w:rsidR="00112462" w:rsidRDefault="00112462" w:rsidP="00112462">
                    <w:pPr>
                      <w:spacing w:line="200" w:lineRule="exact"/>
                      <w:rPr>
                        <w:color w:val="333333"/>
                      </w:rPr>
                    </w:pPr>
                  </w:p>
                </w:txbxContent>
              </v:textbox>
            </v:shape>
          </w:pict>
        </mc:Fallback>
      </mc:AlternateContent>
    </w:r>
  </w:p>
  <w:p w14:paraId="3C0C4D6C" w14:textId="77777777" w:rsidR="00112462" w:rsidRDefault="00112462" w:rsidP="00112462">
    <w:pPr>
      <w:rPr>
        <w:rFonts w:ascii="Verdana" w:eastAsia="Verdana" w:hAnsi="Verdana" w:cs="Verdana"/>
        <w:sz w:val="27"/>
        <w:szCs w:val="27"/>
      </w:rPr>
    </w:pPr>
    <w:r>
      <w:rPr>
        <w:noProof/>
      </w:rPr>
      <w:drawing>
        <wp:anchor distT="0" distB="0" distL="114300" distR="114300" simplePos="0" relativeHeight="251660288" behindDoc="1" locked="0" layoutInCell="1" allowOverlap="1" wp14:anchorId="020EB8D4" wp14:editId="09D53BBD">
          <wp:simplePos x="0" y="0"/>
          <wp:positionH relativeFrom="page">
            <wp:posOffset>353695</wp:posOffset>
          </wp:positionH>
          <wp:positionV relativeFrom="paragraph">
            <wp:posOffset>-183515</wp:posOffset>
          </wp:positionV>
          <wp:extent cx="1884045" cy="630555"/>
          <wp:effectExtent l="0" t="0" r="190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1" locked="0" layoutInCell="1" allowOverlap="1" wp14:anchorId="54618745" wp14:editId="3C8F4915">
              <wp:simplePos x="0" y="0"/>
              <wp:positionH relativeFrom="page">
                <wp:posOffset>2469515</wp:posOffset>
              </wp:positionH>
              <wp:positionV relativeFrom="paragraph">
                <wp:posOffset>-179070</wp:posOffset>
              </wp:positionV>
              <wp:extent cx="1270" cy="524510"/>
              <wp:effectExtent l="0" t="0" r="17780" b="279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4510"/>
                        <a:chOff x="3889" y="-282"/>
                        <a:chExt cx="2" cy="826"/>
                      </a:xfrm>
                    </wpg:grpSpPr>
                    <wps:wsp>
                      <wps:cNvPr id="5" name="Freeform 3"/>
                      <wps:cNvSpPr>
                        <a:spLocks/>
                      </wps:cNvSpPr>
                      <wps:spPr bwMode="auto">
                        <a:xfrm>
                          <a:off x="3889" y="-282"/>
                          <a:ext cx="2" cy="826"/>
                        </a:xfrm>
                        <a:custGeom>
                          <a:avLst/>
                          <a:gdLst>
                            <a:gd name="T0" fmla="+- 0 -282 -282"/>
                            <a:gd name="T1" fmla="*/ -282 h 826"/>
                            <a:gd name="T2" fmla="+- 0 544 -282"/>
                            <a:gd name="T3" fmla="*/ 544 h 826"/>
                          </a:gdLst>
                          <a:ahLst/>
                          <a:cxnLst>
                            <a:cxn ang="0">
                              <a:pos x="0" y="T1"/>
                            </a:cxn>
                            <a:cxn ang="0">
                              <a:pos x="0" y="T3"/>
                            </a:cxn>
                          </a:cxnLst>
                          <a:rect l="0" t="0" r="r" b="b"/>
                          <a:pathLst>
                            <a:path h="826">
                              <a:moveTo>
                                <a:pt x="0" y="0"/>
                              </a:moveTo>
                              <a:lnTo>
                                <a:pt x="0" y="826"/>
                              </a:lnTo>
                            </a:path>
                          </a:pathLst>
                        </a:custGeom>
                        <a:noFill/>
                        <a:ln w="11684">
                          <a:solidFill>
                            <a:srgbClr val="004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7D894" id="Group 2" o:spid="_x0000_s1026" style="position:absolute;margin-left:194.45pt;margin-top:-14.1pt;width:.1pt;height:41.3pt;z-index:-251655168;mso-position-horizontal-relative:page" coordorigin="3889,-282" coordsize="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">
              <v:shape id="Freeform 3" o:spid="_x0000_s1027" style="position:absolute;left:3889;top:-282;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" path="m,l,826e" filled="f" strokecolor="#00467f" strokeweight=".92pt">
                <v:path arrowok="t" o:connecttype="custom" o:connectlocs="0,-282;0,544" o:connectangles="0,0"/>
              </v:shape>
              <w10:wrap anchorx="page"/>
            </v:group>
          </w:pict>
        </mc:Fallback>
      </mc:AlternateContent>
    </w:r>
    <w:r>
      <w:rPr>
        <w:rFonts w:ascii="Verdana"/>
        <w:b/>
        <w:color w:val="005DAA"/>
        <w:sz w:val="27"/>
      </w:rPr>
      <w:t xml:space="preserve">                              SCIENCE</w:t>
    </w:r>
  </w:p>
  <w:p w14:paraId="3F0301ED" w14:textId="77777777" w:rsidR="00112462" w:rsidRDefault="00112462" w:rsidP="00112462">
    <w:pPr>
      <w:spacing w:before="25"/>
      <w:rPr>
        <w:rFonts w:ascii="Verdana" w:eastAsia="Verdana" w:hAnsi="Verdana" w:cs="Verdana"/>
        <w:sz w:val="14"/>
        <w:szCs w:val="14"/>
      </w:rPr>
    </w:pPr>
    <w:r>
      <w:rPr>
        <w:rFonts w:ascii="Verdana"/>
        <w:b/>
        <w:color w:val="00467F"/>
        <w:spacing w:val="1"/>
        <w:sz w:val="14"/>
      </w:rPr>
      <w:t xml:space="preserve">                                                         SCHOOL</w:t>
    </w:r>
    <w:r>
      <w:rPr>
        <w:rFonts w:ascii="Verdana"/>
        <w:b/>
        <w:color w:val="00467F"/>
        <w:spacing w:val="-6"/>
        <w:sz w:val="14"/>
      </w:rPr>
      <w:t xml:space="preserve"> </w:t>
    </w:r>
    <w:r>
      <w:rPr>
        <w:rFonts w:ascii="Verdana"/>
        <w:b/>
        <w:color w:val="00467F"/>
        <w:spacing w:val="1"/>
        <w:sz w:val="14"/>
      </w:rPr>
      <w:t>OF</w:t>
    </w:r>
    <w:r>
      <w:rPr>
        <w:rFonts w:ascii="Verdana"/>
        <w:b/>
        <w:color w:val="00467F"/>
        <w:spacing w:val="-6"/>
        <w:sz w:val="14"/>
      </w:rPr>
      <w:t xml:space="preserve"> </w:t>
    </w:r>
    <w:r>
      <w:rPr>
        <w:rFonts w:ascii="Verdana"/>
        <w:b/>
        <w:color w:val="00467F"/>
        <w:spacing w:val="2"/>
        <w:sz w:val="14"/>
      </w:rPr>
      <w:t>PSYCHOLOGY</w:t>
    </w:r>
  </w:p>
  <w:p w14:paraId="716DA4D5" w14:textId="77777777" w:rsidR="00112462" w:rsidRDefault="00112462" w:rsidP="00112462">
    <w:pPr>
      <w:spacing w:line="140" w:lineRule="exact"/>
    </w:pPr>
  </w:p>
  <w:p w14:paraId="16596103" w14:textId="77777777" w:rsidR="00112462" w:rsidRDefault="00112462" w:rsidP="00112462">
    <w:pPr>
      <w:pStyle w:val="Header"/>
      <w:tabs>
        <w:tab w:val="clear" w:pos="4320"/>
        <w:tab w:val="clear" w:pos="8640"/>
        <w:tab w:val="left" w:pos="7088"/>
      </w:tabs>
      <w:spacing w:line="200" w:lineRule="exact"/>
      <w:rPr>
        <w:sz w:val="14"/>
      </w:rPr>
    </w:pPr>
  </w:p>
  <w:p w14:paraId="535DE4E6" w14:textId="7BDB7939" w:rsidR="00EC5863" w:rsidRPr="008D508E" w:rsidRDefault="00EC5863" w:rsidP="008D508E">
    <w:pP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227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874F3"/>
    <w:multiLevelType w:val="hybridMultilevel"/>
    <w:tmpl w:val="A84E6A64"/>
    <w:lvl w:ilvl="0" w:tplc="BCE2AF80">
      <w:start w:val="1"/>
      <w:numFmt w:val="bullet"/>
      <w:lvlText w:val=""/>
      <w:lvlJc w:val="left"/>
      <w:pPr>
        <w:tabs>
          <w:tab w:val="num" w:pos="360"/>
        </w:tabs>
        <w:ind w:left="360" w:hanging="360"/>
      </w:pPr>
      <w:rPr>
        <w:rFonts w:ascii="Symbol" w:hAnsi="Symbol" w:hint="default"/>
      </w:rPr>
    </w:lvl>
    <w:lvl w:ilvl="1" w:tplc="4198DB34" w:tentative="1">
      <w:start w:val="1"/>
      <w:numFmt w:val="bullet"/>
      <w:lvlText w:val="o"/>
      <w:lvlJc w:val="left"/>
      <w:pPr>
        <w:tabs>
          <w:tab w:val="num" w:pos="1080"/>
        </w:tabs>
        <w:ind w:left="1080" w:hanging="360"/>
      </w:pPr>
      <w:rPr>
        <w:rFonts w:ascii="Courier New" w:hAnsi="Courier New" w:cs="Symbol" w:hint="default"/>
      </w:rPr>
    </w:lvl>
    <w:lvl w:ilvl="2" w:tplc="0CC68434" w:tentative="1">
      <w:start w:val="1"/>
      <w:numFmt w:val="bullet"/>
      <w:lvlText w:val=""/>
      <w:lvlJc w:val="left"/>
      <w:pPr>
        <w:tabs>
          <w:tab w:val="num" w:pos="1800"/>
        </w:tabs>
        <w:ind w:left="1800" w:hanging="360"/>
      </w:pPr>
      <w:rPr>
        <w:rFonts w:ascii="Wingdings" w:hAnsi="Wingdings" w:hint="default"/>
      </w:rPr>
    </w:lvl>
    <w:lvl w:ilvl="3" w:tplc="20280E50" w:tentative="1">
      <w:start w:val="1"/>
      <w:numFmt w:val="bullet"/>
      <w:lvlText w:val=""/>
      <w:lvlJc w:val="left"/>
      <w:pPr>
        <w:tabs>
          <w:tab w:val="num" w:pos="2520"/>
        </w:tabs>
        <w:ind w:left="2520" w:hanging="360"/>
      </w:pPr>
      <w:rPr>
        <w:rFonts w:ascii="Symbol" w:hAnsi="Symbol" w:hint="default"/>
      </w:rPr>
    </w:lvl>
    <w:lvl w:ilvl="4" w:tplc="87C63474" w:tentative="1">
      <w:start w:val="1"/>
      <w:numFmt w:val="bullet"/>
      <w:lvlText w:val="o"/>
      <w:lvlJc w:val="left"/>
      <w:pPr>
        <w:tabs>
          <w:tab w:val="num" w:pos="3240"/>
        </w:tabs>
        <w:ind w:left="3240" w:hanging="360"/>
      </w:pPr>
      <w:rPr>
        <w:rFonts w:ascii="Courier New" w:hAnsi="Courier New" w:cs="Symbol" w:hint="default"/>
      </w:rPr>
    </w:lvl>
    <w:lvl w:ilvl="5" w:tplc="8FC851A2" w:tentative="1">
      <w:start w:val="1"/>
      <w:numFmt w:val="bullet"/>
      <w:lvlText w:val=""/>
      <w:lvlJc w:val="left"/>
      <w:pPr>
        <w:tabs>
          <w:tab w:val="num" w:pos="3960"/>
        </w:tabs>
        <w:ind w:left="3960" w:hanging="360"/>
      </w:pPr>
      <w:rPr>
        <w:rFonts w:ascii="Wingdings" w:hAnsi="Wingdings" w:hint="default"/>
      </w:rPr>
    </w:lvl>
    <w:lvl w:ilvl="6" w:tplc="32925A74" w:tentative="1">
      <w:start w:val="1"/>
      <w:numFmt w:val="bullet"/>
      <w:lvlText w:val=""/>
      <w:lvlJc w:val="left"/>
      <w:pPr>
        <w:tabs>
          <w:tab w:val="num" w:pos="4680"/>
        </w:tabs>
        <w:ind w:left="4680" w:hanging="360"/>
      </w:pPr>
      <w:rPr>
        <w:rFonts w:ascii="Symbol" w:hAnsi="Symbol" w:hint="default"/>
      </w:rPr>
    </w:lvl>
    <w:lvl w:ilvl="7" w:tplc="86FE42BA" w:tentative="1">
      <w:start w:val="1"/>
      <w:numFmt w:val="bullet"/>
      <w:lvlText w:val="o"/>
      <w:lvlJc w:val="left"/>
      <w:pPr>
        <w:tabs>
          <w:tab w:val="num" w:pos="5400"/>
        </w:tabs>
        <w:ind w:left="5400" w:hanging="360"/>
      </w:pPr>
      <w:rPr>
        <w:rFonts w:ascii="Courier New" w:hAnsi="Courier New" w:cs="Symbol" w:hint="default"/>
      </w:rPr>
    </w:lvl>
    <w:lvl w:ilvl="8" w:tplc="66CAF49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83474"/>
    <w:multiLevelType w:val="hybridMultilevel"/>
    <w:tmpl w:val="655033F8"/>
    <w:lvl w:ilvl="0" w:tplc="04CEBC5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0D470536"/>
    <w:multiLevelType w:val="hybridMultilevel"/>
    <w:tmpl w:val="2A764AC6"/>
    <w:lvl w:ilvl="0" w:tplc="C8DACA04">
      <w:start w:val="1"/>
      <w:numFmt w:val="decimal"/>
      <w:lvlText w:val="%1."/>
      <w:lvlJc w:val="left"/>
      <w:pPr>
        <w:tabs>
          <w:tab w:val="num" w:pos="360"/>
        </w:tabs>
        <w:ind w:left="360" w:hanging="360"/>
      </w:pPr>
      <w:rPr>
        <w:rFonts w:hint="default"/>
      </w:rPr>
    </w:lvl>
    <w:lvl w:ilvl="1" w:tplc="B704A7CA" w:tentative="1">
      <w:start w:val="1"/>
      <w:numFmt w:val="bullet"/>
      <w:lvlText w:val="o"/>
      <w:lvlJc w:val="left"/>
      <w:pPr>
        <w:tabs>
          <w:tab w:val="num" w:pos="1080"/>
        </w:tabs>
        <w:ind w:left="1080" w:hanging="360"/>
      </w:pPr>
      <w:rPr>
        <w:rFonts w:ascii="Courier New" w:hAnsi="Courier New" w:cs="Symbol" w:hint="default"/>
      </w:rPr>
    </w:lvl>
    <w:lvl w:ilvl="2" w:tplc="5D24A5C8" w:tentative="1">
      <w:start w:val="1"/>
      <w:numFmt w:val="bullet"/>
      <w:lvlText w:val=""/>
      <w:lvlJc w:val="left"/>
      <w:pPr>
        <w:tabs>
          <w:tab w:val="num" w:pos="1800"/>
        </w:tabs>
        <w:ind w:left="1800" w:hanging="360"/>
      </w:pPr>
      <w:rPr>
        <w:rFonts w:ascii="Wingdings" w:hAnsi="Wingdings" w:hint="default"/>
      </w:rPr>
    </w:lvl>
    <w:lvl w:ilvl="3" w:tplc="7BBAF390" w:tentative="1">
      <w:start w:val="1"/>
      <w:numFmt w:val="bullet"/>
      <w:lvlText w:val=""/>
      <w:lvlJc w:val="left"/>
      <w:pPr>
        <w:tabs>
          <w:tab w:val="num" w:pos="2520"/>
        </w:tabs>
        <w:ind w:left="2520" w:hanging="360"/>
      </w:pPr>
      <w:rPr>
        <w:rFonts w:ascii="Symbol" w:hAnsi="Symbol" w:hint="default"/>
      </w:rPr>
    </w:lvl>
    <w:lvl w:ilvl="4" w:tplc="5F5EF0A4" w:tentative="1">
      <w:start w:val="1"/>
      <w:numFmt w:val="bullet"/>
      <w:lvlText w:val="o"/>
      <w:lvlJc w:val="left"/>
      <w:pPr>
        <w:tabs>
          <w:tab w:val="num" w:pos="3240"/>
        </w:tabs>
        <w:ind w:left="3240" w:hanging="360"/>
      </w:pPr>
      <w:rPr>
        <w:rFonts w:ascii="Courier New" w:hAnsi="Courier New" w:cs="Symbol" w:hint="default"/>
      </w:rPr>
    </w:lvl>
    <w:lvl w:ilvl="5" w:tplc="6D361582" w:tentative="1">
      <w:start w:val="1"/>
      <w:numFmt w:val="bullet"/>
      <w:lvlText w:val=""/>
      <w:lvlJc w:val="left"/>
      <w:pPr>
        <w:tabs>
          <w:tab w:val="num" w:pos="3960"/>
        </w:tabs>
        <w:ind w:left="3960" w:hanging="360"/>
      </w:pPr>
      <w:rPr>
        <w:rFonts w:ascii="Wingdings" w:hAnsi="Wingdings" w:hint="default"/>
      </w:rPr>
    </w:lvl>
    <w:lvl w:ilvl="6" w:tplc="858026D0" w:tentative="1">
      <w:start w:val="1"/>
      <w:numFmt w:val="bullet"/>
      <w:lvlText w:val=""/>
      <w:lvlJc w:val="left"/>
      <w:pPr>
        <w:tabs>
          <w:tab w:val="num" w:pos="4680"/>
        </w:tabs>
        <w:ind w:left="4680" w:hanging="360"/>
      </w:pPr>
      <w:rPr>
        <w:rFonts w:ascii="Symbol" w:hAnsi="Symbol" w:hint="default"/>
      </w:rPr>
    </w:lvl>
    <w:lvl w:ilvl="7" w:tplc="50043E72" w:tentative="1">
      <w:start w:val="1"/>
      <w:numFmt w:val="bullet"/>
      <w:lvlText w:val="o"/>
      <w:lvlJc w:val="left"/>
      <w:pPr>
        <w:tabs>
          <w:tab w:val="num" w:pos="5400"/>
        </w:tabs>
        <w:ind w:left="5400" w:hanging="360"/>
      </w:pPr>
      <w:rPr>
        <w:rFonts w:ascii="Courier New" w:hAnsi="Courier New" w:cs="Symbol" w:hint="default"/>
      </w:rPr>
    </w:lvl>
    <w:lvl w:ilvl="8" w:tplc="F86014A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83572D"/>
    <w:multiLevelType w:val="hybridMultilevel"/>
    <w:tmpl w:val="2E7EEDAA"/>
    <w:lvl w:ilvl="0" w:tplc="69E88096">
      <w:start w:val="1"/>
      <w:numFmt w:val="bullet"/>
      <w:lvlText w:val=""/>
      <w:lvlJc w:val="left"/>
      <w:pPr>
        <w:tabs>
          <w:tab w:val="num" w:pos="360"/>
        </w:tabs>
        <w:ind w:left="360" w:hanging="360"/>
      </w:pPr>
      <w:rPr>
        <w:rFonts w:ascii="Symbol" w:hAnsi="Symbol" w:hint="default"/>
      </w:rPr>
    </w:lvl>
    <w:lvl w:ilvl="1" w:tplc="9CDAF460" w:tentative="1">
      <w:start w:val="1"/>
      <w:numFmt w:val="bullet"/>
      <w:lvlText w:val="o"/>
      <w:lvlJc w:val="left"/>
      <w:pPr>
        <w:tabs>
          <w:tab w:val="num" w:pos="1080"/>
        </w:tabs>
        <w:ind w:left="1080" w:hanging="360"/>
      </w:pPr>
      <w:rPr>
        <w:rFonts w:ascii="Courier New" w:hAnsi="Courier New" w:cs="Symbol" w:hint="default"/>
      </w:rPr>
    </w:lvl>
    <w:lvl w:ilvl="2" w:tplc="C734BCD8" w:tentative="1">
      <w:start w:val="1"/>
      <w:numFmt w:val="bullet"/>
      <w:lvlText w:val=""/>
      <w:lvlJc w:val="left"/>
      <w:pPr>
        <w:tabs>
          <w:tab w:val="num" w:pos="1800"/>
        </w:tabs>
        <w:ind w:left="1800" w:hanging="360"/>
      </w:pPr>
      <w:rPr>
        <w:rFonts w:ascii="Wingdings" w:hAnsi="Wingdings" w:hint="default"/>
      </w:rPr>
    </w:lvl>
    <w:lvl w:ilvl="3" w:tplc="4D0C2EE0" w:tentative="1">
      <w:start w:val="1"/>
      <w:numFmt w:val="bullet"/>
      <w:lvlText w:val=""/>
      <w:lvlJc w:val="left"/>
      <w:pPr>
        <w:tabs>
          <w:tab w:val="num" w:pos="2520"/>
        </w:tabs>
        <w:ind w:left="2520" w:hanging="360"/>
      </w:pPr>
      <w:rPr>
        <w:rFonts w:ascii="Symbol" w:hAnsi="Symbol" w:hint="default"/>
      </w:rPr>
    </w:lvl>
    <w:lvl w:ilvl="4" w:tplc="D4A42420" w:tentative="1">
      <w:start w:val="1"/>
      <w:numFmt w:val="bullet"/>
      <w:lvlText w:val="o"/>
      <w:lvlJc w:val="left"/>
      <w:pPr>
        <w:tabs>
          <w:tab w:val="num" w:pos="3240"/>
        </w:tabs>
        <w:ind w:left="3240" w:hanging="360"/>
      </w:pPr>
      <w:rPr>
        <w:rFonts w:ascii="Courier New" w:hAnsi="Courier New" w:cs="Symbol" w:hint="default"/>
      </w:rPr>
    </w:lvl>
    <w:lvl w:ilvl="5" w:tplc="44CA4F64" w:tentative="1">
      <w:start w:val="1"/>
      <w:numFmt w:val="bullet"/>
      <w:lvlText w:val=""/>
      <w:lvlJc w:val="left"/>
      <w:pPr>
        <w:tabs>
          <w:tab w:val="num" w:pos="3960"/>
        </w:tabs>
        <w:ind w:left="3960" w:hanging="360"/>
      </w:pPr>
      <w:rPr>
        <w:rFonts w:ascii="Wingdings" w:hAnsi="Wingdings" w:hint="default"/>
      </w:rPr>
    </w:lvl>
    <w:lvl w:ilvl="6" w:tplc="3BAEDB6C" w:tentative="1">
      <w:start w:val="1"/>
      <w:numFmt w:val="bullet"/>
      <w:lvlText w:val=""/>
      <w:lvlJc w:val="left"/>
      <w:pPr>
        <w:tabs>
          <w:tab w:val="num" w:pos="4680"/>
        </w:tabs>
        <w:ind w:left="4680" w:hanging="360"/>
      </w:pPr>
      <w:rPr>
        <w:rFonts w:ascii="Symbol" w:hAnsi="Symbol" w:hint="default"/>
      </w:rPr>
    </w:lvl>
    <w:lvl w:ilvl="7" w:tplc="51242708" w:tentative="1">
      <w:start w:val="1"/>
      <w:numFmt w:val="bullet"/>
      <w:lvlText w:val="o"/>
      <w:lvlJc w:val="left"/>
      <w:pPr>
        <w:tabs>
          <w:tab w:val="num" w:pos="5400"/>
        </w:tabs>
        <w:ind w:left="5400" w:hanging="360"/>
      </w:pPr>
      <w:rPr>
        <w:rFonts w:ascii="Courier New" w:hAnsi="Courier New" w:cs="Symbol" w:hint="default"/>
      </w:rPr>
    </w:lvl>
    <w:lvl w:ilvl="8" w:tplc="DC949E7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ED0E9F"/>
    <w:multiLevelType w:val="hybridMultilevel"/>
    <w:tmpl w:val="14185B32"/>
    <w:lvl w:ilvl="0" w:tplc="1A2440F8">
      <w:start w:val="1"/>
      <w:numFmt w:val="decimal"/>
      <w:lvlText w:val="%1."/>
      <w:lvlJc w:val="left"/>
      <w:pPr>
        <w:ind w:left="720" w:hanging="360"/>
      </w:pPr>
    </w:lvl>
    <w:lvl w:ilvl="1" w:tplc="EF182EFA" w:tentative="1">
      <w:start w:val="1"/>
      <w:numFmt w:val="lowerLetter"/>
      <w:lvlText w:val="%2."/>
      <w:lvlJc w:val="left"/>
      <w:pPr>
        <w:ind w:left="1440" w:hanging="360"/>
      </w:pPr>
    </w:lvl>
    <w:lvl w:ilvl="2" w:tplc="7E981652" w:tentative="1">
      <w:start w:val="1"/>
      <w:numFmt w:val="lowerRoman"/>
      <w:lvlText w:val="%3."/>
      <w:lvlJc w:val="right"/>
      <w:pPr>
        <w:ind w:left="2160" w:hanging="180"/>
      </w:pPr>
    </w:lvl>
    <w:lvl w:ilvl="3" w:tplc="B8FAF2F4" w:tentative="1">
      <w:start w:val="1"/>
      <w:numFmt w:val="decimal"/>
      <w:lvlText w:val="%4."/>
      <w:lvlJc w:val="left"/>
      <w:pPr>
        <w:ind w:left="2880" w:hanging="360"/>
      </w:pPr>
    </w:lvl>
    <w:lvl w:ilvl="4" w:tplc="3202DF9A" w:tentative="1">
      <w:start w:val="1"/>
      <w:numFmt w:val="lowerLetter"/>
      <w:lvlText w:val="%5."/>
      <w:lvlJc w:val="left"/>
      <w:pPr>
        <w:ind w:left="3600" w:hanging="360"/>
      </w:pPr>
    </w:lvl>
    <w:lvl w:ilvl="5" w:tplc="A574CCCA" w:tentative="1">
      <w:start w:val="1"/>
      <w:numFmt w:val="lowerRoman"/>
      <w:lvlText w:val="%6."/>
      <w:lvlJc w:val="right"/>
      <w:pPr>
        <w:ind w:left="4320" w:hanging="180"/>
      </w:pPr>
    </w:lvl>
    <w:lvl w:ilvl="6" w:tplc="D924CABA" w:tentative="1">
      <w:start w:val="1"/>
      <w:numFmt w:val="decimal"/>
      <w:lvlText w:val="%7."/>
      <w:lvlJc w:val="left"/>
      <w:pPr>
        <w:ind w:left="5040" w:hanging="360"/>
      </w:pPr>
    </w:lvl>
    <w:lvl w:ilvl="7" w:tplc="BF7EEB02" w:tentative="1">
      <w:start w:val="1"/>
      <w:numFmt w:val="lowerLetter"/>
      <w:lvlText w:val="%8."/>
      <w:lvlJc w:val="left"/>
      <w:pPr>
        <w:ind w:left="5760" w:hanging="360"/>
      </w:pPr>
    </w:lvl>
    <w:lvl w:ilvl="8" w:tplc="42E6FB88" w:tentative="1">
      <w:start w:val="1"/>
      <w:numFmt w:val="lowerRoman"/>
      <w:lvlText w:val="%9."/>
      <w:lvlJc w:val="right"/>
      <w:pPr>
        <w:ind w:left="6480" w:hanging="180"/>
      </w:pPr>
    </w:lvl>
  </w:abstractNum>
  <w:abstractNum w:abstractNumId="6" w15:restartNumberingAfterBreak="0">
    <w:nsid w:val="1597752A"/>
    <w:multiLevelType w:val="hybridMultilevel"/>
    <w:tmpl w:val="26A277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E14A7E"/>
    <w:multiLevelType w:val="hybridMultilevel"/>
    <w:tmpl w:val="FD82F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B34D9B"/>
    <w:multiLevelType w:val="hybridMultilevel"/>
    <w:tmpl w:val="6EBCAA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89A5250"/>
    <w:multiLevelType w:val="hybridMultilevel"/>
    <w:tmpl w:val="139EF5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A856E9"/>
    <w:multiLevelType w:val="hybridMultilevel"/>
    <w:tmpl w:val="F8A44B5C"/>
    <w:lvl w:ilvl="0" w:tplc="73AC28A2">
      <w:start w:val="1"/>
      <w:numFmt w:val="decimal"/>
      <w:lvlText w:val="%1."/>
      <w:lvlJc w:val="left"/>
      <w:pPr>
        <w:ind w:left="720" w:hanging="360"/>
      </w:pPr>
    </w:lvl>
    <w:lvl w:ilvl="1" w:tplc="3214B1C6" w:tentative="1">
      <w:start w:val="1"/>
      <w:numFmt w:val="lowerLetter"/>
      <w:lvlText w:val="%2."/>
      <w:lvlJc w:val="left"/>
      <w:pPr>
        <w:ind w:left="1440" w:hanging="360"/>
      </w:pPr>
    </w:lvl>
    <w:lvl w:ilvl="2" w:tplc="A4CA7C0C" w:tentative="1">
      <w:start w:val="1"/>
      <w:numFmt w:val="lowerRoman"/>
      <w:lvlText w:val="%3."/>
      <w:lvlJc w:val="right"/>
      <w:pPr>
        <w:ind w:left="2160" w:hanging="180"/>
      </w:pPr>
    </w:lvl>
    <w:lvl w:ilvl="3" w:tplc="643E34B0" w:tentative="1">
      <w:start w:val="1"/>
      <w:numFmt w:val="decimal"/>
      <w:lvlText w:val="%4."/>
      <w:lvlJc w:val="left"/>
      <w:pPr>
        <w:ind w:left="2880" w:hanging="360"/>
      </w:pPr>
    </w:lvl>
    <w:lvl w:ilvl="4" w:tplc="ABC42026" w:tentative="1">
      <w:start w:val="1"/>
      <w:numFmt w:val="lowerLetter"/>
      <w:lvlText w:val="%5."/>
      <w:lvlJc w:val="left"/>
      <w:pPr>
        <w:ind w:left="3600" w:hanging="360"/>
      </w:pPr>
    </w:lvl>
    <w:lvl w:ilvl="5" w:tplc="B60EDB4A" w:tentative="1">
      <w:start w:val="1"/>
      <w:numFmt w:val="lowerRoman"/>
      <w:lvlText w:val="%6."/>
      <w:lvlJc w:val="right"/>
      <w:pPr>
        <w:ind w:left="4320" w:hanging="180"/>
      </w:pPr>
    </w:lvl>
    <w:lvl w:ilvl="6" w:tplc="6694D510" w:tentative="1">
      <w:start w:val="1"/>
      <w:numFmt w:val="decimal"/>
      <w:lvlText w:val="%7."/>
      <w:lvlJc w:val="left"/>
      <w:pPr>
        <w:ind w:left="5040" w:hanging="360"/>
      </w:pPr>
    </w:lvl>
    <w:lvl w:ilvl="7" w:tplc="5142C0D6" w:tentative="1">
      <w:start w:val="1"/>
      <w:numFmt w:val="lowerLetter"/>
      <w:lvlText w:val="%8."/>
      <w:lvlJc w:val="left"/>
      <w:pPr>
        <w:ind w:left="5760" w:hanging="360"/>
      </w:pPr>
    </w:lvl>
    <w:lvl w:ilvl="8" w:tplc="5BB24D4C" w:tentative="1">
      <w:start w:val="1"/>
      <w:numFmt w:val="lowerRoman"/>
      <w:lvlText w:val="%9."/>
      <w:lvlJc w:val="right"/>
      <w:pPr>
        <w:ind w:left="6480" w:hanging="180"/>
      </w:pPr>
    </w:lvl>
  </w:abstractNum>
  <w:abstractNum w:abstractNumId="11" w15:restartNumberingAfterBreak="0">
    <w:nsid w:val="37F43D53"/>
    <w:multiLevelType w:val="hybridMultilevel"/>
    <w:tmpl w:val="9DA67592"/>
    <w:lvl w:ilvl="0" w:tplc="31AC13BC">
      <w:start w:val="1"/>
      <w:numFmt w:val="decimal"/>
      <w:lvlText w:val="%1."/>
      <w:lvlJc w:val="left"/>
      <w:pPr>
        <w:ind w:left="720" w:hanging="360"/>
      </w:pPr>
    </w:lvl>
    <w:lvl w:ilvl="1" w:tplc="9452B768" w:tentative="1">
      <w:start w:val="1"/>
      <w:numFmt w:val="lowerLetter"/>
      <w:lvlText w:val="%2."/>
      <w:lvlJc w:val="left"/>
      <w:pPr>
        <w:ind w:left="1440" w:hanging="360"/>
      </w:pPr>
    </w:lvl>
    <w:lvl w:ilvl="2" w:tplc="ADFE90A6" w:tentative="1">
      <w:start w:val="1"/>
      <w:numFmt w:val="lowerRoman"/>
      <w:lvlText w:val="%3."/>
      <w:lvlJc w:val="right"/>
      <w:pPr>
        <w:ind w:left="2160" w:hanging="180"/>
      </w:pPr>
    </w:lvl>
    <w:lvl w:ilvl="3" w:tplc="A0349C3C" w:tentative="1">
      <w:start w:val="1"/>
      <w:numFmt w:val="decimal"/>
      <w:lvlText w:val="%4."/>
      <w:lvlJc w:val="left"/>
      <w:pPr>
        <w:ind w:left="2880" w:hanging="360"/>
      </w:pPr>
    </w:lvl>
    <w:lvl w:ilvl="4" w:tplc="309C2AEA" w:tentative="1">
      <w:start w:val="1"/>
      <w:numFmt w:val="lowerLetter"/>
      <w:lvlText w:val="%5."/>
      <w:lvlJc w:val="left"/>
      <w:pPr>
        <w:ind w:left="3600" w:hanging="360"/>
      </w:pPr>
    </w:lvl>
    <w:lvl w:ilvl="5" w:tplc="A91C3BA2" w:tentative="1">
      <w:start w:val="1"/>
      <w:numFmt w:val="lowerRoman"/>
      <w:lvlText w:val="%6."/>
      <w:lvlJc w:val="right"/>
      <w:pPr>
        <w:ind w:left="4320" w:hanging="180"/>
      </w:pPr>
    </w:lvl>
    <w:lvl w:ilvl="6" w:tplc="3EAE2316" w:tentative="1">
      <w:start w:val="1"/>
      <w:numFmt w:val="decimal"/>
      <w:lvlText w:val="%7."/>
      <w:lvlJc w:val="left"/>
      <w:pPr>
        <w:ind w:left="5040" w:hanging="360"/>
      </w:pPr>
    </w:lvl>
    <w:lvl w:ilvl="7" w:tplc="626EB27C" w:tentative="1">
      <w:start w:val="1"/>
      <w:numFmt w:val="lowerLetter"/>
      <w:lvlText w:val="%8."/>
      <w:lvlJc w:val="left"/>
      <w:pPr>
        <w:ind w:left="5760" w:hanging="360"/>
      </w:pPr>
    </w:lvl>
    <w:lvl w:ilvl="8" w:tplc="D0A25A24" w:tentative="1">
      <w:start w:val="1"/>
      <w:numFmt w:val="lowerRoman"/>
      <w:lvlText w:val="%9."/>
      <w:lvlJc w:val="right"/>
      <w:pPr>
        <w:ind w:left="6480" w:hanging="180"/>
      </w:pPr>
    </w:lvl>
  </w:abstractNum>
  <w:abstractNum w:abstractNumId="12" w15:restartNumberingAfterBreak="0">
    <w:nsid w:val="388747FA"/>
    <w:multiLevelType w:val="hybridMultilevel"/>
    <w:tmpl w:val="794494D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E675FA"/>
    <w:multiLevelType w:val="hybridMultilevel"/>
    <w:tmpl w:val="85161A42"/>
    <w:lvl w:ilvl="0" w:tplc="FC6AFDF8">
      <w:start w:val="1"/>
      <w:numFmt w:val="decimal"/>
      <w:lvlText w:val="%1."/>
      <w:lvlJc w:val="left"/>
      <w:pPr>
        <w:ind w:left="720" w:hanging="360"/>
      </w:pPr>
    </w:lvl>
    <w:lvl w:ilvl="1" w:tplc="A542600E" w:tentative="1">
      <w:start w:val="1"/>
      <w:numFmt w:val="lowerLetter"/>
      <w:lvlText w:val="%2."/>
      <w:lvlJc w:val="left"/>
      <w:pPr>
        <w:ind w:left="1440" w:hanging="360"/>
      </w:pPr>
    </w:lvl>
    <w:lvl w:ilvl="2" w:tplc="5B20350A" w:tentative="1">
      <w:start w:val="1"/>
      <w:numFmt w:val="lowerRoman"/>
      <w:lvlText w:val="%3."/>
      <w:lvlJc w:val="right"/>
      <w:pPr>
        <w:ind w:left="2160" w:hanging="180"/>
      </w:pPr>
    </w:lvl>
    <w:lvl w:ilvl="3" w:tplc="3D90341A" w:tentative="1">
      <w:start w:val="1"/>
      <w:numFmt w:val="decimal"/>
      <w:lvlText w:val="%4."/>
      <w:lvlJc w:val="left"/>
      <w:pPr>
        <w:ind w:left="2880" w:hanging="360"/>
      </w:pPr>
    </w:lvl>
    <w:lvl w:ilvl="4" w:tplc="5878462E" w:tentative="1">
      <w:start w:val="1"/>
      <w:numFmt w:val="lowerLetter"/>
      <w:lvlText w:val="%5."/>
      <w:lvlJc w:val="left"/>
      <w:pPr>
        <w:ind w:left="3600" w:hanging="360"/>
      </w:pPr>
    </w:lvl>
    <w:lvl w:ilvl="5" w:tplc="A13CF0EA" w:tentative="1">
      <w:start w:val="1"/>
      <w:numFmt w:val="lowerRoman"/>
      <w:lvlText w:val="%6."/>
      <w:lvlJc w:val="right"/>
      <w:pPr>
        <w:ind w:left="4320" w:hanging="180"/>
      </w:pPr>
    </w:lvl>
    <w:lvl w:ilvl="6" w:tplc="CA721B68" w:tentative="1">
      <w:start w:val="1"/>
      <w:numFmt w:val="decimal"/>
      <w:lvlText w:val="%7."/>
      <w:lvlJc w:val="left"/>
      <w:pPr>
        <w:ind w:left="5040" w:hanging="360"/>
      </w:pPr>
    </w:lvl>
    <w:lvl w:ilvl="7" w:tplc="ED4AF86C" w:tentative="1">
      <w:start w:val="1"/>
      <w:numFmt w:val="lowerLetter"/>
      <w:lvlText w:val="%8."/>
      <w:lvlJc w:val="left"/>
      <w:pPr>
        <w:ind w:left="5760" w:hanging="360"/>
      </w:pPr>
    </w:lvl>
    <w:lvl w:ilvl="8" w:tplc="D52C9530" w:tentative="1">
      <w:start w:val="1"/>
      <w:numFmt w:val="lowerRoman"/>
      <w:lvlText w:val="%9."/>
      <w:lvlJc w:val="right"/>
      <w:pPr>
        <w:ind w:left="6480" w:hanging="180"/>
      </w:pPr>
    </w:lvl>
  </w:abstractNum>
  <w:abstractNum w:abstractNumId="14" w15:restartNumberingAfterBreak="0">
    <w:nsid w:val="43D4675F"/>
    <w:multiLevelType w:val="hybridMultilevel"/>
    <w:tmpl w:val="99EECAB0"/>
    <w:lvl w:ilvl="0" w:tplc="30EACC5A">
      <w:start w:val="1"/>
      <w:numFmt w:val="bullet"/>
      <w:lvlText w:val=""/>
      <w:lvlJc w:val="left"/>
      <w:pPr>
        <w:tabs>
          <w:tab w:val="num" w:pos="720"/>
        </w:tabs>
        <w:ind w:left="720" w:hanging="360"/>
      </w:pPr>
      <w:rPr>
        <w:rFonts w:ascii="Symbol" w:hAnsi="Symbol" w:hint="default"/>
      </w:rPr>
    </w:lvl>
    <w:lvl w:ilvl="1" w:tplc="1BA6044E">
      <w:start w:val="1"/>
      <w:numFmt w:val="lowerLetter"/>
      <w:lvlText w:val="%2."/>
      <w:lvlJc w:val="left"/>
      <w:pPr>
        <w:tabs>
          <w:tab w:val="num" w:pos="1440"/>
        </w:tabs>
        <w:ind w:left="1440" w:hanging="360"/>
      </w:pPr>
    </w:lvl>
    <w:lvl w:ilvl="2" w:tplc="7B2E0852" w:tentative="1">
      <w:start w:val="1"/>
      <w:numFmt w:val="lowerRoman"/>
      <w:lvlText w:val="%3."/>
      <w:lvlJc w:val="right"/>
      <w:pPr>
        <w:tabs>
          <w:tab w:val="num" w:pos="2160"/>
        </w:tabs>
        <w:ind w:left="2160" w:hanging="180"/>
      </w:pPr>
    </w:lvl>
    <w:lvl w:ilvl="3" w:tplc="89482626" w:tentative="1">
      <w:start w:val="1"/>
      <w:numFmt w:val="decimal"/>
      <w:lvlText w:val="%4."/>
      <w:lvlJc w:val="left"/>
      <w:pPr>
        <w:tabs>
          <w:tab w:val="num" w:pos="2880"/>
        </w:tabs>
        <w:ind w:left="2880" w:hanging="360"/>
      </w:pPr>
    </w:lvl>
    <w:lvl w:ilvl="4" w:tplc="F1AE3DD2" w:tentative="1">
      <w:start w:val="1"/>
      <w:numFmt w:val="lowerLetter"/>
      <w:lvlText w:val="%5."/>
      <w:lvlJc w:val="left"/>
      <w:pPr>
        <w:tabs>
          <w:tab w:val="num" w:pos="3600"/>
        </w:tabs>
        <w:ind w:left="3600" w:hanging="360"/>
      </w:pPr>
    </w:lvl>
    <w:lvl w:ilvl="5" w:tplc="0CA68B98" w:tentative="1">
      <w:start w:val="1"/>
      <w:numFmt w:val="lowerRoman"/>
      <w:lvlText w:val="%6."/>
      <w:lvlJc w:val="right"/>
      <w:pPr>
        <w:tabs>
          <w:tab w:val="num" w:pos="4320"/>
        </w:tabs>
        <w:ind w:left="4320" w:hanging="180"/>
      </w:pPr>
    </w:lvl>
    <w:lvl w:ilvl="6" w:tplc="EA7C4BC8" w:tentative="1">
      <w:start w:val="1"/>
      <w:numFmt w:val="decimal"/>
      <w:lvlText w:val="%7."/>
      <w:lvlJc w:val="left"/>
      <w:pPr>
        <w:tabs>
          <w:tab w:val="num" w:pos="5040"/>
        </w:tabs>
        <w:ind w:left="5040" w:hanging="360"/>
      </w:pPr>
    </w:lvl>
    <w:lvl w:ilvl="7" w:tplc="A79CB704" w:tentative="1">
      <w:start w:val="1"/>
      <w:numFmt w:val="lowerLetter"/>
      <w:lvlText w:val="%8."/>
      <w:lvlJc w:val="left"/>
      <w:pPr>
        <w:tabs>
          <w:tab w:val="num" w:pos="5760"/>
        </w:tabs>
        <w:ind w:left="5760" w:hanging="360"/>
      </w:pPr>
    </w:lvl>
    <w:lvl w:ilvl="8" w:tplc="95BCF924" w:tentative="1">
      <w:start w:val="1"/>
      <w:numFmt w:val="lowerRoman"/>
      <w:lvlText w:val="%9."/>
      <w:lvlJc w:val="right"/>
      <w:pPr>
        <w:tabs>
          <w:tab w:val="num" w:pos="6480"/>
        </w:tabs>
        <w:ind w:left="6480" w:hanging="180"/>
      </w:pPr>
    </w:lvl>
  </w:abstractNum>
  <w:abstractNum w:abstractNumId="15" w15:restartNumberingAfterBreak="0">
    <w:nsid w:val="467B2B89"/>
    <w:multiLevelType w:val="hybridMultilevel"/>
    <w:tmpl w:val="CD6EA18C"/>
    <w:lvl w:ilvl="0" w:tplc="4654862E">
      <w:start w:val="1"/>
      <w:numFmt w:val="decimal"/>
      <w:lvlText w:val="%1."/>
      <w:lvlJc w:val="left"/>
      <w:pPr>
        <w:ind w:left="720" w:hanging="360"/>
      </w:pPr>
    </w:lvl>
    <w:lvl w:ilvl="1" w:tplc="3432EE38" w:tentative="1">
      <w:start w:val="1"/>
      <w:numFmt w:val="lowerLetter"/>
      <w:lvlText w:val="%2."/>
      <w:lvlJc w:val="left"/>
      <w:pPr>
        <w:ind w:left="1440" w:hanging="360"/>
      </w:pPr>
    </w:lvl>
    <w:lvl w:ilvl="2" w:tplc="703C0EAC" w:tentative="1">
      <w:start w:val="1"/>
      <w:numFmt w:val="lowerRoman"/>
      <w:lvlText w:val="%3."/>
      <w:lvlJc w:val="right"/>
      <w:pPr>
        <w:ind w:left="2160" w:hanging="180"/>
      </w:pPr>
    </w:lvl>
    <w:lvl w:ilvl="3" w:tplc="2D428188" w:tentative="1">
      <w:start w:val="1"/>
      <w:numFmt w:val="decimal"/>
      <w:lvlText w:val="%4."/>
      <w:lvlJc w:val="left"/>
      <w:pPr>
        <w:ind w:left="2880" w:hanging="360"/>
      </w:pPr>
    </w:lvl>
    <w:lvl w:ilvl="4" w:tplc="DD324392" w:tentative="1">
      <w:start w:val="1"/>
      <w:numFmt w:val="lowerLetter"/>
      <w:lvlText w:val="%5."/>
      <w:lvlJc w:val="left"/>
      <w:pPr>
        <w:ind w:left="3600" w:hanging="360"/>
      </w:pPr>
    </w:lvl>
    <w:lvl w:ilvl="5" w:tplc="C026F76A" w:tentative="1">
      <w:start w:val="1"/>
      <w:numFmt w:val="lowerRoman"/>
      <w:lvlText w:val="%6."/>
      <w:lvlJc w:val="right"/>
      <w:pPr>
        <w:ind w:left="4320" w:hanging="180"/>
      </w:pPr>
    </w:lvl>
    <w:lvl w:ilvl="6" w:tplc="2444C524" w:tentative="1">
      <w:start w:val="1"/>
      <w:numFmt w:val="decimal"/>
      <w:lvlText w:val="%7."/>
      <w:lvlJc w:val="left"/>
      <w:pPr>
        <w:ind w:left="5040" w:hanging="360"/>
      </w:pPr>
    </w:lvl>
    <w:lvl w:ilvl="7" w:tplc="A06AA436" w:tentative="1">
      <w:start w:val="1"/>
      <w:numFmt w:val="lowerLetter"/>
      <w:lvlText w:val="%8."/>
      <w:lvlJc w:val="left"/>
      <w:pPr>
        <w:ind w:left="5760" w:hanging="360"/>
      </w:pPr>
    </w:lvl>
    <w:lvl w:ilvl="8" w:tplc="181C33E6" w:tentative="1">
      <w:start w:val="1"/>
      <w:numFmt w:val="lowerRoman"/>
      <w:lvlText w:val="%9."/>
      <w:lvlJc w:val="right"/>
      <w:pPr>
        <w:ind w:left="6480" w:hanging="180"/>
      </w:pPr>
    </w:lvl>
  </w:abstractNum>
  <w:abstractNum w:abstractNumId="16" w15:restartNumberingAfterBreak="0">
    <w:nsid w:val="4AF25CBC"/>
    <w:multiLevelType w:val="hybridMultilevel"/>
    <w:tmpl w:val="F56CCBB0"/>
    <w:lvl w:ilvl="0" w:tplc="F1642DA4">
      <w:start w:val="1"/>
      <w:numFmt w:val="decimal"/>
      <w:lvlText w:val="%1."/>
      <w:lvlJc w:val="left"/>
      <w:pPr>
        <w:tabs>
          <w:tab w:val="num" w:pos="360"/>
        </w:tabs>
        <w:ind w:left="360" w:hanging="360"/>
      </w:pPr>
    </w:lvl>
    <w:lvl w:ilvl="1" w:tplc="4232D78C">
      <w:start w:val="1"/>
      <w:numFmt w:val="bullet"/>
      <w:lvlText w:val=""/>
      <w:lvlJc w:val="left"/>
      <w:pPr>
        <w:tabs>
          <w:tab w:val="num" w:pos="1080"/>
        </w:tabs>
        <w:ind w:left="1080" w:hanging="360"/>
      </w:pPr>
      <w:rPr>
        <w:rFonts w:ascii="Symbol" w:hAnsi="Symbol" w:hint="default"/>
      </w:rPr>
    </w:lvl>
    <w:lvl w:ilvl="2" w:tplc="D3AADF16" w:tentative="1">
      <w:start w:val="1"/>
      <w:numFmt w:val="lowerRoman"/>
      <w:lvlText w:val="%3."/>
      <w:lvlJc w:val="right"/>
      <w:pPr>
        <w:tabs>
          <w:tab w:val="num" w:pos="1800"/>
        </w:tabs>
        <w:ind w:left="1800" w:hanging="180"/>
      </w:pPr>
    </w:lvl>
    <w:lvl w:ilvl="3" w:tplc="F8EC37FC" w:tentative="1">
      <w:start w:val="1"/>
      <w:numFmt w:val="decimal"/>
      <w:lvlText w:val="%4."/>
      <w:lvlJc w:val="left"/>
      <w:pPr>
        <w:tabs>
          <w:tab w:val="num" w:pos="2520"/>
        </w:tabs>
        <w:ind w:left="2520" w:hanging="360"/>
      </w:pPr>
    </w:lvl>
    <w:lvl w:ilvl="4" w:tplc="1968133A" w:tentative="1">
      <w:start w:val="1"/>
      <w:numFmt w:val="lowerLetter"/>
      <w:lvlText w:val="%5."/>
      <w:lvlJc w:val="left"/>
      <w:pPr>
        <w:tabs>
          <w:tab w:val="num" w:pos="3240"/>
        </w:tabs>
        <w:ind w:left="3240" w:hanging="360"/>
      </w:pPr>
    </w:lvl>
    <w:lvl w:ilvl="5" w:tplc="01C09370" w:tentative="1">
      <w:start w:val="1"/>
      <w:numFmt w:val="lowerRoman"/>
      <w:lvlText w:val="%6."/>
      <w:lvlJc w:val="right"/>
      <w:pPr>
        <w:tabs>
          <w:tab w:val="num" w:pos="3960"/>
        </w:tabs>
        <w:ind w:left="3960" w:hanging="180"/>
      </w:pPr>
    </w:lvl>
    <w:lvl w:ilvl="6" w:tplc="B4547BF6" w:tentative="1">
      <w:start w:val="1"/>
      <w:numFmt w:val="decimal"/>
      <w:lvlText w:val="%7."/>
      <w:lvlJc w:val="left"/>
      <w:pPr>
        <w:tabs>
          <w:tab w:val="num" w:pos="4680"/>
        </w:tabs>
        <w:ind w:left="4680" w:hanging="360"/>
      </w:pPr>
    </w:lvl>
    <w:lvl w:ilvl="7" w:tplc="11A076CC" w:tentative="1">
      <w:start w:val="1"/>
      <w:numFmt w:val="lowerLetter"/>
      <w:lvlText w:val="%8."/>
      <w:lvlJc w:val="left"/>
      <w:pPr>
        <w:tabs>
          <w:tab w:val="num" w:pos="5400"/>
        </w:tabs>
        <w:ind w:left="5400" w:hanging="360"/>
      </w:pPr>
    </w:lvl>
    <w:lvl w:ilvl="8" w:tplc="E990EF24" w:tentative="1">
      <w:start w:val="1"/>
      <w:numFmt w:val="lowerRoman"/>
      <w:lvlText w:val="%9."/>
      <w:lvlJc w:val="right"/>
      <w:pPr>
        <w:tabs>
          <w:tab w:val="num" w:pos="6120"/>
        </w:tabs>
        <w:ind w:left="6120" w:hanging="180"/>
      </w:pPr>
    </w:lvl>
  </w:abstractNum>
  <w:abstractNum w:abstractNumId="17" w15:restartNumberingAfterBreak="0">
    <w:nsid w:val="55AD09A6"/>
    <w:multiLevelType w:val="hybridMultilevel"/>
    <w:tmpl w:val="C610CD5A"/>
    <w:lvl w:ilvl="0" w:tplc="04090001">
      <w:start w:val="1"/>
      <w:numFmt w:val="bullet"/>
      <w:lvlText w:val=""/>
      <w:lvlJc w:val="left"/>
      <w:pPr>
        <w:ind w:left="360" w:hanging="360"/>
      </w:pPr>
      <w:rPr>
        <w:rFonts w:ascii="Symbol" w:hAnsi="Symbol" w:hint="default"/>
      </w:rPr>
    </w:lvl>
    <w:lvl w:ilvl="1" w:tplc="C096D9F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1D1009"/>
    <w:multiLevelType w:val="hybridMultilevel"/>
    <w:tmpl w:val="9B3AA59A"/>
    <w:lvl w:ilvl="0" w:tplc="410E1BD2">
      <w:start w:val="1"/>
      <w:numFmt w:val="decimal"/>
      <w:lvlText w:val="%1."/>
      <w:lvlJc w:val="left"/>
      <w:pPr>
        <w:tabs>
          <w:tab w:val="num" w:pos="720"/>
        </w:tabs>
        <w:ind w:left="720" w:hanging="360"/>
      </w:pPr>
    </w:lvl>
    <w:lvl w:ilvl="1" w:tplc="941EC280">
      <w:start w:val="1"/>
      <w:numFmt w:val="lowerLetter"/>
      <w:lvlText w:val="%2."/>
      <w:lvlJc w:val="left"/>
      <w:pPr>
        <w:tabs>
          <w:tab w:val="num" w:pos="1440"/>
        </w:tabs>
        <w:ind w:left="1440" w:hanging="360"/>
      </w:pPr>
    </w:lvl>
    <w:lvl w:ilvl="2" w:tplc="24B81FCE" w:tentative="1">
      <w:start w:val="1"/>
      <w:numFmt w:val="lowerRoman"/>
      <w:lvlText w:val="%3."/>
      <w:lvlJc w:val="right"/>
      <w:pPr>
        <w:tabs>
          <w:tab w:val="num" w:pos="2160"/>
        </w:tabs>
        <w:ind w:left="2160" w:hanging="180"/>
      </w:pPr>
    </w:lvl>
    <w:lvl w:ilvl="3" w:tplc="9EF6AEF4" w:tentative="1">
      <w:start w:val="1"/>
      <w:numFmt w:val="decimal"/>
      <w:lvlText w:val="%4."/>
      <w:lvlJc w:val="left"/>
      <w:pPr>
        <w:tabs>
          <w:tab w:val="num" w:pos="2880"/>
        </w:tabs>
        <w:ind w:left="2880" w:hanging="360"/>
      </w:pPr>
    </w:lvl>
    <w:lvl w:ilvl="4" w:tplc="3724C6E8" w:tentative="1">
      <w:start w:val="1"/>
      <w:numFmt w:val="lowerLetter"/>
      <w:lvlText w:val="%5."/>
      <w:lvlJc w:val="left"/>
      <w:pPr>
        <w:tabs>
          <w:tab w:val="num" w:pos="3600"/>
        </w:tabs>
        <w:ind w:left="3600" w:hanging="360"/>
      </w:pPr>
    </w:lvl>
    <w:lvl w:ilvl="5" w:tplc="27CE5EE0" w:tentative="1">
      <w:start w:val="1"/>
      <w:numFmt w:val="lowerRoman"/>
      <w:lvlText w:val="%6."/>
      <w:lvlJc w:val="right"/>
      <w:pPr>
        <w:tabs>
          <w:tab w:val="num" w:pos="4320"/>
        </w:tabs>
        <w:ind w:left="4320" w:hanging="180"/>
      </w:pPr>
    </w:lvl>
    <w:lvl w:ilvl="6" w:tplc="469C37E2" w:tentative="1">
      <w:start w:val="1"/>
      <w:numFmt w:val="decimal"/>
      <w:lvlText w:val="%7."/>
      <w:lvlJc w:val="left"/>
      <w:pPr>
        <w:tabs>
          <w:tab w:val="num" w:pos="5040"/>
        </w:tabs>
        <w:ind w:left="5040" w:hanging="360"/>
      </w:pPr>
    </w:lvl>
    <w:lvl w:ilvl="7" w:tplc="6BD66592" w:tentative="1">
      <w:start w:val="1"/>
      <w:numFmt w:val="lowerLetter"/>
      <w:lvlText w:val="%8."/>
      <w:lvlJc w:val="left"/>
      <w:pPr>
        <w:tabs>
          <w:tab w:val="num" w:pos="5760"/>
        </w:tabs>
        <w:ind w:left="5760" w:hanging="360"/>
      </w:pPr>
    </w:lvl>
    <w:lvl w:ilvl="8" w:tplc="EAAEB088" w:tentative="1">
      <w:start w:val="1"/>
      <w:numFmt w:val="lowerRoman"/>
      <w:lvlText w:val="%9."/>
      <w:lvlJc w:val="right"/>
      <w:pPr>
        <w:tabs>
          <w:tab w:val="num" w:pos="6480"/>
        </w:tabs>
        <w:ind w:left="6480" w:hanging="180"/>
      </w:pPr>
    </w:lvl>
  </w:abstractNum>
  <w:abstractNum w:abstractNumId="19" w15:restartNumberingAfterBreak="0">
    <w:nsid w:val="645A2A78"/>
    <w:multiLevelType w:val="hybridMultilevel"/>
    <w:tmpl w:val="141E128A"/>
    <w:lvl w:ilvl="0" w:tplc="F8F43794">
      <w:start w:val="1"/>
      <w:numFmt w:val="decimal"/>
      <w:lvlText w:val="%1."/>
      <w:lvlJc w:val="left"/>
      <w:pPr>
        <w:ind w:left="720" w:hanging="360"/>
      </w:pPr>
    </w:lvl>
    <w:lvl w:ilvl="1" w:tplc="865E2866" w:tentative="1">
      <w:start w:val="1"/>
      <w:numFmt w:val="lowerLetter"/>
      <w:lvlText w:val="%2."/>
      <w:lvlJc w:val="left"/>
      <w:pPr>
        <w:ind w:left="1440" w:hanging="360"/>
      </w:pPr>
    </w:lvl>
    <w:lvl w:ilvl="2" w:tplc="4F72574C" w:tentative="1">
      <w:start w:val="1"/>
      <w:numFmt w:val="lowerRoman"/>
      <w:lvlText w:val="%3."/>
      <w:lvlJc w:val="right"/>
      <w:pPr>
        <w:ind w:left="2160" w:hanging="180"/>
      </w:pPr>
    </w:lvl>
    <w:lvl w:ilvl="3" w:tplc="6CCADF08" w:tentative="1">
      <w:start w:val="1"/>
      <w:numFmt w:val="decimal"/>
      <w:lvlText w:val="%4."/>
      <w:lvlJc w:val="left"/>
      <w:pPr>
        <w:ind w:left="2880" w:hanging="360"/>
      </w:pPr>
    </w:lvl>
    <w:lvl w:ilvl="4" w:tplc="BAEEBD4A" w:tentative="1">
      <w:start w:val="1"/>
      <w:numFmt w:val="lowerLetter"/>
      <w:lvlText w:val="%5."/>
      <w:lvlJc w:val="left"/>
      <w:pPr>
        <w:ind w:left="3600" w:hanging="360"/>
      </w:pPr>
    </w:lvl>
    <w:lvl w:ilvl="5" w:tplc="504E5168" w:tentative="1">
      <w:start w:val="1"/>
      <w:numFmt w:val="lowerRoman"/>
      <w:lvlText w:val="%6."/>
      <w:lvlJc w:val="right"/>
      <w:pPr>
        <w:ind w:left="4320" w:hanging="180"/>
      </w:pPr>
    </w:lvl>
    <w:lvl w:ilvl="6" w:tplc="6F50F17A" w:tentative="1">
      <w:start w:val="1"/>
      <w:numFmt w:val="decimal"/>
      <w:lvlText w:val="%7."/>
      <w:lvlJc w:val="left"/>
      <w:pPr>
        <w:ind w:left="5040" w:hanging="360"/>
      </w:pPr>
    </w:lvl>
    <w:lvl w:ilvl="7" w:tplc="7040E2D6" w:tentative="1">
      <w:start w:val="1"/>
      <w:numFmt w:val="lowerLetter"/>
      <w:lvlText w:val="%8."/>
      <w:lvlJc w:val="left"/>
      <w:pPr>
        <w:ind w:left="5760" w:hanging="360"/>
      </w:pPr>
    </w:lvl>
    <w:lvl w:ilvl="8" w:tplc="D5A0F72E" w:tentative="1">
      <w:start w:val="1"/>
      <w:numFmt w:val="lowerRoman"/>
      <w:lvlText w:val="%9."/>
      <w:lvlJc w:val="right"/>
      <w:pPr>
        <w:ind w:left="6480" w:hanging="180"/>
      </w:pPr>
    </w:lvl>
  </w:abstractNum>
  <w:abstractNum w:abstractNumId="20" w15:restartNumberingAfterBreak="0">
    <w:nsid w:val="6F3E7D52"/>
    <w:multiLevelType w:val="hybridMultilevel"/>
    <w:tmpl w:val="2B3E73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FB96129"/>
    <w:multiLevelType w:val="hybridMultilevel"/>
    <w:tmpl w:val="3C42417C"/>
    <w:lvl w:ilvl="0" w:tplc="E29C05CA">
      <w:start w:val="1"/>
      <w:numFmt w:val="decimal"/>
      <w:lvlText w:val="%1."/>
      <w:lvlJc w:val="left"/>
      <w:pPr>
        <w:tabs>
          <w:tab w:val="num" w:pos="360"/>
        </w:tabs>
        <w:ind w:left="360" w:hanging="360"/>
      </w:pPr>
    </w:lvl>
    <w:lvl w:ilvl="1" w:tplc="6ABE7646" w:tentative="1">
      <w:start w:val="1"/>
      <w:numFmt w:val="lowerLetter"/>
      <w:lvlText w:val="%2."/>
      <w:lvlJc w:val="left"/>
      <w:pPr>
        <w:tabs>
          <w:tab w:val="num" w:pos="1080"/>
        </w:tabs>
        <w:ind w:left="1080" w:hanging="360"/>
      </w:pPr>
    </w:lvl>
    <w:lvl w:ilvl="2" w:tplc="E0583AB2" w:tentative="1">
      <w:start w:val="1"/>
      <w:numFmt w:val="lowerRoman"/>
      <w:lvlText w:val="%3."/>
      <w:lvlJc w:val="right"/>
      <w:pPr>
        <w:tabs>
          <w:tab w:val="num" w:pos="1800"/>
        </w:tabs>
        <w:ind w:left="1800" w:hanging="180"/>
      </w:pPr>
    </w:lvl>
    <w:lvl w:ilvl="3" w:tplc="09C07914" w:tentative="1">
      <w:start w:val="1"/>
      <w:numFmt w:val="decimal"/>
      <w:lvlText w:val="%4."/>
      <w:lvlJc w:val="left"/>
      <w:pPr>
        <w:tabs>
          <w:tab w:val="num" w:pos="2520"/>
        </w:tabs>
        <w:ind w:left="2520" w:hanging="360"/>
      </w:pPr>
    </w:lvl>
    <w:lvl w:ilvl="4" w:tplc="7CCC2C10" w:tentative="1">
      <w:start w:val="1"/>
      <w:numFmt w:val="lowerLetter"/>
      <w:lvlText w:val="%5."/>
      <w:lvlJc w:val="left"/>
      <w:pPr>
        <w:tabs>
          <w:tab w:val="num" w:pos="3240"/>
        </w:tabs>
        <w:ind w:left="3240" w:hanging="360"/>
      </w:pPr>
    </w:lvl>
    <w:lvl w:ilvl="5" w:tplc="F0E42424" w:tentative="1">
      <w:start w:val="1"/>
      <w:numFmt w:val="lowerRoman"/>
      <w:lvlText w:val="%6."/>
      <w:lvlJc w:val="right"/>
      <w:pPr>
        <w:tabs>
          <w:tab w:val="num" w:pos="3960"/>
        </w:tabs>
        <w:ind w:left="3960" w:hanging="180"/>
      </w:pPr>
    </w:lvl>
    <w:lvl w:ilvl="6" w:tplc="BDCCCF82" w:tentative="1">
      <w:start w:val="1"/>
      <w:numFmt w:val="decimal"/>
      <w:lvlText w:val="%7."/>
      <w:lvlJc w:val="left"/>
      <w:pPr>
        <w:tabs>
          <w:tab w:val="num" w:pos="4680"/>
        </w:tabs>
        <w:ind w:left="4680" w:hanging="360"/>
      </w:pPr>
    </w:lvl>
    <w:lvl w:ilvl="7" w:tplc="3CE20534" w:tentative="1">
      <w:start w:val="1"/>
      <w:numFmt w:val="lowerLetter"/>
      <w:lvlText w:val="%8."/>
      <w:lvlJc w:val="left"/>
      <w:pPr>
        <w:tabs>
          <w:tab w:val="num" w:pos="5400"/>
        </w:tabs>
        <w:ind w:left="5400" w:hanging="360"/>
      </w:pPr>
    </w:lvl>
    <w:lvl w:ilvl="8" w:tplc="EEA6DB5E" w:tentative="1">
      <w:start w:val="1"/>
      <w:numFmt w:val="lowerRoman"/>
      <w:lvlText w:val="%9."/>
      <w:lvlJc w:val="right"/>
      <w:pPr>
        <w:tabs>
          <w:tab w:val="num" w:pos="6120"/>
        </w:tabs>
        <w:ind w:left="6120" w:hanging="180"/>
      </w:pPr>
    </w:lvl>
  </w:abstractNum>
  <w:abstractNum w:abstractNumId="22" w15:restartNumberingAfterBreak="0">
    <w:nsid w:val="7EAB2F4F"/>
    <w:multiLevelType w:val="hybridMultilevel"/>
    <w:tmpl w:val="3D148C28"/>
    <w:lvl w:ilvl="0" w:tplc="85661EF2">
      <w:start w:val="1"/>
      <w:numFmt w:val="bullet"/>
      <w:lvlText w:val=""/>
      <w:lvlJc w:val="left"/>
      <w:pPr>
        <w:tabs>
          <w:tab w:val="num" w:pos="360"/>
        </w:tabs>
        <w:ind w:left="360" w:hanging="360"/>
      </w:pPr>
      <w:rPr>
        <w:rFonts w:ascii="Symbol" w:hAnsi="Symbol" w:hint="default"/>
      </w:rPr>
    </w:lvl>
    <w:lvl w:ilvl="1" w:tplc="8772A810" w:tentative="1">
      <w:start w:val="1"/>
      <w:numFmt w:val="bullet"/>
      <w:lvlText w:val="o"/>
      <w:lvlJc w:val="left"/>
      <w:pPr>
        <w:tabs>
          <w:tab w:val="num" w:pos="1080"/>
        </w:tabs>
        <w:ind w:left="1080" w:hanging="360"/>
      </w:pPr>
      <w:rPr>
        <w:rFonts w:ascii="Courier New" w:hAnsi="Courier New" w:cs="Symbol" w:hint="default"/>
      </w:rPr>
    </w:lvl>
    <w:lvl w:ilvl="2" w:tplc="08085E2A" w:tentative="1">
      <w:start w:val="1"/>
      <w:numFmt w:val="bullet"/>
      <w:lvlText w:val=""/>
      <w:lvlJc w:val="left"/>
      <w:pPr>
        <w:tabs>
          <w:tab w:val="num" w:pos="1800"/>
        </w:tabs>
        <w:ind w:left="1800" w:hanging="360"/>
      </w:pPr>
      <w:rPr>
        <w:rFonts w:ascii="Wingdings" w:hAnsi="Wingdings" w:hint="default"/>
      </w:rPr>
    </w:lvl>
    <w:lvl w:ilvl="3" w:tplc="F8D0FC68" w:tentative="1">
      <w:start w:val="1"/>
      <w:numFmt w:val="bullet"/>
      <w:lvlText w:val=""/>
      <w:lvlJc w:val="left"/>
      <w:pPr>
        <w:tabs>
          <w:tab w:val="num" w:pos="2520"/>
        </w:tabs>
        <w:ind w:left="2520" w:hanging="360"/>
      </w:pPr>
      <w:rPr>
        <w:rFonts w:ascii="Symbol" w:hAnsi="Symbol" w:hint="default"/>
      </w:rPr>
    </w:lvl>
    <w:lvl w:ilvl="4" w:tplc="D0480CC6" w:tentative="1">
      <w:start w:val="1"/>
      <w:numFmt w:val="bullet"/>
      <w:lvlText w:val="o"/>
      <w:lvlJc w:val="left"/>
      <w:pPr>
        <w:tabs>
          <w:tab w:val="num" w:pos="3240"/>
        </w:tabs>
        <w:ind w:left="3240" w:hanging="360"/>
      </w:pPr>
      <w:rPr>
        <w:rFonts w:ascii="Courier New" w:hAnsi="Courier New" w:cs="Symbol" w:hint="default"/>
      </w:rPr>
    </w:lvl>
    <w:lvl w:ilvl="5" w:tplc="5114CA54" w:tentative="1">
      <w:start w:val="1"/>
      <w:numFmt w:val="bullet"/>
      <w:lvlText w:val=""/>
      <w:lvlJc w:val="left"/>
      <w:pPr>
        <w:tabs>
          <w:tab w:val="num" w:pos="3960"/>
        </w:tabs>
        <w:ind w:left="3960" w:hanging="360"/>
      </w:pPr>
      <w:rPr>
        <w:rFonts w:ascii="Wingdings" w:hAnsi="Wingdings" w:hint="default"/>
      </w:rPr>
    </w:lvl>
    <w:lvl w:ilvl="6" w:tplc="AA4CC462" w:tentative="1">
      <w:start w:val="1"/>
      <w:numFmt w:val="bullet"/>
      <w:lvlText w:val=""/>
      <w:lvlJc w:val="left"/>
      <w:pPr>
        <w:tabs>
          <w:tab w:val="num" w:pos="4680"/>
        </w:tabs>
        <w:ind w:left="4680" w:hanging="360"/>
      </w:pPr>
      <w:rPr>
        <w:rFonts w:ascii="Symbol" w:hAnsi="Symbol" w:hint="default"/>
      </w:rPr>
    </w:lvl>
    <w:lvl w:ilvl="7" w:tplc="98624DDE" w:tentative="1">
      <w:start w:val="1"/>
      <w:numFmt w:val="bullet"/>
      <w:lvlText w:val="o"/>
      <w:lvlJc w:val="left"/>
      <w:pPr>
        <w:tabs>
          <w:tab w:val="num" w:pos="5400"/>
        </w:tabs>
        <w:ind w:left="5400" w:hanging="360"/>
      </w:pPr>
      <w:rPr>
        <w:rFonts w:ascii="Courier New" w:hAnsi="Courier New" w:cs="Symbol" w:hint="default"/>
      </w:rPr>
    </w:lvl>
    <w:lvl w:ilvl="8" w:tplc="B80C190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9C690B"/>
    <w:multiLevelType w:val="hybridMultilevel"/>
    <w:tmpl w:val="3DE03DB2"/>
    <w:lvl w:ilvl="0" w:tplc="1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1162986">
    <w:abstractNumId w:val="16"/>
  </w:num>
  <w:num w:numId="2" w16cid:durableId="1864443271">
    <w:abstractNumId w:val="1"/>
  </w:num>
  <w:num w:numId="3" w16cid:durableId="1163087323">
    <w:abstractNumId w:val="4"/>
  </w:num>
  <w:num w:numId="4" w16cid:durableId="1336179945">
    <w:abstractNumId w:val="22"/>
  </w:num>
  <w:num w:numId="5" w16cid:durableId="144711313">
    <w:abstractNumId w:val="14"/>
  </w:num>
  <w:num w:numId="6" w16cid:durableId="1420296652">
    <w:abstractNumId w:val="3"/>
  </w:num>
  <w:num w:numId="7" w16cid:durableId="1151093060">
    <w:abstractNumId w:val="21"/>
  </w:num>
  <w:num w:numId="8" w16cid:durableId="1081214262">
    <w:abstractNumId w:val="18"/>
  </w:num>
  <w:num w:numId="9" w16cid:durableId="480733917">
    <w:abstractNumId w:val="15"/>
  </w:num>
  <w:num w:numId="10" w16cid:durableId="1973633123">
    <w:abstractNumId w:val="19"/>
  </w:num>
  <w:num w:numId="11" w16cid:durableId="1431663274">
    <w:abstractNumId w:val="13"/>
  </w:num>
  <w:num w:numId="12" w16cid:durableId="1779374745">
    <w:abstractNumId w:val="5"/>
  </w:num>
  <w:num w:numId="13" w16cid:durableId="746617073">
    <w:abstractNumId w:val="11"/>
  </w:num>
  <w:num w:numId="14" w16cid:durableId="61372676">
    <w:abstractNumId w:val="10"/>
  </w:num>
  <w:num w:numId="15" w16cid:durableId="435490965">
    <w:abstractNumId w:val="0"/>
  </w:num>
  <w:num w:numId="16" w16cid:durableId="2066097345">
    <w:abstractNumId w:val="17"/>
  </w:num>
  <w:num w:numId="17" w16cid:durableId="520750039">
    <w:abstractNumId w:val="20"/>
  </w:num>
  <w:num w:numId="18" w16cid:durableId="1438521888">
    <w:abstractNumId w:val="2"/>
  </w:num>
  <w:num w:numId="19" w16cid:durableId="1933203145">
    <w:abstractNumId w:val="7"/>
  </w:num>
  <w:num w:numId="20" w16cid:durableId="817890158">
    <w:abstractNumId w:val="8"/>
  </w:num>
  <w:num w:numId="21" w16cid:durableId="79718381">
    <w:abstractNumId w:val="12"/>
  </w:num>
  <w:num w:numId="22" w16cid:durableId="1196889867">
    <w:abstractNumId w:val="9"/>
  </w:num>
  <w:num w:numId="23" w16cid:durableId="142820973">
    <w:abstractNumId w:val="6"/>
  </w:num>
  <w:num w:numId="24" w16cid:durableId="3647146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 w:dllVersion="2" w:checkStyle="1"/>
  <w:activeWritingStyle w:appName="MSWord" w:lang="en-US" w:vendorID="6" w:dllVersion="2" w:checkStyle="1"/>
  <w:activeWritingStyle w:appName="MSWord" w:lang="en-AU" w:vendorID="8" w:dllVersion="513" w:checkStyle="1"/>
  <w:activeWritingStyle w:appName="MSWord" w:lang="en-GB" w:vendorID="8" w:dllVersion="513" w:checkStyle="1"/>
  <w:activeWritingStyle w:appName="MSWord" w:lang="en-NZ"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MDIzNjW1NDQwsDRT0lEKTi0uzszPAykwqgUAaVp4iywAAAA="/>
  </w:docVars>
  <w:rsids>
    <w:rsidRoot w:val="00397087"/>
    <w:rsid w:val="000072B5"/>
    <w:rsid w:val="00011F2B"/>
    <w:rsid w:val="00041D13"/>
    <w:rsid w:val="000520D7"/>
    <w:rsid w:val="00052735"/>
    <w:rsid w:val="000528FD"/>
    <w:rsid w:val="000544C5"/>
    <w:rsid w:val="000557FA"/>
    <w:rsid w:val="00057EE3"/>
    <w:rsid w:val="000637C5"/>
    <w:rsid w:val="00065424"/>
    <w:rsid w:val="000777A1"/>
    <w:rsid w:val="0008641C"/>
    <w:rsid w:val="000B6F9B"/>
    <w:rsid w:val="000B746E"/>
    <w:rsid w:val="000C33AA"/>
    <w:rsid w:val="000D6776"/>
    <w:rsid w:val="000F29D0"/>
    <w:rsid w:val="000F55CD"/>
    <w:rsid w:val="00110286"/>
    <w:rsid w:val="00112462"/>
    <w:rsid w:val="00114A2D"/>
    <w:rsid w:val="001179C2"/>
    <w:rsid w:val="00120338"/>
    <w:rsid w:val="00126760"/>
    <w:rsid w:val="001435B5"/>
    <w:rsid w:val="001455DE"/>
    <w:rsid w:val="00152360"/>
    <w:rsid w:val="00157375"/>
    <w:rsid w:val="0016524E"/>
    <w:rsid w:val="001771A7"/>
    <w:rsid w:val="00183A68"/>
    <w:rsid w:val="001913FF"/>
    <w:rsid w:val="001A5DA3"/>
    <w:rsid w:val="001B07E9"/>
    <w:rsid w:val="001B7D80"/>
    <w:rsid w:val="001E5DE9"/>
    <w:rsid w:val="00201F26"/>
    <w:rsid w:val="00222DCC"/>
    <w:rsid w:val="0022513A"/>
    <w:rsid w:val="00226607"/>
    <w:rsid w:val="00230838"/>
    <w:rsid w:val="0023223A"/>
    <w:rsid w:val="00235028"/>
    <w:rsid w:val="00264D39"/>
    <w:rsid w:val="00275BEB"/>
    <w:rsid w:val="00294763"/>
    <w:rsid w:val="00295EB2"/>
    <w:rsid w:val="002966CE"/>
    <w:rsid w:val="002A4F97"/>
    <w:rsid w:val="002B360B"/>
    <w:rsid w:val="002B6FB8"/>
    <w:rsid w:val="002B7CB3"/>
    <w:rsid w:val="002C4CB6"/>
    <w:rsid w:val="002C717E"/>
    <w:rsid w:val="002C7262"/>
    <w:rsid w:val="002E53A2"/>
    <w:rsid w:val="002F73C4"/>
    <w:rsid w:val="00310957"/>
    <w:rsid w:val="003229F7"/>
    <w:rsid w:val="0032360E"/>
    <w:rsid w:val="0037270C"/>
    <w:rsid w:val="00387DC6"/>
    <w:rsid w:val="00392262"/>
    <w:rsid w:val="00396F54"/>
    <w:rsid w:val="00397087"/>
    <w:rsid w:val="00397F3C"/>
    <w:rsid w:val="003A0A61"/>
    <w:rsid w:val="003A3EE8"/>
    <w:rsid w:val="003D753A"/>
    <w:rsid w:val="003E3E00"/>
    <w:rsid w:val="003E5DB8"/>
    <w:rsid w:val="0040282F"/>
    <w:rsid w:val="00413968"/>
    <w:rsid w:val="00415E00"/>
    <w:rsid w:val="00431EB8"/>
    <w:rsid w:val="004322D1"/>
    <w:rsid w:val="00452BAD"/>
    <w:rsid w:val="00456DDA"/>
    <w:rsid w:val="00461CD1"/>
    <w:rsid w:val="00467E23"/>
    <w:rsid w:val="00471872"/>
    <w:rsid w:val="004741D1"/>
    <w:rsid w:val="00480D8F"/>
    <w:rsid w:val="004818DF"/>
    <w:rsid w:val="0048596A"/>
    <w:rsid w:val="004901D1"/>
    <w:rsid w:val="00492AF2"/>
    <w:rsid w:val="004A4284"/>
    <w:rsid w:val="004B428A"/>
    <w:rsid w:val="004B6271"/>
    <w:rsid w:val="004C62F3"/>
    <w:rsid w:val="0050283E"/>
    <w:rsid w:val="00502934"/>
    <w:rsid w:val="0051263B"/>
    <w:rsid w:val="00543761"/>
    <w:rsid w:val="00555C0C"/>
    <w:rsid w:val="0056790E"/>
    <w:rsid w:val="00573CEA"/>
    <w:rsid w:val="00573D11"/>
    <w:rsid w:val="00575DB2"/>
    <w:rsid w:val="005F119F"/>
    <w:rsid w:val="006158E0"/>
    <w:rsid w:val="00633C8A"/>
    <w:rsid w:val="00635854"/>
    <w:rsid w:val="00640690"/>
    <w:rsid w:val="00645E36"/>
    <w:rsid w:val="00656E56"/>
    <w:rsid w:val="00664ACD"/>
    <w:rsid w:val="0066754B"/>
    <w:rsid w:val="006903D4"/>
    <w:rsid w:val="006A5EC3"/>
    <w:rsid w:val="006B584E"/>
    <w:rsid w:val="006D49C9"/>
    <w:rsid w:val="006E09E8"/>
    <w:rsid w:val="00703ABB"/>
    <w:rsid w:val="007066BD"/>
    <w:rsid w:val="00714109"/>
    <w:rsid w:val="00715CC8"/>
    <w:rsid w:val="00720043"/>
    <w:rsid w:val="007360C7"/>
    <w:rsid w:val="007452E6"/>
    <w:rsid w:val="0076274D"/>
    <w:rsid w:val="00766303"/>
    <w:rsid w:val="007716E1"/>
    <w:rsid w:val="007753CE"/>
    <w:rsid w:val="007804CA"/>
    <w:rsid w:val="00780D17"/>
    <w:rsid w:val="007845E0"/>
    <w:rsid w:val="007A193F"/>
    <w:rsid w:val="007C1F69"/>
    <w:rsid w:val="008077CC"/>
    <w:rsid w:val="00821C52"/>
    <w:rsid w:val="008511AA"/>
    <w:rsid w:val="008517A9"/>
    <w:rsid w:val="008747E4"/>
    <w:rsid w:val="0089597B"/>
    <w:rsid w:val="008A0E4C"/>
    <w:rsid w:val="008B0D5C"/>
    <w:rsid w:val="008B635D"/>
    <w:rsid w:val="008D508E"/>
    <w:rsid w:val="008E53BF"/>
    <w:rsid w:val="008E5528"/>
    <w:rsid w:val="008F2974"/>
    <w:rsid w:val="008F39BD"/>
    <w:rsid w:val="008F47B8"/>
    <w:rsid w:val="00911593"/>
    <w:rsid w:val="00914579"/>
    <w:rsid w:val="009246DB"/>
    <w:rsid w:val="00971A4A"/>
    <w:rsid w:val="009762C9"/>
    <w:rsid w:val="00982D3E"/>
    <w:rsid w:val="009C1707"/>
    <w:rsid w:val="009C3D5D"/>
    <w:rsid w:val="009D27DB"/>
    <w:rsid w:val="009E2978"/>
    <w:rsid w:val="009E68A1"/>
    <w:rsid w:val="00A00D2B"/>
    <w:rsid w:val="00A03386"/>
    <w:rsid w:val="00A161B4"/>
    <w:rsid w:val="00A21FC5"/>
    <w:rsid w:val="00A231B5"/>
    <w:rsid w:val="00A25AB2"/>
    <w:rsid w:val="00A330CD"/>
    <w:rsid w:val="00A356E2"/>
    <w:rsid w:val="00A44006"/>
    <w:rsid w:val="00A52628"/>
    <w:rsid w:val="00A54ED7"/>
    <w:rsid w:val="00A70638"/>
    <w:rsid w:val="00A85769"/>
    <w:rsid w:val="00A872E1"/>
    <w:rsid w:val="00AA59BD"/>
    <w:rsid w:val="00AC2069"/>
    <w:rsid w:val="00AE0C55"/>
    <w:rsid w:val="00AE40CE"/>
    <w:rsid w:val="00B11EAB"/>
    <w:rsid w:val="00B71CE5"/>
    <w:rsid w:val="00B852A2"/>
    <w:rsid w:val="00BA73B5"/>
    <w:rsid w:val="00BB3320"/>
    <w:rsid w:val="00BC3A9F"/>
    <w:rsid w:val="00BC5C6D"/>
    <w:rsid w:val="00BC675F"/>
    <w:rsid w:val="00BF1C03"/>
    <w:rsid w:val="00C064F6"/>
    <w:rsid w:val="00C15FD2"/>
    <w:rsid w:val="00C52D67"/>
    <w:rsid w:val="00C547C9"/>
    <w:rsid w:val="00C609C5"/>
    <w:rsid w:val="00C60F8F"/>
    <w:rsid w:val="00C655A3"/>
    <w:rsid w:val="00C87D14"/>
    <w:rsid w:val="00C92005"/>
    <w:rsid w:val="00C9389A"/>
    <w:rsid w:val="00CA582A"/>
    <w:rsid w:val="00CB4067"/>
    <w:rsid w:val="00CC4251"/>
    <w:rsid w:val="00CC5433"/>
    <w:rsid w:val="00CD23A5"/>
    <w:rsid w:val="00CD5AB7"/>
    <w:rsid w:val="00CE35C7"/>
    <w:rsid w:val="00CE3653"/>
    <w:rsid w:val="00CE6953"/>
    <w:rsid w:val="00D146AD"/>
    <w:rsid w:val="00D2388B"/>
    <w:rsid w:val="00D3098A"/>
    <w:rsid w:val="00D67ED4"/>
    <w:rsid w:val="00D7713A"/>
    <w:rsid w:val="00D80A9F"/>
    <w:rsid w:val="00D82CE0"/>
    <w:rsid w:val="00D842C7"/>
    <w:rsid w:val="00DB579C"/>
    <w:rsid w:val="00DD0456"/>
    <w:rsid w:val="00DF0E7D"/>
    <w:rsid w:val="00DF2DD7"/>
    <w:rsid w:val="00DF5726"/>
    <w:rsid w:val="00E14043"/>
    <w:rsid w:val="00E21E4B"/>
    <w:rsid w:val="00E37DCF"/>
    <w:rsid w:val="00E507CE"/>
    <w:rsid w:val="00E5352C"/>
    <w:rsid w:val="00E60259"/>
    <w:rsid w:val="00E61525"/>
    <w:rsid w:val="00E77F67"/>
    <w:rsid w:val="00E83415"/>
    <w:rsid w:val="00E84507"/>
    <w:rsid w:val="00EC5863"/>
    <w:rsid w:val="00EC697C"/>
    <w:rsid w:val="00ED32B9"/>
    <w:rsid w:val="00EE0D7B"/>
    <w:rsid w:val="00F008A2"/>
    <w:rsid w:val="00F2203A"/>
    <w:rsid w:val="00F242E9"/>
    <w:rsid w:val="00F36AF8"/>
    <w:rsid w:val="00F43C85"/>
    <w:rsid w:val="00F458FF"/>
    <w:rsid w:val="00F52875"/>
    <w:rsid w:val="00F621F1"/>
    <w:rsid w:val="00F71D49"/>
    <w:rsid w:val="00F72C51"/>
    <w:rsid w:val="00F74E70"/>
    <w:rsid w:val="00F75CCA"/>
    <w:rsid w:val="00F844FD"/>
    <w:rsid w:val="00F87A43"/>
    <w:rsid w:val="00F96AF3"/>
    <w:rsid w:val="00FA644D"/>
    <w:rsid w:val="00FA6E59"/>
    <w:rsid w:val="00FA7837"/>
    <w:rsid w:val="00FB4659"/>
    <w:rsid w:val="00FE3B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2081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5424"/>
    <w:rPr>
      <w:sz w:val="24"/>
      <w:szCs w:val="24"/>
    </w:rPr>
  </w:style>
  <w:style w:type="paragraph" w:styleId="Heading1">
    <w:name w:val="heading 1"/>
    <w:basedOn w:val="Normal"/>
    <w:next w:val="Normal"/>
    <w:qFormat/>
    <w:pPr>
      <w:spacing w:before="240" w:line="280" w:lineRule="atLeast"/>
      <w:outlineLvl w:val="0"/>
    </w:pPr>
    <w:rPr>
      <w:rFonts w:ascii="Sb 2Stone Sans Semibold" w:hAnsi="Sb 2Stone Sans Semibold"/>
      <w:b/>
      <w:sz w:val="36"/>
      <w:szCs w:val="20"/>
      <w:lang w:val="en-AU" w:eastAsia="en-US"/>
    </w:rPr>
  </w:style>
  <w:style w:type="paragraph" w:styleId="Heading2">
    <w:name w:val="heading 2"/>
    <w:basedOn w:val="Normal"/>
    <w:next w:val="Normal"/>
    <w:qFormat/>
    <w:pPr>
      <w:keepNext/>
      <w:outlineLvl w:val="1"/>
    </w:pPr>
    <w:rPr>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rFonts w:ascii="Arial Narrow" w:hAnsi="Arial Narrow"/>
      <w:szCs w:val="20"/>
      <w:lang w:val="en-AU" w:eastAsia="en-US"/>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Courier New"/>
      <w:sz w:val="20"/>
    </w:rPr>
  </w:style>
  <w:style w:type="paragraph" w:customStyle="1" w:styleId="Default">
    <w:name w:val="Default"/>
    <w:pPr>
      <w:autoSpaceDE w:val="0"/>
      <w:autoSpaceDN w:val="0"/>
      <w:adjustRightInd w:val="0"/>
    </w:pPr>
    <w:rPr>
      <w:rFonts w:ascii="Calibri" w:hAnsi="Calibri" w:cs="Calibri"/>
      <w:color w:val="000000"/>
      <w:sz w:val="24"/>
      <w:szCs w:val="24"/>
      <w:lang w:val="en-NZ" w:eastAsia="zh-CN"/>
    </w:rPr>
  </w:style>
  <w:style w:type="paragraph" w:customStyle="1" w:styleId="ColorfulList-Accent11">
    <w:name w:val="Colorful List - Accent 11"/>
    <w:basedOn w:val="Normal"/>
    <w:qFormat/>
    <w:pPr>
      <w:spacing w:line="280" w:lineRule="atLeast"/>
      <w:ind w:left="720"/>
    </w:pPr>
    <w:rPr>
      <w:rFonts w:ascii="Arial Narrow" w:hAnsi="Arial Narrow"/>
      <w:szCs w:val="20"/>
      <w:lang w:val="en-AU" w:eastAsia="en-US"/>
    </w:rPr>
  </w:style>
  <w:style w:type="paragraph" w:customStyle="1" w:styleId="Response">
    <w:name w:val="Response"/>
    <w:basedOn w:val="Normal"/>
    <w:pPr>
      <w:spacing w:after="240"/>
      <w:ind w:left="357"/>
      <w:jc w:val="both"/>
    </w:pPr>
    <w:rPr>
      <w:rFonts w:ascii="Arial" w:hAnsi="Arial"/>
      <w:sz w:val="20"/>
      <w:lang w:val="en-GB" w:eastAsia="en-US"/>
    </w:rPr>
  </w:style>
  <w:style w:type="paragraph" w:styleId="BalloonText">
    <w:name w:val="Balloon Text"/>
    <w:basedOn w:val="Normal"/>
    <w:semiHidden/>
    <w:rPr>
      <w:rFonts w:ascii="Tahoma" w:hAnsi="Tahoma" w:cs="Courier New"/>
      <w:sz w:val="16"/>
      <w:szCs w:val="16"/>
    </w:rPr>
  </w:style>
  <w:style w:type="paragraph" w:customStyle="1" w:styleId="MediumGrid21">
    <w:name w:val="Medium Grid 21"/>
    <w:basedOn w:val="Normal"/>
    <w:qFormat/>
    <w:rPr>
      <w:rFonts w:ascii="Calibri" w:hAnsi="Calibri"/>
      <w:sz w:val="22"/>
      <w:szCs w:val="22"/>
      <w:lang w:eastAsia="en-US" w:bidi="en-US"/>
    </w:rPr>
  </w:style>
  <w:style w:type="character" w:customStyle="1" w:styleId="NoSpacingChar">
    <w:name w:val="No Spacing Char"/>
    <w:rPr>
      <w:rFonts w:ascii="Calibri" w:hAnsi="Calibri"/>
      <w:noProof w:val="0"/>
      <w:sz w:val="22"/>
      <w:szCs w:val="22"/>
      <w:lang w:val="en-US" w:eastAsia="en-US" w:bidi="en-US"/>
    </w:rPr>
  </w:style>
  <w:style w:type="character" w:customStyle="1" w:styleId="Heading2Char">
    <w:name w:val="Heading 2 Char"/>
    <w:rPr>
      <w:noProof w:val="0"/>
      <w:sz w:val="24"/>
      <w:lang w:val="en-GB" w:eastAsia="en-US"/>
    </w:rPr>
  </w:style>
  <w:style w:type="paragraph" w:customStyle="1" w:styleId="Response2">
    <w:name w:val="Response 2"/>
    <w:basedOn w:val="Response"/>
    <w:pPr>
      <w:ind w:left="720"/>
    </w:pPr>
  </w:style>
  <w:style w:type="paragraph" w:customStyle="1" w:styleId="Response1">
    <w:name w:val="Response 1"/>
    <w:basedOn w:val="Normal"/>
    <w:qFormat/>
    <w:pPr>
      <w:spacing w:after="120"/>
      <w:ind w:left="567"/>
      <w:jc w:val="both"/>
    </w:pPr>
    <w:rPr>
      <w:rFonts w:ascii="Calibri" w:hAnsi="Calibri" w:cs="Wingdings"/>
      <w:sz w:val="20"/>
      <w:szCs w:val="20"/>
      <w:lang w:val="en-NZ" w:eastAsia="en-US"/>
    </w:rPr>
  </w:style>
  <w:style w:type="table" w:styleId="TableGrid">
    <w:name w:val="Table Grid"/>
    <w:basedOn w:val="TableNormal"/>
    <w:uiPriority w:val="39"/>
    <w:rsid w:val="0087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508E"/>
    <w:pPr>
      <w:spacing w:before="100" w:beforeAutospacing="1" w:after="100" w:afterAutospacing="1"/>
    </w:pPr>
  </w:style>
  <w:style w:type="paragraph" w:styleId="ListParagraph">
    <w:name w:val="List Paragraph"/>
    <w:basedOn w:val="Normal"/>
    <w:uiPriority w:val="72"/>
    <w:rsid w:val="00065424"/>
    <w:pPr>
      <w:ind w:left="720"/>
      <w:contextualSpacing/>
    </w:pPr>
  </w:style>
  <w:style w:type="paragraph" w:styleId="BodyText">
    <w:name w:val="Body Text"/>
    <w:basedOn w:val="Normal"/>
    <w:link w:val="BodyTextChar"/>
    <w:uiPriority w:val="1"/>
    <w:qFormat/>
    <w:rsid w:val="00112462"/>
    <w:pPr>
      <w:widowControl w:val="0"/>
      <w:spacing w:before="7"/>
      <w:ind w:left="131"/>
    </w:pPr>
    <w:rPr>
      <w:rFonts w:ascii="Calibri" w:eastAsia="Calibri" w:hAnsi="Calibri"/>
      <w:sz w:val="15"/>
      <w:szCs w:val="15"/>
      <w:lang w:eastAsia="en-US"/>
    </w:rPr>
  </w:style>
  <w:style w:type="character" w:customStyle="1" w:styleId="BodyTextChar">
    <w:name w:val="Body Text Char"/>
    <w:basedOn w:val="DefaultParagraphFont"/>
    <w:link w:val="BodyText"/>
    <w:uiPriority w:val="1"/>
    <w:rsid w:val="00112462"/>
    <w:rPr>
      <w:rFonts w:ascii="Calibri" w:eastAsia="Calibri" w:hAnsi="Calibri"/>
      <w:sz w:val="15"/>
      <w:szCs w:val="15"/>
      <w:lang w:eastAsia="en-US"/>
    </w:rPr>
  </w:style>
  <w:style w:type="paragraph" w:styleId="Revision">
    <w:name w:val="Revision"/>
    <w:hidden/>
    <w:uiPriority w:val="71"/>
    <w:rsid w:val="007A193F"/>
    <w:rPr>
      <w:sz w:val="24"/>
      <w:szCs w:val="24"/>
    </w:rPr>
  </w:style>
  <w:style w:type="character" w:styleId="CommentReference">
    <w:name w:val="annotation reference"/>
    <w:basedOn w:val="DefaultParagraphFont"/>
    <w:uiPriority w:val="99"/>
    <w:semiHidden/>
    <w:unhideWhenUsed/>
    <w:rsid w:val="007A193F"/>
    <w:rPr>
      <w:sz w:val="16"/>
      <w:szCs w:val="16"/>
    </w:rPr>
  </w:style>
  <w:style w:type="paragraph" w:styleId="CommentText">
    <w:name w:val="annotation text"/>
    <w:basedOn w:val="Normal"/>
    <w:link w:val="CommentTextChar"/>
    <w:uiPriority w:val="99"/>
    <w:unhideWhenUsed/>
    <w:rsid w:val="007A193F"/>
    <w:rPr>
      <w:sz w:val="20"/>
      <w:szCs w:val="20"/>
    </w:rPr>
  </w:style>
  <w:style w:type="character" w:customStyle="1" w:styleId="CommentTextChar">
    <w:name w:val="Comment Text Char"/>
    <w:basedOn w:val="DefaultParagraphFont"/>
    <w:link w:val="CommentText"/>
    <w:uiPriority w:val="99"/>
    <w:rsid w:val="007A193F"/>
  </w:style>
  <w:style w:type="paragraph" w:styleId="CommentSubject">
    <w:name w:val="annotation subject"/>
    <w:basedOn w:val="CommentText"/>
    <w:next w:val="CommentText"/>
    <w:link w:val="CommentSubjectChar"/>
    <w:uiPriority w:val="99"/>
    <w:semiHidden/>
    <w:unhideWhenUsed/>
    <w:rsid w:val="007A193F"/>
    <w:rPr>
      <w:b/>
      <w:bCs/>
    </w:rPr>
  </w:style>
  <w:style w:type="character" w:customStyle="1" w:styleId="CommentSubjectChar">
    <w:name w:val="Comment Subject Char"/>
    <w:basedOn w:val="CommentTextChar"/>
    <w:link w:val="CommentSubject"/>
    <w:uiPriority w:val="99"/>
    <w:semiHidden/>
    <w:rsid w:val="007A193F"/>
    <w:rPr>
      <w:b/>
      <w:bCs/>
    </w:rPr>
  </w:style>
  <w:style w:type="table" w:customStyle="1" w:styleId="TableGrid1">
    <w:name w:val="Table Grid1"/>
    <w:basedOn w:val="TableNormal"/>
    <w:next w:val="TableGrid"/>
    <w:uiPriority w:val="39"/>
    <w:rsid w:val="00CD23A5"/>
    <w:rPr>
      <w:rFonts w:eastAsia="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23A5"/>
    <w:rPr>
      <w:rFonts w:eastAsia="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9089">
      <w:bodyDiv w:val="1"/>
      <w:marLeft w:val="0"/>
      <w:marRight w:val="0"/>
      <w:marTop w:val="0"/>
      <w:marBottom w:val="0"/>
      <w:divBdr>
        <w:top w:val="none" w:sz="0" w:space="0" w:color="auto"/>
        <w:left w:val="none" w:sz="0" w:space="0" w:color="auto"/>
        <w:bottom w:val="none" w:sz="0" w:space="0" w:color="auto"/>
        <w:right w:val="none" w:sz="0" w:space="0" w:color="auto"/>
      </w:divBdr>
    </w:div>
    <w:div w:id="676880217">
      <w:bodyDiv w:val="1"/>
      <w:marLeft w:val="0"/>
      <w:marRight w:val="0"/>
      <w:marTop w:val="0"/>
      <w:marBottom w:val="0"/>
      <w:divBdr>
        <w:top w:val="none" w:sz="0" w:space="0" w:color="auto"/>
        <w:left w:val="none" w:sz="0" w:space="0" w:color="auto"/>
        <w:bottom w:val="none" w:sz="0" w:space="0" w:color="auto"/>
        <w:right w:val="none" w:sz="0" w:space="0" w:color="auto"/>
      </w:divBdr>
    </w:div>
    <w:div w:id="947658698">
      <w:bodyDiv w:val="1"/>
      <w:marLeft w:val="0"/>
      <w:marRight w:val="0"/>
      <w:marTop w:val="0"/>
      <w:marBottom w:val="0"/>
      <w:divBdr>
        <w:top w:val="none" w:sz="0" w:space="0" w:color="auto"/>
        <w:left w:val="none" w:sz="0" w:space="0" w:color="auto"/>
        <w:bottom w:val="none" w:sz="0" w:space="0" w:color="auto"/>
        <w:right w:val="none" w:sz="0" w:space="0" w:color="auto"/>
      </w:divBdr>
    </w:div>
    <w:div w:id="958952461">
      <w:bodyDiv w:val="1"/>
      <w:marLeft w:val="0"/>
      <w:marRight w:val="0"/>
      <w:marTop w:val="0"/>
      <w:marBottom w:val="0"/>
      <w:divBdr>
        <w:top w:val="none" w:sz="0" w:space="0" w:color="auto"/>
        <w:left w:val="none" w:sz="0" w:space="0" w:color="auto"/>
        <w:bottom w:val="none" w:sz="0" w:space="0" w:color="auto"/>
        <w:right w:val="none" w:sz="0" w:space="0" w:color="auto"/>
      </w:divBdr>
    </w:div>
    <w:div w:id="1382629859">
      <w:bodyDiv w:val="1"/>
      <w:marLeft w:val="0"/>
      <w:marRight w:val="0"/>
      <w:marTop w:val="0"/>
      <w:marBottom w:val="0"/>
      <w:divBdr>
        <w:top w:val="none" w:sz="0" w:space="0" w:color="auto"/>
        <w:left w:val="none" w:sz="0" w:space="0" w:color="auto"/>
        <w:bottom w:val="none" w:sz="0" w:space="0" w:color="auto"/>
        <w:right w:val="none" w:sz="0" w:space="0" w:color="auto"/>
      </w:divBdr>
      <w:divsChild>
        <w:div w:id="1561747657">
          <w:marLeft w:val="0"/>
          <w:marRight w:val="0"/>
          <w:marTop w:val="0"/>
          <w:marBottom w:val="0"/>
          <w:divBdr>
            <w:top w:val="none" w:sz="0" w:space="0" w:color="auto"/>
            <w:left w:val="none" w:sz="0" w:space="0" w:color="auto"/>
            <w:bottom w:val="none" w:sz="0" w:space="0" w:color="auto"/>
            <w:right w:val="none" w:sz="0" w:space="0" w:color="auto"/>
          </w:divBdr>
        </w:div>
        <w:div w:id="591550162">
          <w:marLeft w:val="0"/>
          <w:marRight w:val="0"/>
          <w:marTop w:val="0"/>
          <w:marBottom w:val="0"/>
          <w:divBdr>
            <w:top w:val="none" w:sz="0" w:space="0" w:color="auto"/>
            <w:left w:val="none" w:sz="0" w:space="0" w:color="auto"/>
            <w:bottom w:val="none" w:sz="0" w:space="0" w:color="auto"/>
            <w:right w:val="none" w:sz="0" w:space="0" w:color="auto"/>
          </w:divBdr>
        </w:div>
        <w:div w:id="1587575508">
          <w:marLeft w:val="0"/>
          <w:marRight w:val="0"/>
          <w:marTop w:val="0"/>
          <w:marBottom w:val="0"/>
          <w:divBdr>
            <w:top w:val="none" w:sz="0" w:space="0" w:color="auto"/>
            <w:left w:val="none" w:sz="0" w:space="0" w:color="auto"/>
            <w:bottom w:val="none" w:sz="0" w:space="0" w:color="auto"/>
            <w:right w:val="none" w:sz="0" w:space="0" w:color="auto"/>
          </w:divBdr>
        </w:div>
        <w:div w:id="929394333">
          <w:marLeft w:val="0"/>
          <w:marRight w:val="0"/>
          <w:marTop w:val="0"/>
          <w:marBottom w:val="0"/>
          <w:divBdr>
            <w:top w:val="none" w:sz="0" w:space="0" w:color="auto"/>
            <w:left w:val="none" w:sz="0" w:space="0" w:color="auto"/>
            <w:bottom w:val="none" w:sz="0" w:space="0" w:color="auto"/>
            <w:right w:val="none" w:sz="0" w:space="0" w:color="auto"/>
          </w:divBdr>
        </w:div>
        <w:div w:id="521092613">
          <w:marLeft w:val="0"/>
          <w:marRight w:val="0"/>
          <w:marTop w:val="0"/>
          <w:marBottom w:val="0"/>
          <w:divBdr>
            <w:top w:val="none" w:sz="0" w:space="0" w:color="auto"/>
            <w:left w:val="none" w:sz="0" w:space="0" w:color="auto"/>
            <w:bottom w:val="none" w:sz="0" w:space="0" w:color="auto"/>
            <w:right w:val="none" w:sz="0" w:space="0" w:color="auto"/>
          </w:divBdr>
        </w:div>
      </w:divsChild>
    </w:div>
    <w:div w:id="2039577732">
      <w:bodyDiv w:val="1"/>
      <w:marLeft w:val="0"/>
      <w:marRight w:val="0"/>
      <w:marTop w:val="0"/>
      <w:marBottom w:val="0"/>
      <w:divBdr>
        <w:top w:val="none" w:sz="0" w:space="0" w:color="auto"/>
        <w:left w:val="none" w:sz="0" w:space="0" w:color="auto"/>
        <w:bottom w:val="none" w:sz="0" w:space="0" w:color="auto"/>
        <w:right w:val="none" w:sz="0" w:space="0" w:color="auto"/>
      </w:divBdr>
    </w:div>
    <w:div w:id="2076589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901/jaba.2006.80-05" TargetMode="External"/><Relationship Id="rId13" Type="http://schemas.openxmlformats.org/officeDocument/2006/relationships/hyperlink" Target="https://doi.org/10.1002/jaba.195" TargetMode="External"/><Relationship Id="rId18" Type="http://schemas.openxmlformats.org/officeDocument/2006/relationships/hyperlink" Target="https://www.health.govt.nz/system/files/documents/publications/new-zealand-framework-for-dementia-care-nov13.pdf" TargetMode="External"/><Relationship Id="rId3" Type="http://schemas.openxmlformats.org/officeDocument/2006/relationships/styles" Target="styles.xml"/><Relationship Id="rId21" Type="http://schemas.openxmlformats.org/officeDocument/2006/relationships/hyperlink" Target="https://www.who.int/publications/i/item/9789241513487" TargetMode="External"/><Relationship Id="rId7" Type="http://schemas.openxmlformats.org/officeDocument/2006/relationships/endnotes" Target="endnotes.xml"/><Relationship Id="rId12" Type="http://schemas.openxmlformats.org/officeDocument/2006/relationships/hyperlink" Target="https://doi.org/10.1901/jaba.1978.11-203" TargetMode="External"/><Relationship Id="rId17" Type="http://schemas.openxmlformats.org/officeDocument/2006/relationships/hyperlink" Target="https://doi.org/10.1002/bin.17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901/jaba.1998.31-605" TargetMode="External"/><Relationship Id="rId20" Type="http://schemas.openxmlformats.org/officeDocument/2006/relationships/hyperlink" Target="https://officeforseniors.govt.nz/better-later-life-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901/jaba.2012.45-8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2/jaba.88" TargetMode="External"/><Relationship Id="rId23" Type="http://schemas.openxmlformats.org/officeDocument/2006/relationships/header" Target="header1.xml"/><Relationship Id="rId10" Type="http://schemas.openxmlformats.org/officeDocument/2006/relationships/hyperlink" Target="https://doi.org/10.1901/jaba.2011.44-687" TargetMode="External"/><Relationship Id="rId19" Type="http://schemas.openxmlformats.org/officeDocument/2006/relationships/hyperlink" Target="https://www.health.govt.nz/system/files/documents/publications/healthy-ageing-strategy_june_2017.pdf" TargetMode="External"/><Relationship Id="rId4" Type="http://schemas.openxmlformats.org/officeDocument/2006/relationships/settings" Target="settings.xml"/><Relationship Id="rId9" Type="http://schemas.openxmlformats.org/officeDocument/2006/relationships/hyperlink" Target="https://www.health.govt.nz/system/files/documents/publications/new-zealand-framework-for-dementia-care-nov13.pdf" TargetMode="External"/><Relationship Id="rId14" Type="http://schemas.openxmlformats.org/officeDocument/2006/relationships/hyperlink" Target="https://doi.org/10.1007/BF03391813" TargetMode="External"/><Relationship Id="rId22" Type="http://schemas.openxmlformats.org/officeDocument/2006/relationships/hyperlink" Target="http://www.hrc.govt.nz/sites/default/files/2019-06/Resource%20Library%20PDF%20-%20Te%20Ara%20Tika%20Guidelines%20for%20Maori%20Research%20Ethic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2B16-DE18-42E5-B490-D62F6999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Mac-In-Touch Ltd</Company>
  <LinksUpToDate>false</LinksUpToDate>
  <CharactersWithSpaces>23418</CharactersWithSpaces>
  <SharedDoc>false</SharedDoc>
  <HLinks>
    <vt:vector size="78" baseType="variant">
      <vt:variant>
        <vt:i4>589886</vt:i4>
      </vt:variant>
      <vt:variant>
        <vt:i4>15</vt:i4>
      </vt:variant>
      <vt:variant>
        <vt:i4>0</vt:i4>
      </vt:variant>
      <vt:variant>
        <vt:i4>5</vt:i4>
      </vt:variant>
      <vt:variant>
        <vt:lpwstr>mailto:a.france@auckland.ac.nzz</vt:lpwstr>
      </vt:variant>
      <vt:variant>
        <vt:lpwstr/>
      </vt:variant>
      <vt:variant>
        <vt:i4>1572898</vt:i4>
      </vt:variant>
      <vt:variant>
        <vt:i4>12</vt:i4>
      </vt:variant>
      <vt:variant>
        <vt:i4>0</vt:i4>
      </vt:variant>
      <vt:variant>
        <vt:i4>5</vt:i4>
      </vt:variant>
      <vt:variant>
        <vt:lpwstr>mailto:d.mayeda@auckland.ac.nza</vt:lpwstr>
      </vt:variant>
      <vt:variant>
        <vt:lpwstr/>
      </vt:variant>
      <vt:variant>
        <vt:i4>4456484</vt:i4>
      </vt:variant>
      <vt:variant>
        <vt:i4>9</vt:i4>
      </vt:variant>
      <vt:variant>
        <vt:i4>0</vt:i4>
      </vt:variant>
      <vt:variant>
        <vt:i4>5</vt:i4>
      </vt:variant>
      <vt:variant>
        <vt:lpwstr>mailto:humanethics@auckland.ac.nz</vt:lpwstr>
      </vt:variant>
      <vt:variant>
        <vt:lpwstr/>
      </vt:variant>
      <vt:variant>
        <vt:i4>1572916</vt:i4>
      </vt:variant>
      <vt:variant>
        <vt:i4>6</vt:i4>
      </vt:variant>
      <vt:variant>
        <vt:i4>0</vt:i4>
      </vt:variant>
      <vt:variant>
        <vt:i4>5</vt:i4>
      </vt:variant>
      <vt:variant>
        <vt:lpwstr>mailto:s.matthewman@auckland.ac.nz</vt:lpwstr>
      </vt:variant>
      <vt:variant>
        <vt:lpwstr/>
      </vt:variant>
      <vt:variant>
        <vt:i4>1572898</vt:i4>
      </vt:variant>
      <vt:variant>
        <vt:i4>3</vt:i4>
      </vt:variant>
      <vt:variant>
        <vt:i4>0</vt:i4>
      </vt:variant>
      <vt:variant>
        <vt:i4>5</vt:i4>
      </vt:variant>
      <vt:variant>
        <vt:lpwstr>mailto:d.mayeda@auckland.ac.nz</vt:lpwstr>
      </vt:variant>
      <vt:variant>
        <vt:lpwstr/>
      </vt:variant>
      <vt:variant>
        <vt:i4>1572898</vt:i4>
      </vt:variant>
      <vt:variant>
        <vt:i4>0</vt:i4>
      </vt:variant>
      <vt:variant>
        <vt:i4>0</vt:i4>
      </vt:variant>
      <vt:variant>
        <vt:i4>5</vt:i4>
      </vt:variant>
      <vt:variant>
        <vt:lpwstr>mailto:d.mayeda@auckland.ac.nz</vt:lpwstr>
      </vt:variant>
      <vt:variant>
        <vt:lpwstr/>
      </vt:variant>
      <vt:variant>
        <vt:i4>3014706</vt:i4>
      </vt:variant>
      <vt:variant>
        <vt:i4>18</vt:i4>
      </vt:variant>
      <vt:variant>
        <vt:i4>0</vt:i4>
      </vt:variant>
      <vt:variant>
        <vt:i4>5</vt:i4>
      </vt:variant>
      <vt:variant>
        <vt:lpwstr>http://www.arts.auckland.ac.nz/soc</vt:lpwstr>
      </vt:variant>
      <vt:variant>
        <vt:lpwstr/>
      </vt:variant>
      <vt:variant>
        <vt:i4>2621523</vt:i4>
      </vt:variant>
      <vt:variant>
        <vt:i4>15</vt:i4>
      </vt:variant>
      <vt:variant>
        <vt:i4>0</vt:i4>
      </vt:variant>
      <vt:variant>
        <vt:i4>5</vt:i4>
      </vt:variant>
      <vt:variant>
        <vt:lpwstr>mailto:sociology@auckland.ac.nz</vt:lpwstr>
      </vt:variant>
      <vt:variant>
        <vt:lpwstr/>
      </vt:variant>
      <vt:variant>
        <vt:i4>3014706</vt:i4>
      </vt:variant>
      <vt:variant>
        <vt:i4>12</vt:i4>
      </vt:variant>
      <vt:variant>
        <vt:i4>0</vt:i4>
      </vt:variant>
      <vt:variant>
        <vt:i4>5</vt:i4>
      </vt:variant>
      <vt:variant>
        <vt:lpwstr>http://www.arts.auckland.ac.nz/soc</vt:lpwstr>
      </vt:variant>
      <vt:variant>
        <vt:lpwstr/>
      </vt:variant>
      <vt:variant>
        <vt:i4>2621523</vt:i4>
      </vt:variant>
      <vt:variant>
        <vt:i4>9</vt:i4>
      </vt:variant>
      <vt:variant>
        <vt:i4>0</vt:i4>
      </vt:variant>
      <vt:variant>
        <vt:i4>5</vt:i4>
      </vt:variant>
      <vt:variant>
        <vt:lpwstr>mailto:sociology@auckland.ac.nz</vt:lpwstr>
      </vt:variant>
      <vt:variant>
        <vt:lpwstr/>
      </vt:variant>
      <vt:variant>
        <vt:i4>3014706</vt:i4>
      </vt:variant>
      <vt:variant>
        <vt:i4>6</vt:i4>
      </vt:variant>
      <vt:variant>
        <vt:i4>0</vt:i4>
      </vt:variant>
      <vt:variant>
        <vt:i4>5</vt:i4>
      </vt:variant>
      <vt:variant>
        <vt:lpwstr>http://www.arts.auckland.ac.nz/soc</vt:lpwstr>
      </vt:variant>
      <vt:variant>
        <vt:lpwstr/>
      </vt:variant>
      <vt:variant>
        <vt:i4>2621523</vt:i4>
      </vt:variant>
      <vt:variant>
        <vt:i4>3</vt:i4>
      </vt:variant>
      <vt:variant>
        <vt:i4>0</vt:i4>
      </vt:variant>
      <vt:variant>
        <vt:i4>5</vt:i4>
      </vt:variant>
      <vt:variant>
        <vt:lpwstr>mailto:sociology@auckland.ac.nz</vt:lpwstr>
      </vt:variant>
      <vt:variant>
        <vt:lpwstr/>
      </vt:variant>
      <vt:variant>
        <vt:i4>1572898</vt:i4>
      </vt:variant>
      <vt:variant>
        <vt:i4>0</vt:i4>
      </vt:variant>
      <vt:variant>
        <vt:i4>0</vt:i4>
      </vt:variant>
      <vt:variant>
        <vt:i4>5</vt:i4>
      </vt:variant>
      <vt:variant>
        <vt:lpwstr>mailto:d.mayeda@auckland.ac.nz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dc:creator>
  <cp:keywords/>
  <cp:lastModifiedBy>Rebecca Sharp</cp:lastModifiedBy>
  <cp:revision>29</cp:revision>
  <cp:lastPrinted>2013-10-17T22:26:00Z</cp:lastPrinted>
  <dcterms:created xsi:type="dcterms:W3CDTF">2024-01-19T00:47:00Z</dcterms:created>
  <dcterms:modified xsi:type="dcterms:W3CDTF">2024-02-18T19:29:00Z</dcterms:modified>
</cp:coreProperties>
</file>