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0CFE5" w14:textId="02335DBE" w:rsidR="00743C0E" w:rsidRPr="006F2B6C" w:rsidRDefault="00BC64C1" w:rsidP="001F0978">
      <w:pPr>
        <w:pStyle w:val="Title"/>
        <w:rPr>
          <w:rStyle w:val="IntenseReference"/>
          <w:sz w:val="56"/>
          <w:szCs w:val="56"/>
        </w:rPr>
      </w:pPr>
      <w:r w:rsidRPr="006F2B6C">
        <w:rPr>
          <w:rStyle w:val="IntenseReference"/>
          <w:sz w:val="56"/>
          <w:szCs w:val="56"/>
        </w:rPr>
        <w:t>Rectal Swabs</w:t>
      </w:r>
      <w:r w:rsidR="0070531A" w:rsidRPr="006F2B6C">
        <w:rPr>
          <w:rStyle w:val="IntenseReference"/>
          <w:sz w:val="56"/>
          <w:szCs w:val="56"/>
        </w:rPr>
        <w:t xml:space="preserve"> vs Bulk Faeces </w:t>
      </w:r>
      <w:r w:rsidR="001F0978" w:rsidRPr="006F2B6C">
        <w:rPr>
          <w:rStyle w:val="IntenseReference"/>
          <w:sz w:val="56"/>
          <w:szCs w:val="56"/>
        </w:rPr>
        <w:t xml:space="preserve">PCR </w:t>
      </w:r>
      <w:r w:rsidR="0070531A" w:rsidRPr="006F2B6C">
        <w:rPr>
          <w:rStyle w:val="IntenseReference"/>
          <w:sz w:val="56"/>
          <w:szCs w:val="56"/>
        </w:rPr>
        <w:t>testing</w:t>
      </w:r>
      <w:r w:rsidRPr="006F2B6C">
        <w:rPr>
          <w:rStyle w:val="IntenseReference"/>
          <w:sz w:val="56"/>
          <w:szCs w:val="56"/>
        </w:rPr>
        <w:t xml:space="preserve"> for the Diagnosis of </w:t>
      </w:r>
      <w:r w:rsidR="0070531A" w:rsidRPr="006F2B6C">
        <w:rPr>
          <w:rStyle w:val="IntenseReference"/>
          <w:sz w:val="56"/>
          <w:szCs w:val="56"/>
        </w:rPr>
        <w:t>Enteric Conditions</w:t>
      </w:r>
      <w:r w:rsidR="001F0978" w:rsidRPr="006F2B6C">
        <w:rPr>
          <w:rStyle w:val="IntenseReference"/>
          <w:sz w:val="56"/>
          <w:szCs w:val="56"/>
        </w:rPr>
        <w:t xml:space="preserve"> (</w:t>
      </w:r>
      <w:proofErr w:type="spellStart"/>
      <w:r w:rsidR="001F0978" w:rsidRPr="006F2B6C">
        <w:t>RecSwabFaeces</w:t>
      </w:r>
      <w:proofErr w:type="spellEnd"/>
      <w:r w:rsidR="001F0978" w:rsidRPr="006F2B6C">
        <w:rPr>
          <w:rStyle w:val="IntenseReference"/>
          <w:sz w:val="56"/>
          <w:szCs w:val="56"/>
        </w:rPr>
        <w:t>)</w:t>
      </w:r>
    </w:p>
    <w:p w14:paraId="1F547C74" w14:textId="77777777" w:rsidR="00247CEB" w:rsidRPr="006F2B6C" w:rsidRDefault="00247CEB" w:rsidP="00247CEB">
      <w:pPr>
        <w:rPr>
          <w:rFonts w:cs="Arial"/>
        </w:rPr>
      </w:pPr>
    </w:p>
    <w:p w14:paraId="24219038" w14:textId="2D58D445" w:rsidR="00932C77" w:rsidRPr="006F2B6C" w:rsidRDefault="00003F33" w:rsidP="00247CEB">
      <w:pPr>
        <w:rPr>
          <w:rFonts w:cs="Arial"/>
        </w:rPr>
      </w:pPr>
      <w:r w:rsidRPr="006F2B6C">
        <w:rPr>
          <w:rFonts w:cs="Arial"/>
        </w:rPr>
        <w:t>Principal</w:t>
      </w:r>
      <w:r w:rsidR="00521BC9" w:rsidRPr="006F2B6C">
        <w:rPr>
          <w:rFonts w:cs="Arial"/>
        </w:rPr>
        <w:t xml:space="preserve"> Investigator</w:t>
      </w:r>
      <w:r w:rsidR="001F0978" w:rsidRPr="006F2B6C">
        <w:rPr>
          <w:rFonts w:cs="Arial"/>
        </w:rPr>
        <w:t>:</w:t>
      </w:r>
      <w:r w:rsidR="00247CEB" w:rsidRPr="006F2B6C">
        <w:rPr>
          <w:rFonts w:cs="Arial"/>
        </w:rPr>
        <w:t xml:space="preserve"> Smoll NR,</w:t>
      </w:r>
    </w:p>
    <w:p w14:paraId="77E88414" w14:textId="25AAB06B" w:rsidR="00247CEB" w:rsidRPr="006F2B6C" w:rsidRDefault="00521BC9" w:rsidP="00106D87">
      <w:pPr>
        <w:rPr>
          <w:rFonts w:cs="Arial"/>
        </w:rPr>
      </w:pPr>
      <w:r w:rsidRPr="006F2B6C">
        <w:rPr>
          <w:rFonts w:cs="Arial"/>
        </w:rPr>
        <w:t>Chief Investigators</w:t>
      </w:r>
      <w:r w:rsidR="00003F33" w:rsidRPr="006F2B6C">
        <w:rPr>
          <w:rFonts w:cs="Arial"/>
        </w:rPr>
        <w:t xml:space="preserve">: </w:t>
      </w:r>
      <w:r w:rsidR="00F619B2" w:rsidRPr="006F2B6C">
        <w:rPr>
          <w:rFonts w:cs="Arial"/>
        </w:rPr>
        <w:t>Williams D,</w:t>
      </w:r>
      <w:r w:rsidR="00E54A39" w:rsidRPr="006F2B6C">
        <w:rPr>
          <w:rFonts w:cs="Arial"/>
        </w:rPr>
        <w:t xml:space="preserve"> </w:t>
      </w:r>
      <w:r w:rsidR="00AC6237" w:rsidRPr="006F2B6C">
        <w:rPr>
          <w:rFonts w:cs="Arial"/>
        </w:rPr>
        <w:t xml:space="preserve">Khandaker G, </w:t>
      </w:r>
      <w:r w:rsidR="00C921B4" w:rsidRPr="006F2B6C">
        <w:rPr>
          <w:rFonts w:cs="Arial"/>
        </w:rPr>
        <w:t>Subedi</w:t>
      </w:r>
      <w:r w:rsidR="001315E5" w:rsidRPr="006F2B6C">
        <w:rPr>
          <w:rFonts w:cs="Arial"/>
        </w:rPr>
        <w:t xml:space="preserve"> S, </w:t>
      </w:r>
      <w:r w:rsidR="00BC64C1" w:rsidRPr="006F2B6C">
        <w:rPr>
          <w:rFonts w:cs="Arial"/>
        </w:rPr>
        <w:t>Schlebusch S</w:t>
      </w:r>
      <w:r w:rsidR="00BB260B" w:rsidRPr="006F2B6C">
        <w:rPr>
          <w:rFonts w:cs="Arial"/>
        </w:rPr>
        <w:t>, Thomas M</w:t>
      </w:r>
    </w:p>
    <w:p w14:paraId="3B2DCF2F" w14:textId="1802251F" w:rsidR="0080664F" w:rsidRPr="006F2B6C" w:rsidRDefault="00831361" w:rsidP="0080664F">
      <w:pPr>
        <w:rPr>
          <w:rFonts w:cs="Arial"/>
        </w:rPr>
      </w:pPr>
      <w:r w:rsidRPr="006F2B6C">
        <w:rPr>
          <w:rFonts w:cs="Arial"/>
        </w:rPr>
        <w:t>Study Nurses</w:t>
      </w:r>
      <w:r w:rsidR="0080664F" w:rsidRPr="006F2B6C">
        <w:rPr>
          <w:rFonts w:cs="Arial"/>
        </w:rPr>
        <w:t xml:space="preserve">: </w:t>
      </w:r>
      <w:r w:rsidRPr="006F2B6C">
        <w:rPr>
          <w:rFonts w:cs="Arial"/>
        </w:rPr>
        <w:t xml:space="preserve">Neucom D, Barnekow D, </w:t>
      </w:r>
      <w:r w:rsidR="00A47C69" w:rsidRPr="006F2B6C">
        <w:rPr>
          <w:rFonts w:cs="Arial"/>
        </w:rPr>
        <w:t>Walker J</w:t>
      </w:r>
    </w:p>
    <w:p w14:paraId="0C0F1F3B" w14:textId="77777777" w:rsidR="0080664F" w:rsidRPr="006F2B6C" w:rsidRDefault="0080664F" w:rsidP="00106D87">
      <w:pPr>
        <w:rPr>
          <w:rFonts w:cs="Arial"/>
        </w:rPr>
      </w:pPr>
    </w:p>
    <w:p w14:paraId="76BA0134" w14:textId="2B94F2AF" w:rsidR="008A7DEA" w:rsidRPr="006F2B6C" w:rsidRDefault="00A5182C" w:rsidP="00247CEB">
      <w:pPr>
        <w:pStyle w:val="Heading1"/>
        <w:rPr>
          <w:rFonts w:cs="Arial"/>
        </w:rPr>
      </w:pPr>
      <w:bookmarkStart w:id="0" w:name="_Toc141712115"/>
      <w:r w:rsidRPr="006F2B6C">
        <w:rPr>
          <w:rFonts w:cs="Arial"/>
        </w:rPr>
        <w:t>Summary</w:t>
      </w:r>
      <w:bookmarkEnd w:id="0"/>
    </w:p>
    <w:p w14:paraId="7471D8C1" w14:textId="1A827B1C" w:rsidR="00A5182C" w:rsidRPr="006F2B6C" w:rsidRDefault="00A5182C" w:rsidP="00A5182C">
      <w:pPr>
        <w:rPr>
          <w:rFonts w:eastAsia="Times New Roman" w:cs="Arial"/>
          <w:sz w:val="24"/>
          <w:szCs w:val="24"/>
          <w:lang w:eastAsia="en-AU"/>
        </w:rPr>
      </w:pPr>
      <w:r w:rsidRPr="006F2B6C">
        <w:rPr>
          <w:rFonts w:eastAsia="Times New Roman" w:cs="Arial"/>
          <w:sz w:val="24"/>
          <w:szCs w:val="24"/>
          <w:lang w:eastAsia="en-AU"/>
        </w:rPr>
        <w:t xml:space="preserve">This proposal seeks funding to investigate whether rectal swabs are a reliable proxy for </w:t>
      </w:r>
      <w:proofErr w:type="spellStart"/>
      <w:r w:rsidRPr="006F2B6C">
        <w:rPr>
          <w:rFonts w:eastAsia="Times New Roman" w:cs="Arial"/>
          <w:sz w:val="24"/>
          <w:szCs w:val="24"/>
          <w:lang w:eastAsia="en-AU"/>
        </w:rPr>
        <w:t>fecal</w:t>
      </w:r>
      <w:proofErr w:type="spellEnd"/>
      <w:r w:rsidRPr="006F2B6C">
        <w:rPr>
          <w:rFonts w:eastAsia="Times New Roman" w:cs="Arial"/>
          <w:sz w:val="24"/>
          <w:szCs w:val="24"/>
          <w:lang w:eastAsia="en-AU"/>
        </w:rPr>
        <w:t xml:space="preserve"> sampling. </w:t>
      </w:r>
      <w:r w:rsidRPr="006F2B6C">
        <w:rPr>
          <w:rFonts w:cs="Arial"/>
          <w:sz w:val="24"/>
          <w:szCs w:val="24"/>
        </w:rPr>
        <w:t xml:space="preserve">This would possibly revolutionise daily clinical practice, allowing for faster specimen collection, improving the patient’s testing experience, and increasing the speed and precision care can be delivered. </w:t>
      </w:r>
      <w:r w:rsidRPr="006F2B6C">
        <w:rPr>
          <w:rFonts w:eastAsia="Times New Roman" w:cs="Arial"/>
          <w:sz w:val="24"/>
          <w:szCs w:val="24"/>
          <w:lang w:eastAsia="en-AU"/>
        </w:rPr>
        <w:t>The proposed study will compare paired stool and rectal swab sample PCR testing in a variety of settings, including suspected norovirus clusters, Hepatitis A clusters, hospital and community settings.</w:t>
      </w:r>
      <w:r w:rsidR="005E4CC1">
        <w:rPr>
          <w:rFonts w:eastAsia="Times New Roman" w:cs="Arial"/>
          <w:sz w:val="24"/>
          <w:szCs w:val="24"/>
          <w:lang w:eastAsia="en-AU"/>
        </w:rPr>
        <w:t xml:space="preserve"> </w:t>
      </w:r>
      <w:r w:rsidRPr="006F2B6C">
        <w:rPr>
          <w:rFonts w:eastAsia="Times New Roman" w:cs="Arial"/>
          <w:sz w:val="24"/>
          <w:szCs w:val="24"/>
          <w:lang w:eastAsia="en-AU"/>
        </w:rPr>
        <w:t>The sample size is expected to be less than 600, and the statistical analysis will use 2x2 tables to evaluat</w:t>
      </w:r>
      <w:r w:rsidR="000A74F4" w:rsidRPr="006F2B6C">
        <w:rPr>
          <w:rFonts w:eastAsia="Times New Roman" w:cs="Arial"/>
          <w:sz w:val="24"/>
          <w:szCs w:val="24"/>
          <w:lang w:eastAsia="en-AU"/>
        </w:rPr>
        <w:t>e the s</w:t>
      </w:r>
      <w:r w:rsidR="00AF7CDE" w:rsidRPr="006F2B6C">
        <w:rPr>
          <w:rFonts w:eastAsia="Times New Roman" w:cs="Arial"/>
          <w:sz w:val="24"/>
          <w:szCs w:val="24"/>
          <w:lang w:eastAsia="en-AU"/>
        </w:rPr>
        <w:t>ensitivity, specificity, positive and negative predictive values against the gold standard of bulk faeces testing</w:t>
      </w:r>
      <w:r w:rsidRPr="006F2B6C">
        <w:rPr>
          <w:rFonts w:eastAsia="Times New Roman" w:cs="Arial"/>
          <w:sz w:val="24"/>
          <w:szCs w:val="24"/>
          <w:lang w:eastAsia="en-AU"/>
        </w:rPr>
        <w:t>.</w:t>
      </w:r>
    </w:p>
    <w:p w14:paraId="4A8B7949" w14:textId="778E6225" w:rsidR="00106D87" w:rsidRPr="006F2B6C" w:rsidRDefault="00A5182C" w:rsidP="000951A3">
      <w:pPr>
        <w:shd w:val="clear" w:color="auto" w:fill="FFFFFF"/>
        <w:spacing w:before="100" w:beforeAutospacing="1" w:after="150" w:line="276" w:lineRule="auto"/>
        <w:rPr>
          <w:rFonts w:eastAsia="Times New Roman" w:cs="Arial"/>
          <w:sz w:val="24"/>
          <w:szCs w:val="24"/>
          <w:lang w:eastAsia="en-AU"/>
        </w:rPr>
      </w:pPr>
      <w:r w:rsidRPr="006F2B6C">
        <w:rPr>
          <w:sz w:val="24"/>
          <w:szCs w:val="24"/>
        </w:rPr>
        <w:t xml:space="preserve">Consumer engagement </w:t>
      </w:r>
      <w:r w:rsidR="00A40607" w:rsidRPr="006F2B6C">
        <w:rPr>
          <w:sz w:val="24"/>
          <w:szCs w:val="24"/>
        </w:rPr>
        <w:t xml:space="preserve">and the dissemination of results </w:t>
      </w:r>
      <w:r w:rsidRPr="006F2B6C">
        <w:rPr>
          <w:sz w:val="24"/>
          <w:szCs w:val="24"/>
        </w:rPr>
        <w:t>will be a key part of the study</w:t>
      </w:r>
      <w:r w:rsidR="00A40607" w:rsidRPr="006F2B6C">
        <w:rPr>
          <w:sz w:val="24"/>
          <w:szCs w:val="24"/>
        </w:rPr>
        <w:t>.</w:t>
      </w:r>
      <w:r w:rsidRPr="006F2B6C">
        <w:rPr>
          <w:sz w:val="24"/>
          <w:szCs w:val="24"/>
        </w:rPr>
        <w:t xml:space="preserve"> </w:t>
      </w:r>
      <w:r w:rsidR="00A40607" w:rsidRPr="006F2B6C">
        <w:rPr>
          <w:sz w:val="24"/>
          <w:szCs w:val="24"/>
        </w:rPr>
        <w:t>T</w:t>
      </w:r>
      <w:r w:rsidRPr="006F2B6C">
        <w:rPr>
          <w:sz w:val="24"/>
          <w:szCs w:val="24"/>
        </w:rPr>
        <w:t>he researchers will work closely with the Sunshine Coast Health Consumer Research Engagement Group</w:t>
      </w:r>
      <w:r w:rsidR="00A40607" w:rsidRPr="006F2B6C">
        <w:rPr>
          <w:sz w:val="24"/>
          <w:szCs w:val="24"/>
        </w:rPr>
        <w:t>, through several formal and informal channels.</w:t>
      </w:r>
      <w:r w:rsidR="000951A3" w:rsidRPr="006F2B6C">
        <w:rPr>
          <w:rFonts w:eastAsia="Times New Roman" w:cs="Arial"/>
          <w:sz w:val="24"/>
          <w:szCs w:val="24"/>
          <w:lang w:eastAsia="en-AU"/>
        </w:rPr>
        <w:t xml:space="preserve"> Because the research is intended to change clinical practice, an extensive dissemination plan is to be enacted across the nation, and internationally.</w:t>
      </w:r>
    </w:p>
    <w:p w14:paraId="2C580E91" w14:textId="77777777" w:rsidR="00106D87" w:rsidRPr="006F2B6C" w:rsidRDefault="00106D87">
      <w:pPr>
        <w:rPr>
          <w:rFonts w:eastAsia="Times New Roman" w:cs="Arial"/>
          <w:sz w:val="24"/>
          <w:szCs w:val="24"/>
          <w:lang w:eastAsia="en-AU"/>
        </w:rPr>
      </w:pPr>
      <w:r w:rsidRPr="006F2B6C">
        <w:rPr>
          <w:rFonts w:eastAsia="Times New Roman" w:cs="Arial"/>
          <w:sz w:val="24"/>
          <w:szCs w:val="24"/>
          <w:lang w:eastAsia="en-AU"/>
        </w:rPr>
        <w:br w:type="page"/>
      </w:r>
    </w:p>
    <w:sdt>
      <w:sdtPr>
        <w:rPr>
          <w:rFonts w:ascii="Arial" w:eastAsiaTheme="minorHAnsi" w:hAnsi="Arial" w:cstheme="minorBidi"/>
          <w:color w:val="auto"/>
          <w:sz w:val="22"/>
          <w:szCs w:val="22"/>
          <w:lang w:val="en-AU"/>
        </w:rPr>
        <w:id w:val="378673847"/>
        <w:docPartObj>
          <w:docPartGallery w:val="Table of Contents"/>
          <w:docPartUnique/>
        </w:docPartObj>
      </w:sdtPr>
      <w:sdtEndPr>
        <w:rPr>
          <w:b/>
          <w:bCs/>
          <w:noProof/>
        </w:rPr>
      </w:sdtEndPr>
      <w:sdtContent>
        <w:p w14:paraId="2C6A01DF" w14:textId="1EEB78F1" w:rsidR="000A3AB6" w:rsidRPr="006F2B6C" w:rsidRDefault="000A3AB6" w:rsidP="000A3AB6">
          <w:pPr>
            <w:pStyle w:val="TOCHeading"/>
            <w:rPr>
              <w:rStyle w:val="Heading1Char"/>
              <w:color w:val="auto"/>
            </w:rPr>
          </w:pPr>
          <w:r w:rsidRPr="006F2B6C">
            <w:rPr>
              <w:rStyle w:val="Heading1Char"/>
              <w:color w:val="auto"/>
            </w:rPr>
            <w:t>Contents</w:t>
          </w:r>
        </w:p>
        <w:p w14:paraId="3A9438D7" w14:textId="57957051" w:rsidR="00106D87" w:rsidRPr="006F2B6C" w:rsidRDefault="000951A3">
          <w:pPr>
            <w:pStyle w:val="TOC1"/>
            <w:tabs>
              <w:tab w:val="right" w:leader="dot" w:pos="9016"/>
            </w:tabs>
            <w:rPr>
              <w:rFonts w:asciiTheme="minorHAnsi" w:eastAsiaTheme="minorEastAsia" w:hAnsiTheme="minorHAnsi"/>
              <w:noProof/>
              <w:lang w:eastAsia="en-AU"/>
            </w:rPr>
          </w:pPr>
          <w:r w:rsidRPr="006F2B6C">
            <w:fldChar w:fldCharType="begin"/>
          </w:r>
          <w:r w:rsidRPr="006F2B6C">
            <w:instrText xml:space="preserve"> TOC \o "1-2" \h \z \u </w:instrText>
          </w:r>
          <w:r w:rsidRPr="006F2B6C">
            <w:fldChar w:fldCharType="separate"/>
          </w:r>
          <w:hyperlink w:anchor="_Toc141712115" w:history="1">
            <w:r w:rsidR="00106D87" w:rsidRPr="006F2B6C">
              <w:rPr>
                <w:rStyle w:val="Hyperlink"/>
                <w:rFonts w:cs="Arial"/>
                <w:noProof/>
                <w:color w:val="auto"/>
              </w:rPr>
              <w:t>Summary</w:t>
            </w:r>
            <w:r w:rsidR="00106D87" w:rsidRPr="006F2B6C">
              <w:rPr>
                <w:noProof/>
                <w:webHidden/>
              </w:rPr>
              <w:tab/>
            </w:r>
            <w:r w:rsidR="00106D87" w:rsidRPr="006F2B6C">
              <w:rPr>
                <w:noProof/>
                <w:webHidden/>
              </w:rPr>
              <w:fldChar w:fldCharType="begin"/>
            </w:r>
            <w:r w:rsidR="00106D87" w:rsidRPr="006F2B6C">
              <w:rPr>
                <w:noProof/>
                <w:webHidden/>
              </w:rPr>
              <w:instrText xml:space="preserve"> PAGEREF _Toc141712115 \h </w:instrText>
            </w:r>
            <w:r w:rsidR="00106D87" w:rsidRPr="006F2B6C">
              <w:rPr>
                <w:noProof/>
                <w:webHidden/>
              </w:rPr>
            </w:r>
            <w:r w:rsidR="00106D87" w:rsidRPr="006F2B6C">
              <w:rPr>
                <w:noProof/>
                <w:webHidden/>
              </w:rPr>
              <w:fldChar w:fldCharType="separate"/>
            </w:r>
            <w:r w:rsidR="00106D87" w:rsidRPr="006F2B6C">
              <w:rPr>
                <w:noProof/>
                <w:webHidden/>
              </w:rPr>
              <w:t>1</w:t>
            </w:r>
            <w:r w:rsidR="00106D87" w:rsidRPr="006F2B6C">
              <w:rPr>
                <w:noProof/>
                <w:webHidden/>
              </w:rPr>
              <w:fldChar w:fldCharType="end"/>
            </w:r>
          </w:hyperlink>
        </w:p>
        <w:p w14:paraId="635553B0" w14:textId="7CCEFF8B" w:rsidR="00106D87" w:rsidRPr="006F2B6C" w:rsidRDefault="00000000">
          <w:pPr>
            <w:pStyle w:val="TOC1"/>
            <w:tabs>
              <w:tab w:val="right" w:leader="dot" w:pos="9016"/>
            </w:tabs>
            <w:rPr>
              <w:rFonts w:asciiTheme="minorHAnsi" w:eastAsiaTheme="minorEastAsia" w:hAnsiTheme="minorHAnsi"/>
              <w:noProof/>
              <w:lang w:eastAsia="en-AU"/>
            </w:rPr>
          </w:pPr>
          <w:hyperlink w:anchor="_Toc141712116" w:history="1">
            <w:r w:rsidR="00106D87" w:rsidRPr="006F2B6C">
              <w:rPr>
                <w:rStyle w:val="Hyperlink"/>
                <w:rFonts w:cs="Arial"/>
                <w:noProof/>
                <w:color w:val="auto"/>
              </w:rPr>
              <w:t>Plain Language Statement</w:t>
            </w:r>
            <w:r w:rsidR="00106D87" w:rsidRPr="006F2B6C">
              <w:rPr>
                <w:noProof/>
                <w:webHidden/>
              </w:rPr>
              <w:tab/>
            </w:r>
            <w:r w:rsidR="00106D87" w:rsidRPr="006F2B6C">
              <w:rPr>
                <w:noProof/>
                <w:webHidden/>
              </w:rPr>
              <w:fldChar w:fldCharType="begin"/>
            </w:r>
            <w:r w:rsidR="00106D87" w:rsidRPr="006F2B6C">
              <w:rPr>
                <w:noProof/>
                <w:webHidden/>
              </w:rPr>
              <w:instrText xml:space="preserve"> PAGEREF _Toc141712116 \h </w:instrText>
            </w:r>
            <w:r w:rsidR="00106D87" w:rsidRPr="006F2B6C">
              <w:rPr>
                <w:noProof/>
                <w:webHidden/>
              </w:rPr>
            </w:r>
            <w:r w:rsidR="00106D87" w:rsidRPr="006F2B6C">
              <w:rPr>
                <w:noProof/>
                <w:webHidden/>
              </w:rPr>
              <w:fldChar w:fldCharType="separate"/>
            </w:r>
            <w:r w:rsidR="00106D87" w:rsidRPr="006F2B6C">
              <w:rPr>
                <w:noProof/>
                <w:webHidden/>
              </w:rPr>
              <w:t>2</w:t>
            </w:r>
            <w:r w:rsidR="00106D87" w:rsidRPr="006F2B6C">
              <w:rPr>
                <w:noProof/>
                <w:webHidden/>
              </w:rPr>
              <w:fldChar w:fldCharType="end"/>
            </w:r>
          </w:hyperlink>
        </w:p>
        <w:p w14:paraId="5B7880FF" w14:textId="1F1E595F" w:rsidR="00106D87" w:rsidRPr="006F2B6C" w:rsidRDefault="00000000">
          <w:pPr>
            <w:pStyle w:val="TOC1"/>
            <w:tabs>
              <w:tab w:val="right" w:leader="dot" w:pos="9016"/>
            </w:tabs>
            <w:rPr>
              <w:rFonts w:asciiTheme="minorHAnsi" w:eastAsiaTheme="minorEastAsia" w:hAnsiTheme="minorHAnsi"/>
              <w:noProof/>
              <w:lang w:eastAsia="en-AU"/>
            </w:rPr>
          </w:pPr>
          <w:hyperlink w:anchor="_Toc141712117" w:history="1">
            <w:r w:rsidR="00106D87" w:rsidRPr="006F2B6C">
              <w:rPr>
                <w:rStyle w:val="Hyperlink"/>
                <w:rFonts w:cs="Arial"/>
                <w:noProof/>
                <w:color w:val="auto"/>
              </w:rPr>
              <w:t>Introduction</w:t>
            </w:r>
            <w:r w:rsidR="00106D87" w:rsidRPr="006F2B6C">
              <w:rPr>
                <w:noProof/>
                <w:webHidden/>
              </w:rPr>
              <w:tab/>
            </w:r>
            <w:r w:rsidR="00106D87" w:rsidRPr="006F2B6C">
              <w:rPr>
                <w:noProof/>
                <w:webHidden/>
              </w:rPr>
              <w:fldChar w:fldCharType="begin"/>
            </w:r>
            <w:r w:rsidR="00106D87" w:rsidRPr="006F2B6C">
              <w:rPr>
                <w:noProof/>
                <w:webHidden/>
              </w:rPr>
              <w:instrText xml:space="preserve"> PAGEREF _Toc141712117 \h </w:instrText>
            </w:r>
            <w:r w:rsidR="00106D87" w:rsidRPr="006F2B6C">
              <w:rPr>
                <w:noProof/>
                <w:webHidden/>
              </w:rPr>
            </w:r>
            <w:r w:rsidR="00106D87" w:rsidRPr="006F2B6C">
              <w:rPr>
                <w:noProof/>
                <w:webHidden/>
              </w:rPr>
              <w:fldChar w:fldCharType="separate"/>
            </w:r>
            <w:r w:rsidR="00106D87" w:rsidRPr="006F2B6C">
              <w:rPr>
                <w:noProof/>
                <w:webHidden/>
              </w:rPr>
              <w:t>2</w:t>
            </w:r>
            <w:r w:rsidR="00106D87" w:rsidRPr="006F2B6C">
              <w:rPr>
                <w:noProof/>
                <w:webHidden/>
              </w:rPr>
              <w:fldChar w:fldCharType="end"/>
            </w:r>
          </w:hyperlink>
        </w:p>
        <w:p w14:paraId="38F98C5B" w14:textId="7AFCB6C3" w:rsidR="00106D87" w:rsidRPr="006F2B6C" w:rsidRDefault="00000000">
          <w:pPr>
            <w:pStyle w:val="TOC1"/>
            <w:tabs>
              <w:tab w:val="right" w:leader="dot" w:pos="9016"/>
            </w:tabs>
            <w:rPr>
              <w:rFonts w:asciiTheme="minorHAnsi" w:eastAsiaTheme="minorEastAsia" w:hAnsiTheme="minorHAnsi"/>
              <w:noProof/>
              <w:lang w:eastAsia="en-AU"/>
            </w:rPr>
          </w:pPr>
          <w:hyperlink w:anchor="_Toc141712118" w:history="1">
            <w:r w:rsidR="00106D87" w:rsidRPr="006F2B6C">
              <w:rPr>
                <w:rStyle w:val="Hyperlink"/>
                <w:noProof/>
                <w:color w:val="auto"/>
              </w:rPr>
              <w:t>Aims and Outcomes</w:t>
            </w:r>
            <w:r w:rsidR="00106D87" w:rsidRPr="006F2B6C">
              <w:rPr>
                <w:noProof/>
                <w:webHidden/>
              </w:rPr>
              <w:tab/>
            </w:r>
            <w:r w:rsidR="00106D87" w:rsidRPr="006F2B6C">
              <w:rPr>
                <w:noProof/>
                <w:webHidden/>
              </w:rPr>
              <w:fldChar w:fldCharType="begin"/>
            </w:r>
            <w:r w:rsidR="00106D87" w:rsidRPr="006F2B6C">
              <w:rPr>
                <w:noProof/>
                <w:webHidden/>
              </w:rPr>
              <w:instrText xml:space="preserve"> PAGEREF _Toc141712118 \h </w:instrText>
            </w:r>
            <w:r w:rsidR="00106D87" w:rsidRPr="006F2B6C">
              <w:rPr>
                <w:noProof/>
                <w:webHidden/>
              </w:rPr>
            </w:r>
            <w:r w:rsidR="00106D87" w:rsidRPr="006F2B6C">
              <w:rPr>
                <w:noProof/>
                <w:webHidden/>
              </w:rPr>
              <w:fldChar w:fldCharType="separate"/>
            </w:r>
            <w:r w:rsidR="00106D87" w:rsidRPr="006F2B6C">
              <w:rPr>
                <w:noProof/>
                <w:webHidden/>
              </w:rPr>
              <w:t>3</w:t>
            </w:r>
            <w:r w:rsidR="00106D87" w:rsidRPr="006F2B6C">
              <w:rPr>
                <w:noProof/>
                <w:webHidden/>
              </w:rPr>
              <w:fldChar w:fldCharType="end"/>
            </w:r>
          </w:hyperlink>
        </w:p>
        <w:p w14:paraId="588A511B" w14:textId="22F9E75C" w:rsidR="00106D87" w:rsidRPr="006F2B6C" w:rsidRDefault="00000000">
          <w:pPr>
            <w:pStyle w:val="TOC1"/>
            <w:tabs>
              <w:tab w:val="right" w:leader="dot" w:pos="9016"/>
            </w:tabs>
            <w:rPr>
              <w:rFonts w:asciiTheme="minorHAnsi" w:eastAsiaTheme="minorEastAsia" w:hAnsiTheme="minorHAnsi"/>
              <w:noProof/>
              <w:lang w:eastAsia="en-AU"/>
            </w:rPr>
          </w:pPr>
          <w:hyperlink w:anchor="_Toc141712119" w:history="1">
            <w:r w:rsidR="00106D87" w:rsidRPr="006F2B6C">
              <w:rPr>
                <w:rStyle w:val="Hyperlink"/>
                <w:rFonts w:cs="Arial"/>
                <w:noProof/>
                <w:color w:val="auto"/>
              </w:rPr>
              <w:t>Methods</w:t>
            </w:r>
            <w:r w:rsidR="00106D87" w:rsidRPr="006F2B6C">
              <w:rPr>
                <w:noProof/>
                <w:webHidden/>
              </w:rPr>
              <w:tab/>
            </w:r>
            <w:r w:rsidR="00106D87" w:rsidRPr="006F2B6C">
              <w:rPr>
                <w:noProof/>
                <w:webHidden/>
              </w:rPr>
              <w:fldChar w:fldCharType="begin"/>
            </w:r>
            <w:r w:rsidR="00106D87" w:rsidRPr="006F2B6C">
              <w:rPr>
                <w:noProof/>
                <w:webHidden/>
              </w:rPr>
              <w:instrText xml:space="preserve"> PAGEREF _Toc141712119 \h </w:instrText>
            </w:r>
            <w:r w:rsidR="00106D87" w:rsidRPr="006F2B6C">
              <w:rPr>
                <w:noProof/>
                <w:webHidden/>
              </w:rPr>
            </w:r>
            <w:r w:rsidR="00106D87" w:rsidRPr="006F2B6C">
              <w:rPr>
                <w:noProof/>
                <w:webHidden/>
              </w:rPr>
              <w:fldChar w:fldCharType="separate"/>
            </w:r>
            <w:r w:rsidR="00106D87" w:rsidRPr="006F2B6C">
              <w:rPr>
                <w:noProof/>
                <w:webHidden/>
              </w:rPr>
              <w:t>4</w:t>
            </w:r>
            <w:r w:rsidR="00106D87" w:rsidRPr="006F2B6C">
              <w:rPr>
                <w:noProof/>
                <w:webHidden/>
              </w:rPr>
              <w:fldChar w:fldCharType="end"/>
            </w:r>
          </w:hyperlink>
        </w:p>
        <w:p w14:paraId="4D564EAD" w14:textId="154BD954" w:rsidR="00106D87" w:rsidRPr="006F2B6C" w:rsidRDefault="00000000">
          <w:pPr>
            <w:pStyle w:val="TOC2"/>
            <w:tabs>
              <w:tab w:val="right" w:leader="dot" w:pos="9016"/>
            </w:tabs>
            <w:rPr>
              <w:rFonts w:asciiTheme="minorHAnsi" w:eastAsiaTheme="minorEastAsia" w:hAnsiTheme="minorHAnsi"/>
              <w:noProof/>
              <w:lang w:eastAsia="en-AU"/>
            </w:rPr>
          </w:pPr>
          <w:hyperlink w:anchor="_Toc141712120" w:history="1">
            <w:r w:rsidR="00106D87" w:rsidRPr="006F2B6C">
              <w:rPr>
                <w:rStyle w:val="Hyperlink"/>
                <w:rFonts w:cs="Arial"/>
                <w:noProof/>
                <w:color w:val="auto"/>
              </w:rPr>
              <w:t>Timeline</w:t>
            </w:r>
            <w:r w:rsidR="00106D87" w:rsidRPr="006F2B6C">
              <w:rPr>
                <w:noProof/>
                <w:webHidden/>
              </w:rPr>
              <w:tab/>
            </w:r>
            <w:r w:rsidR="00106D87" w:rsidRPr="006F2B6C">
              <w:rPr>
                <w:noProof/>
                <w:webHidden/>
              </w:rPr>
              <w:fldChar w:fldCharType="begin"/>
            </w:r>
            <w:r w:rsidR="00106D87" w:rsidRPr="006F2B6C">
              <w:rPr>
                <w:noProof/>
                <w:webHidden/>
              </w:rPr>
              <w:instrText xml:space="preserve"> PAGEREF _Toc141712120 \h </w:instrText>
            </w:r>
            <w:r w:rsidR="00106D87" w:rsidRPr="006F2B6C">
              <w:rPr>
                <w:noProof/>
                <w:webHidden/>
              </w:rPr>
            </w:r>
            <w:r w:rsidR="00106D87" w:rsidRPr="006F2B6C">
              <w:rPr>
                <w:noProof/>
                <w:webHidden/>
              </w:rPr>
              <w:fldChar w:fldCharType="separate"/>
            </w:r>
            <w:r w:rsidR="00106D87" w:rsidRPr="006F2B6C">
              <w:rPr>
                <w:noProof/>
                <w:webHidden/>
              </w:rPr>
              <w:t>4</w:t>
            </w:r>
            <w:r w:rsidR="00106D87" w:rsidRPr="006F2B6C">
              <w:rPr>
                <w:noProof/>
                <w:webHidden/>
              </w:rPr>
              <w:fldChar w:fldCharType="end"/>
            </w:r>
          </w:hyperlink>
        </w:p>
        <w:p w14:paraId="031522D6" w14:textId="6DA54039" w:rsidR="00106D87" w:rsidRPr="006F2B6C" w:rsidRDefault="00000000">
          <w:pPr>
            <w:pStyle w:val="TOC2"/>
            <w:tabs>
              <w:tab w:val="right" w:leader="dot" w:pos="9016"/>
            </w:tabs>
            <w:rPr>
              <w:rFonts w:asciiTheme="minorHAnsi" w:eastAsiaTheme="minorEastAsia" w:hAnsiTheme="minorHAnsi"/>
              <w:noProof/>
              <w:lang w:eastAsia="en-AU"/>
            </w:rPr>
          </w:pPr>
          <w:hyperlink w:anchor="_Toc141712121" w:history="1">
            <w:r w:rsidR="00106D87" w:rsidRPr="006F2B6C">
              <w:rPr>
                <w:rStyle w:val="Hyperlink"/>
                <w:rFonts w:cs="Arial"/>
                <w:noProof/>
                <w:color w:val="auto"/>
              </w:rPr>
              <w:t>Sample Size</w:t>
            </w:r>
            <w:r w:rsidR="00106D87" w:rsidRPr="006F2B6C">
              <w:rPr>
                <w:noProof/>
                <w:webHidden/>
              </w:rPr>
              <w:tab/>
            </w:r>
            <w:r w:rsidR="00106D87" w:rsidRPr="006F2B6C">
              <w:rPr>
                <w:noProof/>
                <w:webHidden/>
              </w:rPr>
              <w:fldChar w:fldCharType="begin"/>
            </w:r>
            <w:r w:rsidR="00106D87" w:rsidRPr="006F2B6C">
              <w:rPr>
                <w:noProof/>
                <w:webHidden/>
              </w:rPr>
              <w:instrText xml:space="preserve"> PAGEREF _Toc141712121 \h </w:instrText>
            </w:r>
            <w:r w:rsidR="00106D87" w:rsidRPr="006F2B6C">
              <w:rPr>
                <w:noProof/>
                <w:webHidden/>
              </w:rPr>
            </w:r>
            <w:r w:rsidR="00106D87" w:rsidRPr="006F2B6C">
              <w:rPr>
                <w:noProof/>
                <w:webHidden/>
              </w:rPr>
              <w:fldChar w:fldCharType="separate"/>
            </w:r>
            <w:r w:rsidR="00106D87" w:rsidRPr="006F2B6C">
              <w:rPr>
                <w:noProof/>
                <w:webHidden/>
              </w:rPr>
              <w:t>5</w:t>
            </w:r>
            <w:r w:rsidR="00106D87" w:rsidRPr="006F2B6C">
              <w:rPr>
                <w:noProof/>
                <w:webHidden/>
              </w:rPr>
              <w:fldChar w:fldCharType="end"/>
            </w:r>
          </w:hyperlink>
        </w:p>
        <w:p w14:paraId="5CE61301" w14:textId="6354D70D" w:rsidR="00106D87" w:rsidRPr="006F2B6C" w:rsidRDefault="00000000">
          <w:pPr>
            <w:pStyle w:val="TOC2"/>
            <w:tabs>
              <w:tab w:val="right" w:leader="dot" w:pos="9016"/>
            </w:tabs>
            <w:rPr>
              <w:rFonts w:asciiTheme="minorHAnsi" w:eastAsiaTheme="minorEastAsia" w:hAnsiTheme="minorHAnsi"/>
              <w:noProof/>
              <w:lang w:eastAsia="en-AU"/>
            </w:rPr>
          </w:pPr>
          <w:hyperlink w:anchor="_Toc141712122" w:history="1">
            <w:r w:rsidR="00106D87" w:rsidRPr="006F2B6C">
              <w:rPr>
                <w:rStyle w:val="Hyperlink"/>
                <w:rFonts w:cs="Arial"/>
                <w:noProof/>
                <w:color w:val="auto"/>
              </w:rPr>
              <w:t>Recruitment</w:t>
            </w:r>
            <w:r w:rsidR="00106D87" w:rsidRPr="006F2B6C">
              <w:rPr>
                <w:noProof/>
                <w:webHidden/>
              </w:rPr>
              <w:tab/>
            </w:r>
            <w:r w:rsidR="00106D87" w:rsidRPr="006F2B6C">
              <w:rPr>
                <w:noProof/>
                <w:webHidden/>
              </w:rPr>
              <w:fldChar w:fldCharType="begin"/>
            </w:r>
            <w:r w:rsidR="00106D87" w:rsidRPr="006F2B6C">
              <w:rPr>
                <w:noProof/>
                <w:webHidden/>
              </w:rPr>
              <w:instrText xml:space="preserve"> PAGEREF _Toc141712122 \h </w:instrText>
            </w:r>
            <w:r w:rsidR="00106D87" w:rsidRPr="006F2B6C">
              <w:rPr>
                <w:noProof/>
                <w:webHidden/>
              </w:rPr>
            </w:r>
            <w:r w:rsidR="00106D87" w:rsidRPr="006F2B6C">
              <w:rPr>
                <w:noProof/>
                <w:webHidden/>
              </w:rPr>
              <w:fldChar w:fldCharType="separate"/>
            </w:r>
            <w:r w:rsidR="00106D87" w:rsidRPr="006F2B6C">
              <w:rPr>
                <w:noProof/>
                <w:webHidden/>
              </w:rPr>
              <w:t>7</w:t>
            </w:r>
            <w:r w:rsidR="00106D87" w:rsidRPr="006F2B6C">
              <w:rPr>
                <w:noProof/>
                <w:webHidden/>
              </w:rPr>
              <w:fldChar w:fldCharType="end"/>
            </w:r>
          </w:hyperlink>
        </w:p>
        <w:p w14:paraId="0173EE1A" w14:textId="7867F9FF" w:rsidR="00106D87" w:rsidRPr="006F2B6C" w:rsidRDefault="00000000">
          <w:pPr>
            <w:pStyle w:val="TOC2"/>
            <w:tabs>
              <w:tab w:val="right" w:leader="dot" w:pos="9016"/>
            </w:tabs>
            <w:rPr>
              <w:rFonts w:asciiTheme="minorHAnsi" w:eastAsiaTheme="minorEastAsia" w:hAnsiTheme="minorHAnsi"/>
              <w:noProof/>
              <w:lang w:eastAsia="en-AU"/>
            </w:rPr>
          </w:pPr>
          <w:hyperlink w:anchor="_Toc141712123" w:history="1">
            <w:r w:rsidR="00106D87" w:rsidRPr="006F2B6C">
              <w:rPr>
                <w:rStyle w:val="Hyperlink"/>
                <w:noProof/>
                <w:color w:val="auto"/>
              </w:rPr>
              <w:t>Consent Process</w:t>
            </w:r>
            <w:r w:rsidR="00106D87" w:rsidRPr="006F2B6C">
              <w:rPr>
                <w:noProof/>
                <w:webHidden/>
              </w:rPr>
              <w:tab/>
            </w:r>
            <w:r w:rsidR="00106D87" w:rsidRPr="006F2B6C">
              <w:rPr>
                <w:noProof/>
                <w:webHidden/>
              </w:rPr>
              <w:fldChar w:fldCharType="begin"/>
            </w:r>
            <w:r w:rsidR="00106D87" w:rsidRPr="006F2B6C">
              <w:rPr>
                <w:noProof/>
                <w:webHidden/>
              </w:rPr>
              <w:instrText xml:space="preserve"> PAGEREF _Toc141712123 \h </w:instrText>
            </w:r>
            <w:r w:rsidR="00106D87" w:rsidRPr="006F2B6C">
              <w:rPr>
                <w:noProof/>
                <w:webHidden/>
              </w:rPr>
            </w:r>
            <w:r w:rsidR="00106D87" w:rsidRPr="006F2B6C">
              <w:rPr>
                <w:noProof/>
                <w:webHidden/>
              </w:rPr>
              <w:fldChar w:fldCharType="separate"/>
            </w:r>
            <w:r w:rsidR="00106D87" w:rsidRPr="006F2B6C">
              <w:rPr>
                <w:noProof/>
                <w:webHidden/>
              </w:rPr>
              <w:t>8</w:t>
            </w:r>
            <w:r w:rsidR="00106D87" w:rsidRPr="006F2B6C">
              <w:rPr>
                <w:noProof/>
                <w:webHidden/>
              </w:rPr>
              <w:fldChar w:fldCharType="end"/>
            </w:r>
          </w:hyperlink>
        </w:p>
        <w:p w14:paraId="578212AB" w14:textId="29967EF1" w:rsidR="00106D87" w:rsidRPr="006F2B6C" w:rsidRDefault="00000000">
          <w:pPr>
            <w:pStyle w:val="TOC2"/>
            <w:tabs>
              <w:tab w:val="right" w:leader="dot" w:pos="9016"/>
            </w:tabs>
            <w:rPr>
              <w:rFonts w:asciiTheme="minorHAnsi" w:eastAsiaTheme="minorEastAsia" w:hAnsiTheme="minorHAnsi"/>
              <w:noProof/>
              <w:lang w:eastAsia="en-AU"/>
            </w:rPr>
          </w:pPr>
          <w:hyperlink w:anchor="_Toc141712124" w:history="1">
            <w:r w:rsidR="00106D87" w:rsidRPr="006F2B6C">
              <w:rPr>
                <w:rStyle w:val="Hyperlink"/>
                <w:rFonts w:cs="Arial"/>
                <w:noProof/>
                <w:color w:val="auto"/>
              </w:rPr>
              <w:t>Statistical Analysis</w:t>
            </w:r>
            <w:r w:rsidR="00106D87" w:rsidRPr="006F2B6C">
              <w:rPr>
                <w:noProof/>
                <w:webHidden/>
              </w:rPr>
              <w:tab/>
            </w:r>
            <w:r w:rsidR="00106D87" w:rsidRPr="006F2B6C">
              <w:rPr>
                <w:noProof/>
                <w:webHidden/>
              </w:rPr>
              <w:fldChar w:fldCharType="begin"/>
            </w:r>
            <w:r w:rsidR="00106D87" w:rsidRPr="006F2B6C">
              <w:rPr>
                <w:noProof/>
                <w:webHidden/>
              </w:rPr>
              <w:instrText xml:space="preserve"> PAGEREF _Toc141712124 \h </w:instrText>
            </w:r>
            <w:r w:rsidR="00106D87" w:rsidRPr="006F2B6C">
              <w:rPr>
                <w:noProof/>
                <w:webHidden/>
              </w:rPr>
            </w:r>
            <w:r w:rsidR="00106D87" w:rsidRPr="006F2B6C">
              <w:rPr>
                <w:noProof/>
                <w:webHidden/>
              </w:rPr>
              <w:fldChar w:fldCharType="separate"/>
            </w:r>
            <w:r w:rsidR="00106D87" w:rsidRPr="006F2B6C">
              <w:rPr>
                <w:noProof/>
                <w:webHidden/>
              </w:rPr>
              <w:t>8</w:t>
            </w:r>
            <w:r w:rsidR="00106D87" w:rsidRPr="006F2B6C">
              <w:rPr>
                <w:noProof/>
                <w:webHidden/>
              </w:rPr>
              <w:fldChar w:fldCharType="end"/>
            </w:r>
          </w:hyperlink>
        </w:p>
        <w:p w14:paraId="3412FEF1" w14:textId="69B5D21A" w:rsidR="00106D87" w:rsidRPr="006F2B6C" w:rsidRDefault="00000000">
          <w:pPr>
            <w:pStyle w:val="TOC2"/>
            <w:tabs>
              <w:tab w:val="right" w:leader="dot" w:pos="9016"/>
            </w:tabs>
            <w:rPr>
              <w:rFonts w:asciiTheme="minorHAnsi" w:eastAsiaTheme="minorEastAsia" w:hAnsiTheme="minorHAnsi"/>
              <w:noProof/>
              <w:lang w:eastAsia="en-AU"/>
            </w:rPr>
          </w:pPr>
          <w:hyperlink w:anchor="_Toc141712125" w:history="1">
            <w:r w:rsidR="00106D87" w:rsidRPr="006F2B6C">
              <w:rPr>
                <w:rStyle w:val="Hyperlink"/>
                <w:rFonts w:cs="Arial"/>
                <w:noProof/>
                <w:color w:val="auto"/>
              </w:rPr>
              <w:t>Consumer Engagement Plan</w:t>
            </w:r>
            <w:r w:rsidR="00106D87" w:rsidRPr="006F2B6C">
              <w:rPr>
                <w:noProof/>
                <w:webHidden/>
              </w:rPr>
              <w:tab/>
            </w:r>
            <w:r w:rsidR="00106D87" w:rsidRPr="006F2B6C">
              <w:rPr>
                <w:noProof/>
                <w:webHidden/>
              </w:rPr>
              <w:fldChar w:fldCharType="begin"/>
            </w:r>
            <w:r w:rsidR="00106D87" w:rsidRPr="006F2B6C">
              <w:rPr>
                <w:noProof/>
                <w:webHidden/>
              </w:rPr>
              <w:instrText xml:space="preserve"> PAGEREF _Toc141712125 \h </w:instrText>
            </w:r>
            <w:r w:rsidR="00106D87" w:rsidRPr="006F2B6C">
              <w:rPr>
                <w:noProof/>
                <w:webHidden/>
              </w:rPr>
            </w:r>
            <w:r w:rsidR="00106D87" w:rsidRPr="006F2B6C">
              <w:rPr>
                <w:noProof/>
                <w:webHidden/>
              </w:rPr>
              <w:fldChar w:fldCharType="separate"/>
            </w:r>
            <w:r w:rsidR="00106D87" w:rsidRPr="006F2B6C">
              <w:rPr>
                <w:noProof/>
                <w:webHidden/>
              </w:rPr>
              <w:t>9</w:t>
            </w:r>
            <w:r w:rsidR="00106D87" w:rsidRPr="006F2B6C">
              <w:rPr>
                <w:noProof/>
                <w:webHidden/>
              </w:rPr>
              <w:fldChar w:fldCharType="end"/>
            </w:r>
          </w:hyperlink>
        </w:p>
        <w:p w14:paraId="57CB3A2B" w14:textId="4CA16059" w:rsidR="00106D87" w:rsidRPr="006F2B6C" w:rsidRDefault="00000000">
          <w:pPr>
            <w:pStyle w:val="TOC2"/>
            <w:tabs>
              <w:tab w:val="right" w:leader="dot" w:pos="9016"/>
            </w:tabs>
            <w:rPr>
              <w:rFonts w:asciiTheme="minorHAnsi" w:eastAsiaTheme="minorEastAsia" w:hAnsiTheme="minorHAnsi"/>
              <w:noProof/>
              <w:lang w:eastAsia="en-AU"/>
            </w:rPr>
          </w:pPr>
          <w:hyperlink w:anchor="_Toc141712126" w:history="1">
            <w:r w:rsidR="00106D87" w:rsidRPr="006F2B6C">
              <w:rPr>
                <w:rStyle w:val="Hyperlink"/>
                <w:noProof/>
                <w:color w:val="auto"/>
              </w:rPr>
              <w:t>Dissemination Plan</w:t>
            </w:r>
            <w:r w:rsidR="00106D87" w:rsidRPr="006F2B6C">
              <w:rPr>
                <w:noProof/>
                <w:webHidden/>
              </w:rPr>
              <w:tab/>
            </w:r>
            <w:r w:rsidR="00106D87" w:rsidRPr="006F2B6C">
              <w:rPr>
                <w:noProof/>
                <w:webHidden/>
              </w:rPr>
              <w:fldChar w:fldCharType="begin"/>
            </w:r>
            <w:r w:rsidR="00106D87" w:rsidRPr="006F2B6C">
              <w:rPr>
                <w:noProof/>
                <w:webHidden/>
              </w:rPr>
              <w:instrText xml:space="preserve"> PAGEREF _Toc141712126 \h </w:instrText>
            </w:r>
            <w:r w:rsidR="00106D87" w:rsidRPr="006F2B6C">
              <w:rPr>
                <w:noProof/>
                <w:webHidden/>
              </w:rPr>
            </w:r>
            <w:r w:rsidR="00106D87" w:rsidRPr="006F2B6C">
              <w:rPr>
                <w:noProof/>
                <w:webHidden/>
              </w:rPr>
              <w:fldChar w:fldCharType="separate"/>
            </w:r>
            <w:r w:rsidR="00106D87" w:rsidRPr="006F2B6C">
              <w:rPr>
                <w:noProof/>
                <w:webHidden/>
              </w:rPr>
              <w:t>9</w:t>
            </w:r>
            <w:r w:rsidR="00106D87" w:rsidRPr="006F2B6C">
              <w:rPr>
                <w:noProof/>
                <w:webHidden/>
              </w:rPr>
              <w:fldChar w:fldCharType="end"/>
            </w:r>
          </w:hyperlink>
        </w:p>
        <w:p w14:paraId="2A835C90" w14:textId="5CB16F74" w:rsidR="00106D87" w:rsidRPr="006F2B6C" w:rsidRDefault="00000000">
          <w:pPr>
            <w:pStyle w:val="TOC1"/>
            <w:tabs>
              <w:tab w:val="right" w:leader="dot" w:pos="9016"/>
            </w:tabs>
            <w:rPr>
              <w:rFonts w:asciiTheme="minorHAnsi" w:eastAsiaTheme="minorEastAsia" w:hAnsiTheme="minorHAnsi"/>
              <w:noProof/>
              <w:lang w:eastAsia="en-AU"/>
            </w:rPr>
          </w:pPr>
          <w:hyperlink w:anchor="_Toc141712127" w:history="1">
            <w:r w:rsidR="00106D87" w:rsidRPr="006F2B6C">
              <w:rPr>
                <w:rStyle w:val="Hyperlink"/>
                <w:rFonts w:cs="Arial"/>
                <w:noProof/>
                <w:color w:val="auto"/>
              </w:rPr>
              <w:t>Impact</w:t>
            </w:r>
            <w:r w:rsidR="00106D87" w:rsidRPr="006F2B6C">
              <w:rPr>
                <w:noProof/>
                <w:webHidden/>
              </w:rPr>
              <w:tab/>
            </w:r>
            <w:r w:rsidR="00106D87" w:rsidRPr="006F2B6C">
              <w:rPr>
                <w:noProof/>
                <w:webHidden/>
              </w:rPr>
              <w:fldChar w:fldCharType="begin"/>
            </w:r>
            <w:r w:rsidR="00106D87" w:rsidRPr="006F2B6C">
              <w:rPr>
                <w:noProof/>
                <w:webHidden/>
              </w:rPr>
              <w:instrText xml:space="preserve"> PAGEREF _Toc141712127 \h </w:instrText>
            </w:r>
            <w:r w:rsidR="00106D87" w:rsidRPr="006F2B6C">
              <w:rPr>
                <w:noProof/>
                <w:webHidden/>
              </w:rPr>
            </w:r>
            <w:r w:rsidR="00106D87" w:rsidRPr="006F2B6C">
              <w:rPr>
                <w:noProof/>
                <w:webHidden/>
              </w:rPr>
              <w:fldChar w:fldCharType="separate"/>
            </w:r>
            <w:r w:rsidR="00106D87" w:rsidRPr="006F2B6C">
              <w:rPr>
                <w:noProof/>
                <w:webHidden/>
              </w:rPr>
              <w:t>9</w:t>
            </w:r>
            <w:r w:rsidR="00106D87" w:rsidRPr="006F2B6C">
              <w:rPr>
                <w:noProof/>
                <w:webHidden/>
              </w:rPr>
              <w:fldChar w:fldCharType="end"/>
            </w:r>
          </w:hyperlink>
        </w:p>
        <w:p w14:paraId="0C82CB18" w14:textId="1BB12B82" w:rsidR="00106D87" w:rsidRPr="006F2B6C" w:rsidRDefault="00000000">
          <w:pPr>
            <w:pStyle w:val="TOC1"/>
            <w:tabs>
              <w:tab w:val="right" w:leader="dot" w:pos="9016"/>
            </w:tabs>
            <w:rPr>
              <w:rFonts w:asciiTheme="minorHAnsi" w:eastAsiaTheme="minorEastAsia" w:hAnsiTheme="minorHAnsi"/>
              <w:noProof/>
              <w:lang w:eastAsia="en-AU"/>
            </w:rPr>
          </w:pPr>
          <w:hyperlink w:anchor="_Toc141712128" w:history="1">
            <w:r w:rsidR="00106D87" w:rsidRPr="006F2B6C">
              <w:rPr>
                <w:rStyle w:val="Hyperlink"/>
                <w:rFonts w:cs="Arial"/>
                <w:noProof/>
                <w:color w:val="auto"/>
                <w:lang w:eastAsia="en-AU"/>
              </w:rPr>
              <w:t>Strategic Objective Alignments</w:t>
            </w:r>
            <w:r w:rsidR="00106D87" w:rsidRPr="006F2B6C">
              <w:rPr>
                <w:noProof/>
                <w:webHidden/>
              </w:rPr>
              <w:tab/>
            </w:r>
            <w:r w:rsidR="00106D87" w:rsidRPr="006F2B6C">
              <w:rPr>
                <w:noProof/>
                <w:webHidden/>
              </w:rPr>
              <w:fldChar w:fldCharType="begin"/>
            </w:r>
            <w:r w:rsidR="00106D87" w:rsidRPr="006F2B6C">
              <w:rPr>
                <w:noProof/>
                <w:webHidden/>
              </w:rPr>
              <w:instrText xml:space="preserve"> PAGEREF _Toc141712128 \h </w:instrText>
            </w:r>
            <w:r w:rsidR="00106D87" w:rsidRPr="006F2B6C">
              <w:rPr>
                <w:noProof/>
                <w:webHidden/>
              </w:rPr>
            </w:r>
            <w:r w:rsidR="00106D87" w:rsidRPr="006F2B6C">
              <w:rPr>
                <w:noProof/>
                <w:webHidden/>
              </w:rPr>
              <w:fldChar w:fldCharType="separate"/>
            </w:r>
            <w:r w:rsidR="00106D87" w:rsidRPr="006F2B6C">
              <w:rPr>
                <w:noProof/>
                <w:webHidden/>
              </w:rPr>
              <w:t>10</w:t>
            </w:r>
            <w:r w:rsidR="00106D87" w:rsidRPr="006F2B6C">
              <w:rPr>
                <w:noProof/>
                <w:webHidden/>
              </w:rPr>
              <w:fldChar w:fldCharType="end"/>
            </w:r>
          </w:hyperlink>
        </w:p>
        <w:p w14:paraId="10B615D6" w14:textId="60C3B3AC" w:rsidR="00106D87" w:rsidRPr="006F2B6C" w:rsidRDefault="00000000">
          <w:pPr>
            <w:pStyle w:val="TOC2"/>
            <w:tabs>
              <w:tab w:val="right" w:leader="dot" w:pos="9016"/>
            </w:tabs>
            <w:rPr>
              <w:rFonts w:asciiTheme="minorHAnsi" w:eastAsiaTheme="minorEastAsia" w:hAnsiTheme="minorHAnsi"/>
              <w:noProof/>
              <w:lang w:eastAsia="en-AU"/>
            </w:rPr>
          </w:pPr>
          <w:hyperlink w:anchor="_Toc141712129" w:history="1">
            <w:r w:rsidR="00106D87" w:rsidRPr="006F2B6C">
              <w:rPr>
                <w:rStyle w:val="Hyperlink"/>
                <w:rFonts w:cs="Arial"/>
                <w:noProof/>
                <w:color w:val="auto"/>
                <w:lang w:eastAsia="en-AU"/>
              </w:rPr>
              <w:t>SCHHS Strategic Plan 2022-2026</w:t>
            </w:r>
            <w:r w:rsidR="00106D87" w:rsidRPr="006F2B6C">
              <w:rPr>
                <w:noProof/>
                <w:webHidden/>
              </w:rPr>
              <w:tab/>
            </w:r>
            <w:r w:rsidR="00106D87" w:rsidRPr="006F2B6C">
              <w:rPr>
                <w:noProof/>
                <w:webHidden/>
              </w:rPr>
              <w:fldChar w:fldCharType="begin"/>
            </w:r>
            <w:r w:rsidR="00106D87" w:rsidRPr="006F2B6C">
              <w:rPr>
                <w:noProof/>
                <w:webHidden/>
              </w:rPr>
              <w:instrText xml:space="preserve"> PAGEREF _Toc141712129 \h </w:instrText>
            </w:r>
            <w:r w:rsidR="00106D87" w:rsidRPr="006F2B6C">
              <w:rPr>
                <w:noProof/>
                <w:webHidden/>
              </w:rPr>
            </w:r>
            <w:r w:rsidR="00106D87" w:rsidRPr="006F2B6C">
              <w:rPr>
                <w:noProof/>
                <w:webHidden/>
              </w:rPr>
              <w:fldChar w:fldCharType="separate"/>
            </w:r>
            <w:r w:rsidR="00106D87" w:rsidRPr="006F2B6C">
              <w:rPr>
                <w:noProof/>
                <w:webHidden/>
              </w:rPr>
              <w:t>10</w:t>
            </w:r>
            <w:r w:rsidR="00106D87" w:rsidRPr="006F2B6C">
              <w:rPr>
                <w:noProof/>
                <w:webHidden/>
              </w:rPr>
              <w:fldChar w:fldCharType="end"/>
            </w:r>
          </w:hyperlink>
        </w:p>
        <w:p w14:paraId="34707C79" w14:textId="6215D58D" w:rsidR="00106D87" w:rsidRPr="006F2B6C" w:rsidRDefault="00000000">
          <w:pPr>
            <w:pStyle w:val="TOC2"/>
            <w:tabs>
              <w:tab w:val="right" w:leader="dot" w:pos="9016"/>
            </w:tabs>
            <w:rPr>
              <w:rFonts w:asciiTheme="minorHAnsi" w:eastAsiaTheme="minorEastAsia" w:hAnsiTheme="minorHAnsi"/>
              <w:noProof/>
              <w:lang w:eastAsia="en-AU"/>
            </w:rPr>
          </w:pPr>
          <w:hyperlink w:anchor="_Toc141712130" w:history="1">
            <w:r w:rsidR="00106D87" w:rsidRPr="006F2B6C">
              <w:rPr>
                <w:rStyle w:val="Hyperlink"/>
                <w:rFonts w:cs="Arial"/>
                <w:noProof/>
                <w:color w:val="auto"/>
              </w:rPr>
              <w:t>Sunshine Coast Public Health Unit Research Strategic Plan 2023-2025</w:t>
            </w:r>
            <w:r w:rsidR="00106D87" w:rsidRPr="006F2B6C">
              <w:rPr>
                <w:noProof/>
                <w:webHidden/>
              </w:rPr>
              <w:tab/>
            </w:r>
            <w:r w:rsidR="00106D87" w:rsidRPr="006F2B6C">
              <w:rPr>
                <w:noProof/>
                <w:webHidden/>
              </w:rPr>
              <w:fldChar w:fldCharType="begin"/>
            </w:r>
            <w:r w:rsidR="00106D87" w:rsidRPr="006F2B6C">
              <w:rPr>
                <w:noProof/>
                <w:webHidden/>
              </w:rPr>
              <w:instrText xml:space="preserve"> PAGEREF _Toc141712130 \h </w:instrText>
            </w:r>
            <w:r w:rsidR="00106D87" w:rsidRPr="006F2B6C">
              <w:rPr>
                <w:noProof/>
                <w:webHidden/>
              </w:rPr>
            </w:r>
            <w:r w:rsidR="00106D87" w:rsidRPr="006F2B6C">
              <w:rPr>
                <w:noProof/>
                <w:webHidden/>
              </w:rPr>
              <w:fldChar w:fldCharType="separate"/>
            </w:r>
            <w:r w:rsidR="00106D87" w:rsidRPr="006F2B6C">
              <w:rPr>
                <w:noProof/>
                <w:webHidden/>
              </w:rPr>
              <w:t>10</w:t>
            </w:r>
            <w:r w:rsidR="00106D87" w:rsidRPr="006F2B6C">
              <w:rPr>
                <w:noProof/>
                <w:webHidden/>
              </w:rPr>
              <w:fldChar w:fldCharType="end"/>
            </w:r>
          </w:hyperlink>
        </w:p>
        <w:p w14:paraId="5A63FD9B" w14:textId="58E97FF3" w:rsidR="00106D87" w:rsidRPr="006F2B6C" w:rsidRDefault="00000000">
          <w:pPr>
            <w:pStyle w:val="TOC1"/>
            <w:tabs>
              <w:tab w:val="right" w:leader="dot" w:pos="9016"/>
            </w:tabs>
            <w:rPr>
              <w:rFonts w:asciiTheme="minorHAnsi" w:eastAsiaTheme="minorEastAsia" w:hAnsiTheme="minorHAnsi"/>
              <w:noProof/>
              <w:lang w:eastAsia="en-AU"/>
            </w:rPr>
          </w:pPr>
          <w:hyperlink w:anchor="_Toc141712131" w:history="1">
            <w:r w:rsidR="00106D87" w:rsidRPr="006F2B6C">
              <w:rPr>
                <w:rStyle w:val="Hyperlink"/>
                <w:rFonts w:cs="Arial"/>
                <w:noProof/>
                <w:color w:val="auto"/>
              </w:rPr>
              <w:t>References</w:t>
            </w:r>
            <w:r w:rsidR="00106D87" w:rsidRPr="006F2B6C">
              <w:rPr>
                <w:noProof/>
                <w:webHidden/>
              </w:rPr>
              <w:tab/>
            </w:r>
            <w:r w:rsidR="00106D87" w:rsidRPr="006F2B6C">
              <w:rPr>
                <w:noProof/>
                <w:webHidden/>
              </w:rPr>
              <w:fldChar w:fldCharType="begin"/>
            </w:r>
            <w:r w:rsidR="00106D87" w:rsidRPr="006F2B6C">
              <w:rPr>
                <w:noProof/>
                <w:webHidden/>
              </w:rPr>
              <w:instrText xml:space="preserve"> PAGEREF _Toc141712131 \h </w:instrText>
            </w:r>
            <w:r w:rsidR="00106D87" w:rsidRPr="006F2B6C">
              <w:rPr>
                <w:noProof/>
                <w:webHidden/>
              </w:rPr>
            </w:r>
            <w:r w:rsidR="00106D87" w:rsidRPr="006F2B6C">
              <w:rPr>
                <w:noProof/>
                <w:webHidden/>
              </w:rPr>
              <w:fldChar w:fldCharType="separate"/>
            </w:r>
            <w:r w:rsidR="00106D87" w:rsidRPr="006F2B6C">
              <w:rPr>
                <w:noProof/>
                <w:webHidden/>
              </w:rPr>
              <w:t>10</w:t>
            </w:r>
            <w:r w:rsidR="00106D87" w:rsidRPr="006F2B6C">
              <w:rPr>
                <w:noProof/>
                <w:webHidden/>
              </w:rPr>
              <w:fldChar w:fldCharType="end"/>
            </w:r>
          </w:hyperlink>
        </w:p>
        <w:p w14:paraId="07BDE361" w14:textId="4905005F" w:rsidR="000A3AB6" w:rsidRPr="006F2B6C" w:rsidRDefault="000951A3" w:rsidP="000A3AB6">
          <w:r w:rsidRPr="006F2B6C">
            <w:fldChar w:fldCharType="end"/>
          </w:r>
        </w:p>
      </w:sdtContent>
    </w:sdt>
    <w:p w14:paraId="15D8E2C5" w14:textId="77777777" w:rsidR="00106D87" w:rsidRPr="006F2B6C" w:rsidRDefault="00106D87" w:rsidP="00247CEB">
      <w:pPr>
        <w:pStyle w:val="Heading1"/>
        <w:rPr>
          <w:rFonts w:cs="Arial"/>
        </w:rPr>
      </w:pPr>
    </w:p>
    <w:p w14:paraId="2E1FDB31" w14:textId="3D3E308A" w:rsidR="00247CEB" w:rsidRPr="006F2B6C" w:rsidRDefault="00BC64C1" w:rsidP="00247CEB">
      <w:pPr>
        <w:pStyle w:val="Heading1"/>
        <w:rPr>
          <w:rFonts w:cs="Arial"/>
        </w:rPr>
      </w:pPr>
      <w:bookmarkStart w:id="1" w:name="_Toc141712116"/>
      <w:r w:rsidRPr="006F2B6C">
        <w:rPr>
          <w:rFonts w:cs="Arial"/>
        </w:rPr>
        <w:t>Plain Language Statement</w:t>
      </w:r>
      <w:bookmarkEnd w:id="1"/>
    </w:p>
    <w:p w14:paraId="7DE65278" w14:textId="0C504EE0" w:rsidR="00E54A39" w:rsidRPr="006F2B6C" w:rsidRDefault="00BC64C1" w:rsidP="00BC64C1">
      <w:pPr>
        <w:rPr>
          <w:rFonts w:cs="Arial"/>
        </w:rPr>
      </w:pPr>
      <w:r w:rsidRPr="006F2B6C">
        <w:rPr>
          <w:rFonts w:cs="Arial"/>
        </w:rPr>
        <w:t xml:space="preserve">Obtaining a </w:t>
      </w:r>
      <w:r w:rsidR="00DC2F8C" w:rsidRPr="006F2B6C">
        <w:rPr>
          <w:rFonts w:cs="Arial"/>
        </w:rPr>
        <w:t xml:space="preserve">stool </w:t>
      </w:r>
      <w:r w:rsidRPr="006F2B6C">
        <w:rPr>
          <w:rFonts w:cs="Arial"/>
        </w:rPr>
        <w:t xml:space="preserve">specimen for testing can be </w:t>
      </w:r>
      <w:r w:rsidR="00DC2F8C" w:rsidRPr="006F2B6C">
        <w:rPr>
          <w:rFonts w:cs="Arial"/>
        </w:rPr>
        <w:t>challenging and an unpleasant experience</w:t>
      </w:r>
      <w:r w:rsidR="00EF0F4B" w:rsidRPr="006F2B6C">
        <w:rPr>
          <w:rFonts w:cs="Arial"/>
        </w:rPr>
        <w:t>. A person is required to obtain a sample pot from a healthcare location, return home,</w:t>
      </w:r>
      <w:r w:rsidR="00DC2F8C" w:rsidRPr="006F2B6C">
        <w:rPr>
          <w:rFonts w:cs="Arial"/>
        </w:rPr>
        <w:t xml:space="preserve"> wait until they have a bowel motion and then work out how to collect the sample during or after passing the stools</w:t>
      </w:r>
      <w:r w:rsidR="0012473C" w:rsidRPr="006F2B6C">
        <w:rPr>
          <w:rFonts w:cs="Arial"/>
        </w:rPr>
        <w:t xml:space="preserve">, and </w:t>
      </w:r>
      <w:r w:rsidR="00DC2F8C" w:rsidRPr="006F2B6C">
        <w:rPr>
          <w:rFonts w:cs="Arial"/>
        </w:rPr>
        <w:t xml:space="preserve">then </w:t>
      </w:r>
      <w:r w:rsidR="0012473C" w:rsidRPr="006F2B6C">
        <w:rPr>
          <w:rFonts w:cs="Arial"/>
        </w:rPr>
        <w:t>transport it back to the clinic</w:t>
      </w:r>
      <w:r w:rsidR="00EF0F4B" w:rsidRPr="006F2B6C">
        <w:rPr>
          <w:rFonts w:cs="Arial"/>
        </w:rPr>
        <w:t>.</w:t>
      </w:r>
      <w:r w:rsidR="00DC2F8C" w:rsidRPr="006F2B6C">
        <w:rPr>
          <w:rFonts w:cs="Arial"/>
        </w:rPr>
        <w:t xml:space="preserve"> If </w:t>
      </w:r>
      <w:proofErr w:type="gramStart"/>
      <w:r w:rsidR="00DC2F8C" w:rsidRPr="006F2B6C">
        <w:rPr>
          <w:rFonts w:cs="Arial"/>
        </w:rPr>
        <w:t>after-hours</w:t>
      </w:r>
      <w:proofErr w:type="gramEnd"/>
      <w:r w:rsidR="00DC2F8C" w:rsidRPr="006F2B6C">
        <w:rPr>
          <w:rFonts w:cs="Arial"/>
        </w:rPr>
        <w:t xml:space="preserve"> they have to also keep the sample in their house (possibly in the fridge) to transport it when the clinic is open.</w:t>
      </w:r>
      <w:r w:rsidR="00EF0F4B" w:rsidRPr="006F2B6C">
        <w:rPr>
          <w:rFonts w:cs="Arial"/>
        </w:rPr>
        <w:t xml:space="preserve"> In the hospital, a person must wait in their </w:t>
      </w:r>
      <w:r w:rsidR="00DC2F8C" w:rsidRPr="006F2B6C">
        <w:rPr>
          <w:rFonts w:cs="Arial"/>
        </w:rPr>
        <w:t xml:space="preserve">room </w:t>
      </w:r>
      <w:r w:rsidR="00EF0F4B" w:rsidRPr="006F2B6C">
        <w:rPr>
          <w:rFonts w:cs="Arial"/>
        </w:rPr>
        <w:t xml:space="preserve">until they need to </w:t>
      </w:r>
      <w:r w:rsidR="00DC2F8C" w:rsidRPr="006F2B6C">
        <w:rPr>
          <w:rFonts w:cs="Arial"/>
        </w:rPr>
        <w:t>have a bowel motion</w:t>
      </w:r>
      <w:r w:rsidR="00EF0F4B" w:rsidRPr="006F2B6C">
        <w:rPr>
          <w:rFonts w:cs="Arial"/>
        </w:rPr>
        <w:t xml:space="preserve">, then go to the bathroom, and then collect the sample themselves. </w:t>
      </w:r>
      <w:r w:rsidR="00C74EED" w:rsidRPr="006F2B6C">
        <w:rPr>
          <w:rFonts w:cs="Arial"/>
        </w:rPr>
        <w:t>We propose a much simpler method</w:t>
      </w:r>
      <w:r w:rsidR="0012473C" w:rsidRPr="006F2B6C">
        <w:rPr>
          <w:rFonts w:cs="Arial"/>
        </w:rPr>
        <w:t xml:space="preserve">, allowing the person to do the sampling </w:t>
      </w:r>
      <w:r w:rsidR="00035C65" w:rsidRPr="006F2B6C">
        <w:rPr>
          <w:rFonts w:cs="Arial"/>
        </w:rPr>
        <w:t xml:space="preserve">“on-demand” or in the comfort of their own home. </w:t>
      </w:r>
    </w:p>
    <w:p w14:paraId="31BACA4F" w14:textId="77777777" w:rsidR="000563EB" w:rsidRPr="006F2B6C" w:rsidRDefault="006E67D3" w:rsidP="00BC64C1">
      <w:pPr>
        <w:rPr>
          <w:rFonts w:cs="Arial"/>
        </w:rPr>
      </w:pPr>
      <w:r w:rsidRPr="006F2B6C">
        <w:rPr>
          <w:rFonts w:cs="Arial"/>
        </w:rPr>
        <w:t xml:space="preserve"> Collecting a swab from the anorectum </w:t>
      </w:r>
      <w:r w:rsidR="00035C65" w:rsidRPr="006F2B6C">
        <w:rPr>
          <w:rFonts w:cs="Arial"/>
        </w:rPr>
        <w:t>would</w:t>
      </w:r>
      <w:r w:rsidR="00C74EED" w:rsidRPr="006F2B6C">
        <w:rPr>
          <w:rFonts w:cs="Arial"/>
        </w:rPr>
        <w:t xml:space="preserve"> allow the person to test themselves</w:t>
      </w:r>
      <w:r w:rsidR="00035C65" w:rsidRPr="006F2B6C">
        <w:rPr>
          <w:rFonts w:cs="Arial"/>
        </w:rPr>
        <w:t>, “on-demand”</w:t>
      </w:r>
      <w:r w:rsidR="00C74EED" w:rsidRPr="006F2B6C">
        <w:rPr>
          <w:rFonts w:cs="Arial"/>
        </w:rPr>
        <w:t xml:space="preserve"> by</w:t>
      </w:r>
      <w:r w:rsidR="00E54A39" w:rsidRPr="006F2B6C">
        <w:rPr>
          <w:rFonts w:cs="Arial"/>
        </w:rPr>
        <w:t xml:space="preserve"> simply</w:t>
      </w:r>
      <w:r w:rsidR="00C74EED" w:rsidRPr="006F2B6C">
        <w:rPr>
          <w:rFonts w:cs="Arial"/>
        </w:rPr>
        <w:t xml:space="preserve"> inserting a swab into their rectum</w:t>
      </w:r>
      <w:r w:rsidR="00B252C5" w:rsidRPr="006F2B6C">
        <w:rPr>
          <w:rFonts w:cs="Arial"/>
        </w:rPr>
        <w:t xml:space="preserve">. This is </w:t>
      </w:r>
      <w:proofErr w:type="gramStart"/>
      <w:r w:rsidR="00B252C5" w:rsidRPr="006F2B6C">
        <w:rPr>
          <w:rFonts w:cs="Arial"/>
        </w:rPr>
        <w:t>similar to</w:t>
      </w:r>
      <w:proofErr w:type="gramEnd"/>
      <w:r w:rsidR="00B252C5" w:rsidRPr="006F2B6C">
        <w:rPr>
          <w:rFonts w:cs="Arial"/>
        </w:rPr>
        <w:t xml:space="preserve"> self-testing for human papilloma virus, within the cervical cancer screening program.</w:t>
      </w:r>
      <w:r w:rsidR="00C74EED" w:rsidRPr="006F2B6C">
        <w:rPr>
          <w:rFonts w:cs="Arial"/>
        </w:rPr>
        <w:t xml:space="preserve"> </w:t>
      </w:r>
    </w:p>
    <w:p w14:paraId="272A4550" w14:textId="4654862F" w:rsidR="00BC64C1" w:rsidRPr="006F2B6C" w:rsidRDefault="000563EB" w:rsidP="00BC64C1">
      <w:pPr>
        <w:rPr>
          <w:rFonts w:cs="Arial"/>
        </w:rPr>
      </w:pPr>
      <w:r w:rsidRPr="006F2B6C">
        <w:rPr>
          <w:rFonts w:cs="Arial"/>
        </w:rPr>
        <w:t>H</w:t>
      </w:r>
      <w:r w:rsidR="00EF0F4B" w:rsidRPr="006F2B6C">
        <w:rPr>
          <w:rFonts w:cs="Arial"/>
        </w:rPr>
        <w:t>ere, we will attempt to</w:t>
      </w:r>
      <w:r w:rsidR="005A76CA" w:rsidRPr="006F2B6C">
        <w:rPr>
          <w:rFonts w:cs="Arial"/>
        </w:rPr>
        <w:t xml:space="preserve"> </w:t>
      </w:r>
      <w:r w:rsidR="006E67D3" w:rsidRPr="006F2B6C">
        <w:rPr>
          <w:rFonts w:cs="Arial"/>
        </w:rPr>
        <w:t xml:space="preserve">confirm the validity and reliability of </w:t>
      </w:r>
      <w:r w:rsidR="00EF0F4B" w:rsidRPr="006F2B6C">
        <w:rPr>
          <w:rFonts w:cs="Arial"/>
        </w:rPr>
        <w:t xml:space="preserve">a rectal swab self-collection </w:t>
      </w:r>
      <w:r w:rsidR="001A637B" w:rsidRPr="006F2B6C">
        <w:rPr>
          <w:rFonts w:cs="Arial"/>
        </w:rPr>
        <w:t>to see if it provides the same results</w:t>
      </w:r>
      <w:r w:rsidR="004400C1" w:rsidRPr="006F2B6C">
        <w:rPr>
          <w:rFonts w:cs="Arial"/>
        </w:rPr>
        <w:t xml:space="preserve"> as bulk faeces testing</w:t>
      </w:r>
      <w:r w:rsidR="001A637B" w:rsidRPr="006F2B6C">
        <w:rPr>
          <w:rFonts w:cs="Arial"/>
        </w:rPr>
        <w:t>.</w:t>
      </w:r>
    </w:p>
    <w:p w14:paraId="26E7EE8B" w14:textId="5BC52A4C" w:rsidR="00E43CBC" w:rsidRPr="006F2B6C" w:rsidRDefault="00E43CBC" w:rsidP="00BC64C1">
      <w:pPr>
        <w:rPr>
          <w:rFonts w:cs="Arial"/>
        </w:rPr>
      </w:pPr>
      <w:r w:rsidRPr="006F2B6C">
        <w:rPr>
          <w:rFonts w:cs="Arial"/>
        </w:rPr>
        <w:t>This would possibly revolutionise daily clinical practice, allowing for faster specimen collection, improving the patient’s testing experience, and increasing the speed and precision care can be delivered.</w:t>
      </w:r>
    </w:p>
    <w:p w14:paraId="496DC8CD" w14:textId="77777777" w:rsidR="00E43CBC" w:rsidRPr="006F2B6C" w:rsidRDefault="00E43CBC" w:rsidP="00BC64C1">
      <w:pPr>
        <w:rPr>
          <w:rFonts w:cs="Arial"/>
        </w:rPr>
      </w:pPr>
    </w:p>
    <w:p w14:paraId="1728BE3F" w14:textId="77777777" w:rsidR="00247CEB" w:rsidRPr="006F2B6C" w:rsidRDefault="00247CEB" w:rsidP="00247CEB">
      <w:pPr>
        <w:pStyle w:val="Heading1"/>
        <w:rPr>
          <w:rFonts w:cs="Arial"/>
        </w:rPr>
      </w:pPr>
      <w:bookmarkStart w:id="2" w:name="_Toc141712117"/>
      <w:r w:rsidRPr="006F2B6C">
        <w:rPr>
          <w:rFonts w:cs="Arial"/>
        </w:rPr>
        <w:t>Introduction</w:t>
      </w:r>
      <w:bookmarkEnd w:id="2"/>
    </w:p>
    <w:p w14:paraId="67923B86" w14:textId="63C5B9FD" w:rsidR="00985ABA" w:rsidRPr="006F2B6C" w:rsidRDefault="00367629" w:rsidP="000A3AB6">
      <w:pPr>
        <w:rPr>
          <w:b/>
          <w:bCs/>
        </w:rPr>
      </w:pPr>
      <w:r w:rsidRPr="006F2B6C">
        <w:t xml:space="preserve">At present, testing for hepatitis A virus in humans necessitates </w:t>
      </w:r>
      <w:r w:rsidR="00B4089C" w:rsidRPr="006F2B6C">
        <w:t xml:space="preserve">the </w:t>
      </w:r>
      <w:r w:rsidRPr="006F2B6C">
        <w:t xml:space="preserve">provision of a faecal sample. </w:t>
      </w:r>
      <w:r w:rsidR="00B4089C" w:rsidRPr="006F2B6C">
        <w:t>This method is</w:t>
      </w:r>
      <w:r w:rsidRPr="006F2B6C">
        <w:t xml:space="preserve"> not without drawbacks; in particular, the very nature of defecation means that samples cannot be provided ‘on demand’ in a physician’s office or to a research nurse and are reliant on appropriate collection by patients themselves.</w:t>
      </w:r>
      <w:r w:rsidR="00A971C0" w:rsidRPr="006F2B6C">
        <w:rPr>
          <w:b/>
          <w:bCs/>
        </w:rPr>
        <w:fldChar w:fldCharType="begin"/>
      </w:r>
      <w:r w:rsidR="00A971C0" w:rsidRPr="006F2B6C">
        <w:instrText xml:space="preserve"> ADDIN ZOTERO_ITEM CSL_CITATION {"citationID":"ZZVT6Nc6","properties":{"formattedCitation":"\\super 1\\nosupersub{}","plainCitation":"1","noteIndex":0},"citationItems":[{"id":6177,"uris":["http://zotero.org/users/5794125/items/W67ZS7ZN"],"itemData":{"id":6177,"type":"article-journal","abstract":"Background Stool specimen collection is challenging and informal feedback has indicated that participants find the process difficult. Increasing stool specimen returns would improve the investigation of outbreaks of diarrhoeal and food-borne disease. Aim To explore the barriers to stool sample collection and specimen return to ascertain which factors may help to improve the process. Design and setting Qualitative patient interview study in Gloucester, UK.\nMethod A two-stage purposive sampling process was used to identify patients who had either previous experience or no experience of collecting a stool sample. The interview schedule, based on the theory of planned behaviour, was used to facilitate interviews with 26 patients. Interview transcripts were analysed using a modified framework analysis.\nResults Barriers to collection included embarrassment, fear of results, concerns around hygiene and contamination, discretion and privacy, and lack of information. Personal gain was identified as the main incentive to collecting and returning a stool sample. The need for an information leaflet on stool collection was emphasised by most patients.\nConclusions GPs could make a number of small changes that could make a big difference for patients and potentially increase stool sample return. If they, rather than receptionists, distributed collection kits it may be easier for patients to ask any questions they had regarding collection. In addition, the provision of a stool-collection information leaflet could increase patients’ confidence regarding collecting the sample, and providing drop-off boxes for specimens could help prevent patients’ embarrassment regarding handing their stool over to a receptionist.","container-title":"British Journal of General Practice","DOI":"10.3399/bjgp14X682261","ISSN":"0960-1643, 1478-5242","issue":"628","journalAbbreviation":"Br J Gen Pract","language":"en","page":"e684-e693","source":"DOI.org (Crossref)","title":"Patients’ perspectives on providing a stool sample to their GP: a qualitative study","title-short":"Patients’ perspectives on providing a stool sample to their GP","volume":"64","author":[{"family":"Lecky","given":"Donna M"},{"family":"Hawking","given":"Meredith Kd"},{"family":"McNulty","given":"Cliodna Am"}],"issued":{"date-parts":[["2014",11]]},"citation-key":"leckyPatientsPerspectivesProviding2014"}}],"schema":"https://github.com/citation-style-language/schema/raw/master/csl-citation.json"} </w:instrText>
      </w:r>
      <w:r w:rsidR="00A971C0" w:rsidRPr="006F2B6C">
        <w:rPr>
          <w:b/>
          <w:bCs/>
        </w:rPr>
        <w:fldChar w:fldCharType="separate"/>
      </w:r>
      <w:r w:rsidR="00A971C0" w:rsidRPr="006F2B6C">
        <w:rPr>
          <w:szCs w:val="24"/>
          <w:vertAlign w:val="superscript"/>
        </w:rPr>
        <w:t>1</w:t>
      </w:r>
      <w:r w:rsidR="00A971C0" w:rsidRPr="006F2B6C">
        <w:rPr>
          <w:b/>
          <w:bCs/>
        </w:rPr>
        <w:fldChar w:fldCharType="end"/>
      </w:r>
      <w:r w:rsidRPr="006F2B6C">
        <w:t xml:space="preserve"> </w:t>
      </w:r>
      <w:r w:rsidR="002A0464" w:rsidRPr="006F2B6C">
        <w:t>Patients</w:t>
      </w:r>
      <w:r w:rsidR="00EE40C8" w:rsidRPr="006F2B6C">
        <w:t xml:space="preserve"> in hospitals</w:t>
      </w:r>
      <w:r w:rsidR="002A0464" w:rsidRPr="006F2B6C">
        <w:t xml:space="preserve"> with diarrhoea commonly flush the toilet before healthcare workers can take a stool sample. </w:t>
      </w:r>
      <w:r w:rsidRPr="006F2B6C">
        <w:t xml:space="preserve">Faeces sampling may also present additional complexities, including the logistical challenges of having to transport samples between patient’s home, the clinic and the laboratory, </w:t>
      </w:r>
      <w:r w:rsidR="00B252C5" w:rsidRPr="006F2B6C">
        <w:t xml:space="preserve">and considerable patient reluctance to </w:t>
      </w:r>
      <w:r w:rsidR="0081506D" w:rsidRPr="006F2B6C">
        <w:t>providing samples</w:t>
      </w:r>
      <w:r w:rsidRPr="006F2B6C">
        <w:t xml:space="preserve">. </w:t>
      </w:r>
      <w:r w:rsidR="00AE55CE" w:rsidRPr="006F2B6C">
        <w:t>Rectal swabbing has been shown to be a valid alternative in several research and clinical settings.</w:t>
      </w:r>
      <w:r w:rsidR="00AE55CE" w:rsidRPr="006F2B6C">
        <w:rPr>
          <w:b/>
          <w:bCs/>
        </w:rPr>
        <w:fldChar w:fldCharType="begin"/>
      </w:r>
      <w:r w:rsidR="00AE55CE" w:rsidRPr="006F2B6C">
        <w:instrText xml:space="preserve"> ADDIN ZOTERO_ITEM CSL_CITATION {"citationID":"wc7FmvNS","properties":{"formattedCitation":"\\super 2,3\\nosupersub{}","plainCitation":"2,3","noteIndex":0},"citationItems":[{"id":6175,"uris":["http://zotero.org/users/5794125/items/GMQQKF9R"],"itemData":{"id":6175,"type":"article-journal","abstract":"Abstract\n            \n              Faecal or biopsy samples are frequently used to analyse the gut microbiota, but issues remain with the provision and collection of such samples. Rectal swabs are widely-utilised in clinical practice and previous data demonstrate their potential role in microbiota analyses; however, studies to date have been heterogenous, and there are a particular lack of data concerning the utility of swabs for the analysis of the microbiota’s functionality and metabolome. We compared paired stool and rectal swab samples from healthy individuals to investigate whether rectal swabs are a reliable proxy for faecal sampling. There were no significant differences in key alpha and beta diversity measures between swab and faecal samples, and inter-subject variability was preserved. Additionally, no significant differences were demonstrated in abundance of major annotated phyla. Inferred gut functionality using Tax4Fun2 showed excellent correlation between the two sampling techniques (Pearson’s coefficient r = 0.9217,\n              P\n               &lt; 0.0001). Proton nuclear magnetic resonance (\n              1\n              H NMR) spectroscopy enabled the detection of 20 metabolites, with overall excellent correlation identified between rectal swab and faecal samples for levels all metabolites collectively, although more variable degrees of association between swab and stool for levels of individual metabolites. These data support the utility of rectal swabs in both compositional and functional analyses of the gut microbiota.","container-title":"Scientific Reports","DOI":"10.1038/s41598-022-27131-9","ISSN":"2045-2322","issue":"1","journalAbbreviation":"Sci Rep","language":"en","page":"493","source":"DOI.org (Crossref)","title":"Rectal swabs as a viable alternative to faecal sampling for the analysis of gut microbiota functionality and composition","volume":"13","author":[{"family":"Radhakrishnan","given":"Shiva T."},{"family":"Gallagher","given":"Kate I."},{"family":"Mullish","given":"Benjamin H."},{"family":"Serrano-Contreras","given":"Jose I."},{"family":"Alexander","given":"James L."},{"family":"Miguens Blanco","given":"Jesus"},{"family":"Danckert","given":"Nathan P."},{"family":"Valdivia-Garcia","given":"Maria"},{"family":"Hopkins","given":"Billy J."},{"family":"Ghai","given":"Anik"},{"family":"Ayub","given":"Azad"},{"family":"Li","given":"Jia V."},{"family":"Marchesi","given":"Julian R."},{"family":"Williams","given":"Horace R. T."}],"issued":{"date-parts":[["2023",1,10]]},"citation-key":"radhakrishnanRectalSwabsViable2023"}},{"id":6179,"uris":["http://zotero.org/users/5794125/items/JMMV65KH"],"itemData":{"id":6179,"type":"article-journal","abstract":"Background: Carbapenemase Producing Enterobacteriaceae (CPE) has spread rapidly and presents a growing challenge in antimicrobial resistance (AMR) management internationally. Screening for CPE may involve a rectal swab, there are limited treatment options for affected patients, and colonised patients are cared for in isolation to protect others. These measures are sound infection prevention precautions; however, the acceptability of CPE screening and its consequences are currently unknown. The aim of this study was ‘To determine factors influencing acceptability of CPE screening from the perspectives of nursing staff and the general public.’\nMethods: National cross-sectional surveys of nursing staff (n = 450) and the general public (n = 261). The Theoretical Domains Framework (TDF) guided data collection and analysis. Regression modelling was used to identify factors that predicted acceptability of CPE screening.\nResults: For nursing staff, the following predictor variables were significant: intention to conduct CPE screening (OR 14.19, CI 5.14–39.22); belief in the severity of the consequences of CPE (OR 7.13, CI 3.26–15.60); knowledge of hospital policy for screening (OR 3.04, CI 1.45–6.34); preference to ask patients to take their own rectal swab (OR 2.89, CI 1.39–6.0); awareness that CPE is an organism of growing concern (OR 2.44, CI 1.22–4.88). The following predictor variables were significant for the general public: lack of knowledge of AMR (β − .11, p = .01); social influences (β .14, p = .032); social norms (β .21p = .00); acceptability of being isolated if colonised (β .22, p = .000), beliefs about the acceptability of rectal swabbing (β .15, p = .00), beliefs about the impact of careful explanation about CPE screening from a health professional (β .32, p = .00). Integrating results from staff and public perspectives points to the importance of knowledge of AMR, environmental resources, and social influences in shaping acceptability.\nConclusions: This is the first study to systematically examine the acceptability of CPE screening across nursing staff and the public. The use of TDF enabled identification of the mechanisms of action, or theoretical constructs, likely to be important in understanding and changing CPE related behaviour amongst professionals and public alike.","container-title":"Antimicrobial Resistance &amp; Infection Control","DOI":"10.1186/s13756-018-0434-x","ISSN":"2047-2994","issue":"1","journalAbbreviation":"Antimicrob Resist Infect Control","language":"en","page":"144","source":"DOI.org (Crossref)","title":"The acceptability of screening for Carbapenemase Producing Enterobacteriaceae (CPE): cross-sectional survey of nursing staff and the general publics’ perceptions","title-short":"The acceptability of screening for Carbapenemase Producing Enterobacteriaceae (CPE)","volume":"7","author":[{"family":"Currie","given":"Kay"},{"family":"King","given":"Caroline"},{"family":"McAloney-Kocaman","given":"Kareena"},{"family":"Roberts","given":"Nicola J."},{"family":"MacDonald","given":"Jennifer"},{"family":"Dickson","given":"Adele"},{"family":"Cairns","given":"Shona"},{"family":"Khanna","given":"Nitish"},{"family":"Flowers","given":"Paul"},{"family":"Reilly","given":"Jacqui"},{"family":"Price","given":"Lesley"}],"issued":{"date-parts":[["2018",12]]},"citation-key":"currieAcceptabilityScreeningCarbapenemase2018"}}],"schema":"https://github.com/citation-style-language/schema/raw/master/csl-citation.json"} </w:instrText>
      </w:r>
      <w:r w:rsidR="00AE55CE" w:rsidRPr="006F2B6C">
        <w:rPr>
          <w:b/>
          <w:bCs/>
        </w:rPr>
        <w:fldChar w:fldCharType="separate"/>
      </w:r>
      <w:r w:rsidR="00AE55CE" w:rsidRPr="006F2B6C">
        <w:rPr>
          <w:szCs w:val="24"/>
          <w:vertAlign w:val="superscript"/>
        </w:rPr>
        <w:t>2,3</w:t>
      </w:r>
      <w:r w:rsidR="00AE55CE" w:rsidRPr="006F2B6C">
        <w:rPr>
          <w:b/>
          <w:bCs/>
        </w:rPr>
        <w:fldChar w:fldCharType="end"/>
      </w:r>
    </w:p>
    <w:p w14:paraId="0111B7F1" w14:textId="50F7CCF1" w:rsidR="001A637B" w:rsidRPr="006F2B6C" w:rsidRDefault="00985ABA" w:rsidP="000A3AB6">
      <w:pPr>
        <w:rPr>
          <w:b/>
          <w:bCs/>
        </w:rPr>
      </w:pPr>
      <w:r w:rsidRPr="006F2B6C">
        <w:t xml:space="preserve">Rectal swabbing is </w:t>
      </w:r>
      <w:r w:rsidR="001F0A3D" w:rsidRPr="006F2B6C">
        <w:t>standard practice</w:t>
      </w:r>
      <w:r w:rsidR="00D82DFC" w:rsidRPr="006F2B6C">
        <w:t xml:space="preserve"> in Australia and overseas for the surveillance and screening of multi</w:t>
      </w:r>
      <w:r w:rsidR="00556284" w:rsidRPr="006F2B6C">
        <w:t>-</w:t>
      </w:r>
      <w:r w:rsidR="00D82DFC" w:rsidRPr="006F2B6C">
        <w:t>resistant organisms</w:t>
      </w:r>
      <w:r w:rsidRPr="006F2B6C">
        <w:t xml:space="preserve">. </w:t>
      </w:r>
      <w:r w:rsidR="00F8557F" w:rsidRPr="006F2B6C">
        <w:t xml:space="preserve">National U.K </w:t>
      </w:r>
      <w:r w:rsidR="004D52BF" w:rsidRPr="006F2B6C">
        <w:t xml:space="preserve">and Australian </w:t>
      </w:r>
      <w:r w:rsidR="00F8557F" w:rsidRPr="006F2B6C">
        <w:t xml:space="preserve">guidance mandates the use of rectal swabs for screening for intestinal colonization with </w:t>
      </w:r>
      <w:proofErr w:type="spellStart"/>
      <w:r w:rsidR="00F8557F" w:rsidRPr="006F2B6C">
        <w:t>carbapenemase</w:t>
      </w:r>
      <w:proofErr w:type="spellEnd"/>
      <w:r w:rsidR="00F8557F" w:rsidRPr="006F2B6C">
        <w:t>-producing Enterobacteriaceae for at-risk patients admitted to healthcare settings.</w:t>
      </w:r>
      <w:r w:rsidR="00B01691" w:rsidRPr="006F2B6C">
        <w:rPr>
          <w:b/>
          <w:bCs/>
        </w:rPr>
        <w:fldChar w:fldCharType="begin"/>
      </w:r>
      <w:r w:rsidR="008B6DE0" w:rsidRPr="006F2B6C">
        <w:instrText xml:space="preserve"> ADDIN ZOTERO_ITEM CSL_CITATION {"citationID":"O7RW2eeD","properties":{"formattedCitation":"\\super 3,4\\nosupersub{}","plainCitation":"3,4","noteIndex":0},"citationItems":[{"id":6179,"uris":["http://zotero.org/users/5794125/items/JMMV65KH"],"itemData":{"id":6179,"type":"article-journal","abstract":"Background: Carbapenemase Producing Enterobacteriaceae (CPE) has spread rapidly and presents a growing challenge in antimicrobial resistance (AMR) management internationally. Screening for CPE may involve a rectal swab, there are limited treatment options for affected patients, and colonised patients are cared for in isolation to protect others. These measures are sound infection prevention precautions; however, the acceptability of CPE screening and its consequences are currently unknown. The aim of this study was ‘To determine factors influencing acceptability of CPE screening from the perspectives of nursing staff and the general public.’\nMethods: National cross-sectional surveys of nursing staff (n = 450) and the general public (n = 261). The Theoretical Domains Framework (TDF) guided data collection and analysis. Regression modelling was used to identify factors that predicted acceptability of CPE screening.\nResults: For nursing staff, the following predictor variables were significant: intention to conduct CPE screening (OR 14.19, CI 5.14–39.22); belief in the severity of the consequences of CPE (OR 7.13, CI 3.26–15.60); knowledge of hospital policy for screening (OR 3.04, CI 1.45–6.34); preference to ask patients to take their own rectal swab (OR 2.89, CI 1.39–6.0); awareness that CPE is an organism of growing concern (OR 2.44, CI 1.22–4.88). The following predictor variables were significant for the general public: lack of knowledge of AMR (β − .11, p = .01); social influences (β .14, p = .032); social norms (β .21p = .00); acceptability of being isolated if colonised (β .22, p = .000), beliefs about the acceptability of rectal swabbing (β .15, p = .00), beliefs about the impact of careful explanation about CPE screening from a health professional (β .32, p = .00). Integrating results from staff and public perspectives points to the importance of knowledge of AMR, environmental resources, and social influences in shaping acceptability.\nConclusions: This is the first study to systematically examine the acceptability of CPE screening across nursing staff and the public. The use of TDF enabled identification of the mechanisms of action, or theoretical constructs, likely to be important in understanding and changing CPE related behaviour amongst professionals and public alike.","container-title":"Antimicrobial Resistance &amp; Infection Control","DOI":"10.1186/s13756-018-0434-x","ISSN":"2047-2994","issue":"1","journalAbbreviation":"Antimicrob Resist Infect Control","language":"en","page":"144","source":"DOI.org (Crossref)","title":"The acceptability of screening for Carbapenemase Producing Enterobacteriaceae (CPE): cross-sectional survey of nursing staff and the general publics’ perceptions","title-short":"The acceptability of screening for Carbapenemase Producing Enterobacteriaceae (CPE)","volume":"7","author":[{"family":"Currie","given":"Kay"},{"family":"King","given":"Caroline"},{"family":"McAloney-Kocaman","given":"Kareena"},{"family":"Roberts","given":"Nicola J."},{"family":"MacDonald","given":"Jennifer"},{"family":"Dickson","given":"Adele"},{"family":"Cairns","given":"Shona"},{"family":"Khanna","given":"Nitish"},{"family":"Flowers","given":"Paul"},{"family":"Reilly","given":"Jacqui"},{"family":"Price","given":"Lesley"}],"issued":{"date-parts":[["2018",12]]},"citation-key":"currieAcceptabilityScreeningCarbapenemase2018"}},{"id":6330,"uris":["http://zotero.org/users/5794125/items/ZPJD9FGH"],"itemData":{"id":6330,"type":"document","publisher":"Canberra: Commonwealth of Australia","title":"Australian Guidelines for the Prevention and Control of Infection in Healthcare (2019)","URL":"https://www.safetyandquality.gov.au/sites/default/files/2021-02/australian_guidelines_for_the_prevention_and_control_of_infection_in_health_care_-_current_version_-_v11.4_5_january_2021.pdf","author":[{"family":"National Health and Medical Research Council","given":""}],"accessed":{"date-parts":[["2023",8,29]]},"issued":{"date-parts":[["2019"]]},"citation-key":"nationalhealthandmedicalresearchcouncilAustralianGuidelinesPrevention2019"}}],"schema":"https://github.com/citation-style-language/schema/raw/master/csl-citation.json"} </w:instrText>
      </w:r>
      <w:r w:rsidR="00B01691" w:rsidRPr="006F2B6C">
        <w:rPr>
          <w:b/>
          <w:bCs/>
        </w:rPr>
        <w:fldChar w:fldCharType="separate"/>
      </w:r>
      <w:r w:rsidR="008B6DE0" w:rsidRPr="006F2B6C">
        <w:rPr>
          <w:rFonts w:cs="Arial"/>
          <w:szCs w:val="24"/>
          <w:vertAlign w:val="superscript"/>
        </w:rPr>
        <w:t>3,4</w:t>
      </w:r>
      <w:r w:rsidR="00B01691" w:rsidRPr="006F2B6C">
        <w:rPr>
          <w:b/>
          <w:bCs/>
        </w:rPr>
        <w:fldChar w:fldCharType="end"/>
      </w:r>
      <w:r w:rsidR="00F8557F" w:rsidRPr="006F2B6C">
        <w:t xml:space="preserve"> </w:t>
      </w:r>
      <w:r w:rsidR="008B6DE0" w:rsidRPr="006F2B6C">
        <w:t>The</w:t>
      </w:r>
      <w:r w:rsidR="00732C3F" w:rsidRPr="006F2B6C">
        <w:t xml:space="preserve"> key</w:t>
      </w:r>
      <w:r w:rsidR="008B6DE0" w:rsidRPr="006F2B6C">
        <w:t xml:space="preserve"> benefits of</w:t>
      </w:r>
      <w:r w:rsidR="001A637B" w:rsidRPr="006F2B6C">
        <w:t xml:space="preserve"> rectal swabs include the ease with which they can be administered and transported, and the high levels of acceptability to patients/research study participants.</w:t>
      </w:r>
      <w:r w:rsidR="00B4089C" w:rsidRPr="006F2B6C">
        <w:rPr>
          <w:b/>
          <w:bCs/>
        </w:rPr>
        <w:fldChar w:fldCharType="begin"/>
      </w:r>
      <w:r w:rsidR="00AE55CE" w:rsidRPr="006F2B6C">
        <w:instrText xml:space="preserve"> ADDIN ZOTERO_ITEM CSL_CITATION {"citationID":"VXhbQrNe","properties":{"formattedCitation":"\\super 3\\nosupersub{}","plainCitation":"3","noteIndex":0},"citationItems":[{"id":6179,"uris":["http://zotero.org/users/5794125/items/JMMV65KH"],"itemData":{"id":6179,"type":"article-journal","abstract":"Background: Carbapenemase Producing Enterobacteriaceae (CPE) has spread rapidly and presents a growing challenge in antimicrobial resistance (AMR) management internationally. Screening for CPE may involve a rectal swab, there are limited treatment options for affected patients, and colonised patients are cared for in isolation to protect others. These measures are sound infection prevention precautions; however, the acceptability of CPE screening and its consequences are currently unknown. The aim of this study was ‘To determine factors influencing acceptability of CPE screening from the perspectives of nursing staff and the general public.’\nMethods: National cross-sectional surveys of nursing staff (n = 450) and the general public (n = 261). The Theoretical Domains Framework (TDF) guided data collection and analysis. Regression modelling was used to identify factors that predicted acceptability of CPE screening.\nResults: For nursing staff, the following predictor variables were significant: intention to conduct CPE screening (OR 14.19, CI 5.14–39.22); belief in the severity of the consequences of CPE (OR 7.13, CI 3.26–15.60); knowledge of hospital policy for screening (OR 3.04, CI 1.45–6.34); preference to ask patients to take their own rectal swab (OR 2.89, CI 1.39–6.0); awareness that CPE is an organism of growing concern (OR 2.44, CI 1.22–4.88). The following predictor variables were significant for the general public: lack of knowledge of AMR (β − .11, p = .01); social influences (β .14, p = .032); social norms (β .21p = .00); acceptability of being isolated if colonised (β .22, p = .000), beliefs about the acceptability of rectal swabbing (β .15, p = .00), beliefs about the impact of careful explanation about CPE screening from a health professional (β .32, p = .00). Integrating results from staff and public perspectives points to the importance of knowledge of AMR, environmental resources, and social influences in shaping acceptability.\nConclusions: This is the first study to systematically examine the acceptability of CPE screening across nursing staff and the public. The use of TDF enabled identification of the mechanisms of action, or theoretical constructs, likely to be important in understanding and changing CPE related behaviour amongst professionals and public alike.","container-title":"Antimicrobial Resistance &amp; Infection Control","DOI":"10.1186/s13756-018-0434-x","ISSN":"2047-2994","issue":"1","journalAbbreviation":"Antimicrob Resist Infect Control","language":"en","page":"144","source":"DOI.org (Crossref)","title":"The acceptability of screening for Carbapenemase Producing Enterobacteriaceae (CPE): cross-sectional survey of nursing staff and the general publics’ perceptions","title-short":"The acceptability of screening for Carbapenemase Producing Enterobacteriaceae (CPE)","volume":"7","author":[{"family":"Currie","given":"Kay"},{"family":"King","given":"Caroline"},{"family":"McAloney-Kocaman","given":"Kareena"},{"family":"Roberts","given":"Nicola J."},{"family":"MacDonald","given":"Jennifer"},{"family":"Dickson","given":"Adele"},{"family":"Cairns","given":"Shona"},{"family":"Khanna","given":"Nitish"},{"family":"Flowers","given":"Paul"},{"family":"Reilly","given":"Jacqui"},{"family":"Price","given":"Lesley"}],"issued":{"date-parts":[["2018",12]]},"citation-key":"currieAcceptabilityScreeningCarbapenemase2018"}}],"schema":"https://github.com/citation-style-language/schema/raw/master/csl-citation.json"} </w:instrText>
      </w:r>
      <w:r w:rsidR="00B4089C" w:rsidRPr="006F2B6C">
        <w:rPr>
          <w:b/>
          <w:bCs/>
        </w:rPr>
        <w:fldChar w:fldCharType="separate"/>
      </w:r>
      <w:r w:rsidR="00AE55CE" w:rsidRPr="006F2B6C">
        <w:rPr>
          <w:szCs w:val="24"/>
          <w:vertAlign w:val="superscript"/>
        </w:rPr>
        <w:t>3</w:t>
      </w:r>
      <w:r w:rsidR="00B4089C" w:rsidRPr="006F2B6C">
        <w:rPr>
          <w:b/>
          <w:bCs/>
        </w:rPr>
        <w:fldChar w:fldCharType="end"/>
      </w:r>
      <w:r w:rsidR="008B6DE0" w:rsidRPr="006F2B6C">
        <w:rPr>
          <w:b/>
          <w:bCs/>
        </w:rPr>
        <w:t xml:space="preserve"> </w:t>
      </w:r>
    </w:p>
    <w:p w14:paraId="7FE5AB16" w14:textId="39D048F5" w:rsidR="00764E89" w:rsidRPr="006F2B6C" w:rsidRDefault="00170726" w:rsidP="000A3AB6">
      <w:r w:rsidRPr="006F2B6C">
        <w:t>Self-collection</w:t>
      </w:r>
      <w:r w:rsidR="00D80D52" w:rsidRPr="006F2B6C">
        <w:t xml:space="preserve"> as a process</w:t>
      </w:r>
      <w:r w:rsidRPr="006F2B6C">
        <w:t xml:space="preserve"> has been shown to be an accurate testing methodology</w:t>
      </w:r>
      <w:r w:rsidR="00D80D52" w:rsidRPr="006F2B6C">
        <w:t xml:space="preserve"> in other settings</w:t>
      </w:r>
      <w:r w:rsidRPr="006F2B6C">
        <w:t xml:space="preserve">. </w:t>
      </w:r>
      <w:r w:rsidR="00C74EED" w:rsidRPr="006F2B6C">
        <w:t>Human papilloma virus self-collection has been shown to be just as accurate</w:t>
      </w:r>
      <w:r w:rsidR="004228AE" w:rsidRPr="006F2B6C">
        <w:t>, or even more sensitive than</w:t>
      </w:r>
      <w:r w:rsidR="00C74EED" w:rsidRPr="006F2B6C">
        <w:t xml:space="preserve"> </w:t>
      </w:r>
      <w:r w:rsidR="004228AE" w:rsidRPr="006F2B6C">
        <w:t>clinician collected samples.</w:t>
      </w:r>
      <w:r w:rsidR="004F0BCF" w:rsidRPr="006F2B6C">
        <w:fldChar w:fldCharType="begin"/>
      </w:r>
      <w:r w:rsidR="008B6DE0" w:rsidRPr="006F2B6C">
        <w:instrText xml:space="preserve"> ADDIN ZOTERO_ITEM CSL_CITATION {"citationID":"MVsS8DDb","properties":{"formattedCitation":"\\super 5\\nosupersub{}","plainCitation":"5","noteIndex":0},"citationItems":[{"id":6181,"uris":["http://zotero.org/users/5794125/items/BAST6T4B"],"itemData":{"id":6181,"type":"article-journal","container-title":"International Journal of Cancer","DOI":"10.1002/ijc.27790","ISSN":"00207136","issue":"10","journalAbbreviation":"Int. J. Cancer","language":"en","page":"2223-2236","source":"DOI.org (Crossref)","title":"High-risk HPV testing on self-sampled &lt;i&gt;versus&lt;/i&gt; clinician-collected specimens: A review on the clinical accuracy and impact on population attendance in cervical cancer screening","title-short":"High-risk HPV testing on self-sampled &lt;i&gt;versus&lt;/i&gt; clinician-collected specimens","volume":"132","author":[{"family":"Snijders","given":"Peter J.F."},{"family":"Verhoef","given":"Viola M.J."},{"family":"Arbyn","given":"Marc"},{"family":"Ogilvie","given":"Gina"},{"family":"Minozzi","given":"Silvia"},{"family":"Banzi","given":"Rita"},{"family":"Van Kemenade","given":"Folkert J."},{"family":"Heideman","given":"Daniëlle A.M."},{"family":"Meijer","given":"Chris J.L.M."}],"issued":{"date-parts":[["2013",5,15]]},"citation-key":"snijdersHighriskHPVTesting2013"}}],"schema":"https://github.com/citation-style-language/schema/raw/master/csl-citation.json"} </w:instrText>
      </w:r>
      <w:r w:rsidR="004F0BCF" w:rsidRPr="006F2B6C">
        <w:fldChar w:fldCharType="separate"/>
      </w:r>
      <w:r w:rsidR="008B6DE0" w:rsidRPr="006F2B6C">
        <w:rPr>
          <w:rFonts w:cs="Arial"/>
          <w:szCs w:val="24"/>
          <w:vertAlign w:val="superscript"/>
        </w:rPr>
        <w:t>5</w:t>
      </w:r>
      <w:r w:rsidR="004F0BCF" w:rsidRPr="006F2B6C">
        <w:fldChar w:fldCharType="end"/>
      </w:r>
      <w:r w:rsidR="004228AE" w:rsidRPr="006F2B6C">
        <w:t xml:space="preserve"> </w:t>
      </w:r>
      <w:r w:rsidR="009E254E" w:rsidRPr="006F2B6C">
        <w:t xml:space="preserve">The </w:t>
      </w:r>
      <w:r w:rsidR="00C84693" w:rsidRPr="006F2B6C">
        <w:t>accuracy of rectal swabs vs bulk faeces testing has been</w:t>
      </w:r>
      <w:r w:rsidR="00817FC6" w:rsidRPr="006F2B6C">
        <w:t xml:space="preserve"> tested extensively </w:t>
      </w:r>
      <w:r w:rsidR="00296688" w:rsidRPr="006F2B6C">
        <w:t>using culture mediums, but much less work has been done since the advent of PCR testing methodology.</w:t>
      </w:r>
    </w:p>
    <w:p w14:paraId="36674459" w14:textId="483637AF" w:rsidR="00170726" w:rsidRPr="006F2B6C" w:rsidRDefault="00764E89" w:rsidP="000A3AB6">
      <w:r w:rsidRPr="006F2B6C">
        <w:t xml:space="preserve">Studies have long </w:t>
      </w:r>
      <w:r w:rsidR="0039331E" w:rsidRPr="006F2B6C">
        <w:t>compared</w:t>
      </w:r>
      <w:r w:rsidR="007D633D" w:rsidRPr="006F2B6C">
        <w:t xml:space="preserve"> rectal swabs vs </w:t>
      </w:r>
      <w:r w:rsidR="001B7058" w:rsidRPr="006F2B6C">
        <w:t>bulk faeces testing.</w:t>
      </w:r>
      <w:r w:rsidR="000C2639" w:rsidRPr="006F2B6C">
        <w:t xml:space="preserve"> </w:t>
      </w:r>
      <w:r w:rsidR="001B7058" w:rsidRPr="006F2B6C">
        <w:t>The results are varied,</w:t>
      </w:r>
      <w:r w:rsidR="008F3DF5" w:rsidRPr="006F2B6C">
        <w:t xml:space="preserve"> depending on the year the study was performed</w:t>
      </w:r>
      <w:r w:rsidR="009213A4" w:rsidRPr="006F2B6C">
        <w:t xml:space="preserve">. </w:t>
      </w:r>
      <w:r w:rsidR="00022632" w:rsidRPr="006F2B6C">
        <w:t>An early study examining 700 specimens</w:t>
      </w:r>
      <w:r w:rsidR="00872EB7" w:rsidRPr="006F2B6C">
        <w:t xml:space="preserve"> tested </w:t>
      </w:r>
      <w:r w:rsidR="00DD4D0F" w:rsidRPr="006F2B6C">
        <w:t>with MacConkey's medium</w:t>
      </w:r>
      <w:r w:rsidR="00022632" w:rsidRPr="006F2B6C">
        <w:t xml:space="preserve"> in 1940 during a </w:t>
      </w:r>
      <w:proofErr w:type="spellStart"/>
      <w:r w:rsidR="00C819BA" w:rsidRPr="006F2B6C">
        <w:t>S</w:t>
      </w:r>
      <w:r w:rsidR="00022632" w:rsidRPr="006F2B6C">
        <w:t>onne</w:t>
      </w:r>
      <w:proofErr w:type="spellEnd"/>
      <w:r w:rsidR="00022632" w:rsidRPr="006F2B6C">
        <w:t xml:space="preserve"> dysentery outbreak</w:t>
      </w:r>
      <w:r w:rsidR="00B30CE7" w:rsidRPr="006F2B6C">
        <w:t xml:space="preserve"> </w:t>
      </w:r>
      <w:r w:rsidR="00C819BA" w:rsidRPr="006F2B6C">
        <w:t xml:space="preserve">(Shigella sp. outbreak) found that </w:t>
      </w:r>
      <w:r w:rsidR="00EB766D" w:rsidRPr="006F2B6C">
        <w:t xml:space="preserve">rectal swabbing was far superior to bulk faeces culture </w:t>
      </w:r>
      <w:r w:rsidR="00D7589E" w:rsidRPr="006F2B6C">
        <w:t>to detect an organism.</w:t>
      </w:r>
      <w:r w:rsidR="00D7589E" w:rsidRPr="006F2B6C">
        <w:fldChar w:fldCharType="begin"/>
      </w:r>
      <w:r w:rsidR="008B6DE0" w:rsidRPr="006F2B6C">
        <w:instrText xml:space="preserve"> ADDIN ZOTERO_ITEM CSL_CITATION {"citationID":"dYZzTZ7v","properties":{"formattedCitation":"\\super 6\\nosupersub{}","plainCitation":"6","noteIndex":0},"citationItems":[{"id":6217,"uris":["http://zotero.org/users/5794125/items/6NKZ6Z3P"],"itemData":{"id":6217,"type":"article-journal","container-title":"The Lancet","DOI":"10.1016/S0140-6736(01)08403-3","ISSN":"01406736","issue":"6122","journalAbbreviation":"The Lancet","language":"en","page":"803-805","source":"DOI.org (Crossref)","title":"An Outbreak of Sonne Dysentery","volume":"236","author":[{"family":"Cruickshank","given":"R."},{"family":"Swyer","given":"R."}],"issued":{"date-parts":[["1940",12]]},"citation-key":"cruickshankOutbreakSonneDysentery1940"}}],"schema":"https://github.com/citation-style-language/schema/raw/master/csl-citation.json"} </w:instrText>
      </w:r>
      <w:r w:rsidR="00D7589E" w:rsidRPr="006F2B6C">
        <w:fldChar w:fldCharType="separate"/>
      </w:r>
      <w:r w:rsidR="008B6DE0" w:rsidRPr="006F2B6C">
        <w:rPr>
          <w:rFonts w:cs="Arial"/>
          <w:szCs w:val="24"/>
          <w:vertAlign w:val="superscript"/>
        </w:rPr>
        <w:t>6</w:t>
      </w:r>
      <w:r w:rsidR="00D7589E" w:rsidRPr="006F2B6C">
        <w:fldChar w:fldCharType="end"/>
      </w:r>
      <w:r w:rsidR="00D7589E" w:rsidRPr="006F2B6C">
        <w:t xml:space="preserve"> </w:t>
      </w:r>
      <w:r w:rsidR="00DD4D0F" w:rsidRPr="006F2B6C">
        <w:t xml:space="preserve">Rectal swabbing became the standard for a period of time </w:t>
      </w:r>
      <w:r w:rsidR="00D7589E" w:rsidRPr="006F2B6C">
        <w:t>This was disputed later</w:t>
      </w:r>
      <w:r w:rsidR="00D14206" w:rsidRPr="006F2B6C">
        <w:t xml:space="preserve"> in 1954</w:t>
      </w:r>
      <w:r w:rsidR="00D7589E" w:rsidRPr="006F2B6C">
        <w:t xml:space="preserve"> </w:t>
      </w:r>
      <w:r w:rsidR="0039331E" w:rsidRPr="006F2B6C">
        <w:t xml:space="preserve">after a group examined 3,183 index cases looking for a variety of organisms to which they concluded </w:t>
      </w:r>
      <w:r w:rsidR="009D2567" w:rsidRPr="006F2B6C">
        <w:t xml:space="preserve">that the </w:t>
      </w:r>
      <w:r w:rsidR="00D14206" w:rsidRPr="006F2B6C">
        <w:rPr>
          <w:i/>
          <w:iCs/>
        </w:rPr>
        <w:t xml:space="preserve">“…626 </w:t>
      </w:r>
      <w:r w:rsidR="00FE19B6" w:rsidRPr="006F2B6C">
        <w:rPr>
          <w:i/>
          <w:iCs/>
        </w:rPr>
        <w:t xml:space="preserve">[bulk faeces] </w:t>
      </w:r>
      <w:r w:rsidR="00D14206" w:rsidRPr="006F2B6C">
        <w:rPr>
          <w:i/>
          <w:iCs/>
        </w:rPr>
        <w:t>specimens all showed abnormalities which could be demonstrated only by microscopy or simple chemical methods, for which the rectal swab is quite unsuitable”.</w:t>
      </w:r>
      <w:r w:rsidR="00D14206" w:rsidRPr="006F2B6C">
        <w:rPr>
          <w:i/>
          <w:iCs/>
        </w:rPr>
        <w:fldChar w:fldCharType="begin"/>
      </w:r>
      <w:r w:rsidR="008B6DE0" w:rsidRPr="006F2B6C">
        <w:rPr>
          <w:i/>
          <w:iCs/>
        </w:rPr>
        <w:instrText xml:space="preserve"> ADDIN ZOTERO_ITEM CSL_CITATION {"citationID":"yYNTqTj0","properties":{"formattedCitation":"\\super 7\\nosupersub{}","plainCitation":"7","noteIndex":0},"citationItems":[{"id":6208,"uris":["http://zotero.org/users/5794125/items/YNPXMAQA"],"itemData":{"id":6208,"type":"article-journal","abstract":"Images\nnull","container-title":"British Medical Journal","ISSN":"0007-1447","issue":"4884","journalAbbreviation":"Br Med J","note":"PMID: 13182227\nPMCID: PMC2079024","page":"394-396","source":"PubMed Central","title":"Disadvantages of the Rectal Swab in Diagnosis of Diarrhoea","volume":"2","author":[{"family":"Thomas","given":"Mair E. M."}],"issued":{"date-parts":[["1954",8,14]]},"citation-key":"thomasDisadvantagesRectalSwab1954"}}],"schema":"https://github.com/citation-style-language/schema/raw/master/csl-citation.json"} </w:instrText>
      </w:r>
      <w:r w:rsidR="00D14206" w:rsidRPr="006F2B6C">
        <w:rPr>
          <w:i/>
          <w:iCs/>
        </w:rPr>
        <w:fldChar w:fldCharType="separate"/>
      </w:r>
      <w:r w:rsidR="008B6DE0" w:rsidRPr="006F2B6C">
        <w:rPr>
          <w:rFonts w:cs="Arial"/>
          <w:szCs w:val="24"/>
          <w:vertAlign w:val="superscript"/>
        </w:rPr>
        <w:t>7</w:t>
      </w:r>
      <w:r w:rsidR="00D14206" w:rsidRPr="006F2B6C">
        <w:rPr>
          <w:i/>
          <w:iCs/>
        </w:rPr>
        <w:fldChar w:fldCharType="end"/>
      </w:r>
      <w:r w:rsidR="00D14206" w:rsidRPr="006F2B6C">
        <w:t xml:space="preserve"> Since </w:t>
      </w:r>
      <w:r w:rsidR="00FE19B6" w:rsidRPr="006F2B6C">
        <w:t>then, huge changes have occurred</w:t>
      </w:r>
      <w:r w:rsidR="005C1DBD" w:rsidRPr="006F2B6C">
        <w:t xml:space="preserve"> to our detec</w:t>
      </w:r>
      <w:r w:rsidR="00CC51FA" w:rsidRPr="006F2B6C">
        <w:t xml:space="preserve">tion methods (e.g. culture mediums) and the advent of </w:t>
      </w:r>
      <w:r w:rsidR="005F0F09" w:rsidRPr="006F2B6C">
        <w:t xml:space="preserve">PCR </w:t>
      </w:r>
      <w:r w:rsidR="00782322" w:rsidRPr="006F2B6C">
        <w:t xml:space="preserve">testing for multiple organisms at once. </w:t>
      </w:r>
    </w:p>
    <w:p w14:paraId="5241C031" w14:textId="5CC092EB" w:rsidR="00782322" w:rsidRPr="006F2B6C" w:rsidRDefault="0043715E" w:rsidP="000A3AB6">
      <w:r w:rsidRPr="006F2B6C">
        <w:t xml:space="preserve">More recent studies demonstrate that the differences between </w:t>
      </w:r>
      <w:r w:rsidR="002E4DFE" w:rsidRPr="006F2B6C">
        <w:t xml:space="preserve">rectal and faecal swabs </w:t>
      </w:r>
      <w:r w:rsidR="00D82297" w:rsidRPr="006F2B6C">
        <w:t>is driven by the</w:t>
      </w:r>
      <w:r w:rsidRPr="006F2B6C">
        <w:t xml:space="preserve"> type of test (bacterial microscopy and culture</w:t>
      </w:r>
      <w:r w:rsidR="00D82297" w:rsidRPr="006F2B6C">
        <w:t xml:space="preserve"> vs viral PCR</w:t>
      </w:r>
      <w:r w:rsidRPr="006F2B6C">
        <w:t>)</w:t>
      </w:r>
      <w:r w:rsidR="00D82297" w:rsidRPr="006F2B6C">
        <w:t>.</w:t>
      </w:r>
      <w:r w:rsidR="000E4C6E" w:rsidRPr="006F2B6C">
        <w:t xml:space="preserve"> During a phase I clinical study for </w:t>
      </w:r>
      <w:r w:rsidR="004F4400" w:rsidRPr="006F2B6C">
        <w:t xml:space="preserve">a live oral attenuated Salmonella Typhi vaccine strain found </w:t>
      </w:r>
      <w:r w:rsidR="00D039CD" w:rsidRPr="006F2B6C">
        <w:t xml:space="preserve">that when compared with </w:t>
      </w:r>
      <w:proofErr w:type="spellStart"/>
      <w:r w:rsidR="00D039CD" w:rsidRPr="006F2B6C">
        <w:t>fecal</w:t>
      </w:r>
      <w:proofErr w:type="spellEnd"/>
      <w:r w:rsidR="00D039CD" w:rsidRPr="006F2B6C">
        <w:t xml:space="preserve"> culture, rectal swabs were 64% sensitive and 90% specific.</w:t>
      </w:r>
      <w:r w:rsidR="00D039CD" w:rsidRPr="006F2B6C">
        <w:fldChar w:fldCharType="begin"/>
      </w:r>
      <w:r w:rsidR="008B6DE0" w:rsidRPr="006F2B6C">
        <w:instrText xml:space="preserve"> ADDIN ZOTERO_ITEM CSL_CITATION {"citationID":"noCmtrQb","properties":{"formattedCitation":"\\super 8\\nosupersub{}","plainCitation":"8","noteIndex":0},"citationItems":[{"id":6215,"uris":["http://zotero.org/users/5794125/items/ZWDFLEYV"],"itemData":{"id":6215,"type":"article-journal","abstract":"Rectal swabs are generally considered less sensitive than fecal culture, but there are no data directly comparing human rectal swabs with fecal samples for detection of Salmonella. A phase I clinical study of a live oral attenuated Salmonella typhimurium vaccine strain in volunteers receiving a large known inoculum provided the opportunity to compare concurrent rectal swab and fecal cultures. Of 155 paired samples from 9 volunteers, 65 (42%) were culture positive: 35 (54%) by both methods, 20 (31%) by fecal culture only, and 10 (15%) by swab only. When compared with fecal culture, rectal swabs were 64% sensitive and 90% specific. Rectal swabs are of moderate diagnostic utility for detection of Salmonella and may be useful when collection of fecal samples is impractical.","container-title":"Diagnostic Microbiology and Infectious Disease","DOI":"10.1016/j.diagmicrobio.2006.04.003","ISSN":"07328893","issue":"2","journalAbbreviation":"Diagnostic Microbiology and Infectious Disease","language":"en","page":"123-126","source":"DOI.org (Crossref)","title":"Comparison of rectal swabs with fecal cultures for detection of Salmonella typhimurium in adult volunteers","volume":"56","author":[{"family":"Kotton","given":"Camille N."},{"family":"Lankowski","given":"Alexander J."},{"family":"Hohmann","given":"Elizabeth L."}],"issued":{"date-parts":[["2006",10]]},"citation-key":"kottonComparisonRectalSwabs2006"}}],"schema":"https://github.com/citation-style-language/schema/raw/master/csl-citation.json"} </w:instrText>
      </w:r>
      <w:r w:rsidR="00D039CD" w:rsidRPr="006F2B6C">
        <w:fldChar w:fldCharType="separate"/>
      </w:r>
      <w:r w:rsidR="008B6DE0" w:rsidRPr="006F2B6C">
        <w:rPr>
          <w:rFonts w:cs="Arial"/>
          <w:szCs w:val="24"/>
          <w:vertAlign w:val="superscript"/>
        </w:rPr>
        <w:t>8</w:t>
      </w:r>
      <w:r w:rsidR="00D039CD" w:rsidRPr="006F2B6C">
        <w:fldChar w:fldCharType="end"/>
      </w:r>
      <w:r w:rsidR="00E90F2D" w:rsidRPr="006F2B6C">
        <w:t xml:space="preserve"> </w:t>
      </w:r>
      <w:r w:rsidR="00474542" w:rsidRPr="006F2B6C">
        <w:t>A recent study on paired samples found that for bacteria, the sensitivity was 86.5% (95% CI 79.5%</w:t>
      </w:r>
      <w:r w:rsidR="00EE30CA" w:rsidRPr="006F2B6C">
        <w:t xml:space="preserve">, </w:t>
      </w:r>
      <w:r w:rsidR="00474542" w:rsidRPr="006F2B6C">
        <w:t>91.8%) when PCR was performed and 61.4% (95% CI 52.4%</w:t>
      </w:r>
      <w:r w:rsidR="00EE30CA" w:rsidRPr="006F2B6C">
        <w:t xml:space="preserve">, </w:t>
      </w:r>
      <w:r w:rsidR="00474542" w:rsidRPr="006F2B6C">
        <w:t>69.9%) when culture for bacteria was performed</w:t>
      </w:r>
      <w:r w:rsidR="00EE30CA" w:rsidRPr="006F2B6C">
        <w:t>, indicating better performance for PCR.</w:t>
      </w:r>
      <w:r w:rsidR="00B6758A" w:rsidRPr="006F2B6C">
        <w:fldChar w:fldCharType="begin"/>
      </w:r>
      <w:r w:rsidR="008B6DE0" w:rsidRPr="006F2B6C">
        <w:instrText xml:space="preserve"> ADDIN ZOTERO_ITEM CSL_CITATION {"citationID":"GFdbmev7","properties":{"formattedCitation":"\\super 9\\nosupersub{}","plainCitation":"9","noteIndex":0},"citationItems":[{"id":6205,"uris":["http://zotero.org/users/5794125/items/K7TCZJ4I"],"itemData":{"id":6205,"type":"article-journal","abstract":"Objectives: A stool sample is the sample of choice for microbiological testing of enteric pathogens causing diarrhoea, but a rectal swab can be a more practical alternative. A prospective observational study was performed to evaluate the diagnostic performance of ﬂocked rectal swab specimens using the syndromic molecular approach to determine the aetiology of diarrhoea in adults.\nMethods: We compared the performance of rectal swabs with stool samples as the reference standard in determining viral, bacterial and protozoal pathogens using real-time multiplex PCR as well as standard stool culture. Paired samples of stool and rectal swab specimens were collected from 304 adult patients with diarrhoea, presented at the Department of Infectious Diseases, University Medical Centre Ljubljana, between June 2016 and August 2017.\nResults: Overall sensitivity of rectal swab samples in the syndromic molecular approach was 83.2% (95% CI 77.2%e88.1%). Pathogen group-speciﬁc analysis of rectal swabs showed sensitivity of 65.6% (95% CI 52.7%e77.1%) for viruses and 57.1% (95% CI 28.9%e82.3%) for parasites. For bacteria, sensitivity was 86.5% (95% CI 79.5%e91.8%) when PCR was performed and 61.4% (95% CI 52.4%e69.9%) when culture for bacteria was performed. Mean threshold cycle (Ct) values for most pathogens were higher in rectal swab specimens than in stool specimens.\nConclusions: Our results indicate that rectal swabs can be used in the diagnosis of diarrhoea in adults when stool specimens are not available or when rapid aetiological determination is needed. However, rectal swabs should be analysed using a molecular approach. The mean Ct value for most pathogens is higher in rectal swab specimens than in stool specimens. T. Kotar, Clin Microbiol Infect 2019;25:733 © 2018 European Society of Clinical Microbiology and Infectious Diseases. Published by Elsevier Ltd. All rights reserved.","container-title":"Clinical Microbiology and Infection","DOI":"10.1016/j.cmi.2018.09.026","ISSN":"1198743X","issue":"6","journalAbbreviation":"Clinical Microbiology and Infection","language":"en","page":"733-738","source":"DOI.org (Crossref)","title":"Evaluation of rectal swab use for the determination of enteric pathogens: a prospective study of diarrhoea in adults","title-short":"Evaluation of rectal swab use for the determination of enteric pathogens","volume":"25","author":[{"family":"Kotar","given":"T."},{"family":"Pirš","given":"M."},{"family":"Steyer","given":"A."},{"family":"Cerar","given":"T."},{"family":"Šoba","given":"B."},{"family":"Skvarc","given":"M."},{"family":"Poljšak Prijatelj","given":"M."},{"family":"Lejko Zupanc","given":"T."}],"issued":{"date-parts":[["2019",6]]},"citation-key":"kotarEvaluationRectalSwab2019"}}],"schema":"https://github.com/citation-style-language/schema/raw/master/csl-citation.json"} </w:instrText>
      </w:r>
      <w:r w:rsidR="00B6758A" w:rsidRPr="006F2B6C">
        <w:fldChar w:fldCharType="separate"/>
      </w:r>
      <w:r w:rsidR="008B6DE0" w:rsidRPr="006F2B6C">
        <w:rPr>
          <w:rFonts w:cs="Arial"/>
          <w:szCs w:val="24"/>
          <w:vertAlign w:val="superscript"/>
        </w:rPr>
        <w:t>9</w:t>
      </w:r>
      <w:r w:rsidR="00B6758A" w:rsidRPr="006F2B6C">
        <w:fldChar w:fldCharType="end"/>
      </w:r>
    </w:p>
    <w:p w14:paraId="125D4809" w14:textId="551B9B6B" w:rsidR="009D5789" w:rsidRPr="006F2B6C" w:rsidRDefault="00603034" w:rsidP="000A3AB6">
      <w:pPr>
        <w:rPr>
          <w:b/>
          <w:bCs/>
        </w:rPr>
      </w:pPr>
      <w:r w:rsidRPr="006F2B6C">
        <w:t xml:space="preserve">It is </w:t>
      </w:r>
      <w:proofErr w:type="gramStart"/>
      <w:r w:rsidR="00235F10" w:rsidRPr="006F2B6C">
        <w:t>has</w:t>
      </w:r>
      <w:proofErr w:type="gramEnd"/>
      <w:r w:rsidR="00235F10" w:rsidRPr="006F2B6C">
        <w:t xml:space="preserve"> been shown in small studies</w:t>
      </w:r>
      <w:r w:rsidRPr="006F2B6C">
        <w:t xml:space="preserve"> that </w:t>
      </w:r>
      <w:r w:rsidR="00660845" w:rsidRPr="006F2B6C">
        <w:t xml:space="preserve">rectal swabs </w:t>
      </w:r>
      <w:r w:rsidR="00422FFD" w:rsidRPr="006F2B6C">
        <w:t xml:space="preserve">are </w:t>
      </w:r>
      <w:r w:rsidR="00235F10" w:rsidRPr="006F2B6C">
        <w:t xml:space="preserve">likely </w:t>
      </w:r>
      <w:r w:rsidR="00422FFD" w:rsidRPr="006F2B6C">
        <w:t>accurate</w:t>
      </w:r>
      <w:r w:rsidR="00660845" w:rsidRPr="006F2B6C">
        <w:t xml:space="preserve">. </w:t>
      </w:r>
      <w:r w:rsidR="004F3A5B" w:rsidRPr="006F2B6C">
        <w:t xml:space="preserve">Studies are have now shown that </w:t>
      </w:r>
      <w:r w:rsidR="00422FFD" w:rsidRPr="006F2B6C">
        <w:t xml:space="preserve">during testing </w:t>
      </w:r>
      <w:r w:rsidR="004F3A5B" w:rsidRPr="006F2B6C">
        <w:t xml:space="preserve">for </w:t>
      </w:r>
      <w:r w:rsidR="009A0A37" w:rsidRPr="006F2B6C">
        <w:t xml:space="preserve">various enteric organisms (viruses and </w:t>
      </w:r>
      <w:r w:rsidR="00D43522" w:rsidRPr="006F2B6C">
        <w:t>bacteria</w:t>
      </w:r>
      <w:r w:rsidR="009A0A37" w:rsidRPr="006F2B6C">
        <w:t>)</w:t>
      </w:r>
      <w:r w:rsidR="00D43522" w:rsidRPr="006F2B6C">
        <w:t xml:space="preserve"> in Rwandan children </w:t>
      </w:r>
      <w:r w:rsidR="00235F10" w:rsidRPr="006F2B6C">
        <w:t>there was no significant difference in detection rate between faeces and rectal swabs for any agent, reflecting that pathogen concentration was far above the limit of detection in the majority of cases</w:t>
      </w:r>
      <w:r w:rsidR="00D43522" w:rsidRPr="006F2B6C">
        <w:t>.</w:t>
      </w:r>
      <w:r w:rsidR="00D43522" w:rsidRPr="006F2B6C">
        <w:fldChar w:fldCharType="begin"/>
      </w:r>
      <w:r w:rsidR="008B6DE0" w:rsidRPr="006F2B6C">
        <w:instrText xml:space="preserve"> ADDIN ZOTERO_ITEM CSL_CITATION {"citationID":"VXb2eqbW","properties":{"formattedCitation":"\\super 10\\nosupersub{}","plainCitation":"10","noteIndex":0},"citationItems":[{"id":6222,"uris":["http://zotero.org/users/5794125/items/5NWZZ4IP"],"itemData":{"id":6222,"type":"article-journal","abstract":"Background\nMolecular diagnostics have emerged as an efficient and feasible alternative for broad detection of pathogens in faeces. However, collection of stool samples is often impractical in both clinical work and in epidemiology studies. The aim of this study was to investigate the diagnostic performance of rectal swabs as compared with traditional faeces samples for detection of enteric agents by PCR.\n\nMethod\nThree hundred twenty-six pairs of rectal swab and stool samples, obtained from Rwandan children aged 0.5-4.99 years, with or without diarrhoea, were analysed by multiple real-time PCR amplifying 3 viral, 6 bacterial and one protozoan target.\n\nResults\nFor all agents there was a significant correlation (R2 0.31-0.85) between Ct values in faeces and rectal swabs. For most agents the Ct values, a marker for target concentration, were significantly lower (by 1–3 cycles) in faeces, indicating pathogen content up to ten times higher than in rectal swabs. Despite this, there was no significant difference in detection rate between faeces and rectal swabs for any agent, reflecting that pathogen concentration was far above the limit of detection in the majority of cases.\n\nConclusion\nThe similar detection rates and the Ct value correlations as compared with traditional faeces samples indicate that rectal swabs are accurate for real-time PCR-based identification of enteric agents and may be used also for quantitative estimation of pathogen load.","container-title":"BMC Infectious Diseases","DOI":"10.1186/1471-2334-13-447","ISSN":"1471-2334","journalAbbreviation":"BMC Infect Dis","note":"PMID: 24073740\nPMCID: PMC3850680","page":"447","source":"PubMed Central","title":"Comparison of rectal swabs and faeces for real-time PCR detection of enteric agents in Rwandan children with gastroenteritis","volume":"13","author":[{"family":"Kabayiza","given":"Jean-Claude"},{"family":"Andersson","given":"Maria E"},{"family":"Welinder-Olsson","given":"Christina"},{"family":"Bergström","given":"Tomas"},{"family":"Muhirwa","given":"Gregoire"},{"family":"Lindh","given":"Magnus"}],"issued":{"date-parts":[["2013",9,27]]},"citation-key":"kabayizaComparisonRectalSwabs2013"}}],"schema":"https://github.com/citation-style-language/schema/raw/master/csl-citation.json"} </w:instrText>
      </w:r>
      <w:r w:rsidR="00D43522" w:rsidRPr="006F2B6C">
        <w:fldChar w:fldCharType="separate"/>
      </w:r>
      <w:r w:rsidR="008B6DE0" w:rsidRPr="006F2B6C">
        <w:rPr>
          <w:rFonts w:cs="Arial"/>
          <w:szCs w:val="24"/>
          <w:vertAlign w:val="superscript"/>
        </w:rPr>
        <w:t>10</w:t>
      </w:r>
      <w:r w:rsidR="00D43522" w:rsidRPr="006F2B6C">
        <w:fldChar w:fldCharType="end"/>
      </w:r>
      <w:r w:rsidR="00CB2594" w:rsidRPr="006F2B6C">
        <w:t xml:space="preserve"> </w:t>
      </w:r>
      <w:r w:rsidR="004D7D21" w:rsidRPr="006F2B6C">
        <w:t xml:space="preserve">A </w:t>
      </w:r>
      <w:r w:rsidR="00765726" w:rsidRPr="006F2B6C">
        <w:t xml:space="preserve">similar paired sample study focusing on Norovirus </w:t>
      </w:r>
      <w:r w:rsidR="00765726" w:rsidRPr="006F2B6C">
        <w:lastRenderedPageBreak/>
        <w:t xml:space="preserve">found a sensitivity </w:t>
      </w:r>
      <w:r w:rsidR="001422C5" w:rsidRPr="006F2B6C">
        <w:t xml:space="preserve">of rectal swabs </w:t>
      </w:r>
      <w:r w:rsidR="00765726" w:rsidRPr="006F2B6C">
        <w:t>that was</w:t>
      </w:r>
      <w:r w:rsidR="001422C5" w:rsidRPr="006F2B6C">
        <w:t xml:space="preserve"> greater than 97%, and in one case detected norovirus in the swab, but not in the bulk faeces.</w:t>
      </w:r>
      <w:r w:rsidR="001422C5" w:rsidRPr="006F2B6C">
        <w:fldChar w:fldCharType="begin"/>
      </w:r>
      <w:r w:rsidR="008B6DE0" w:rsidRPr="006F2B6C">
        <w:instrText xml:space="preserve"> ADDIN ZOTERO_ITEM CSL_CITATION {"citationID":"U3nvhKNV","properties":{"formattedCitation":"\\super 11\\nosupersub{}","plainCitation":"11","noteIndex":0},"citationItems":[{"id":6221,"uris":["http://zotero.org/users/5794125/items/E43FV349"],"itemData":{"id":6221,"type":"article-journal","abstract":"Rapid diagnosis and immediate infection control precautions are cornerstones in the prevention of norovirus outbreaks. However, faecal sampling for norovirus PCR—the standard of care—is time consuming. From 2009 to 2011, parallel faecal and rectal swab samples were consecutively obtained from patients with acute gastroenteritis presenting at our emergency department. In total, 109 complete sample pairs of 108 patients were analysed by speciﬁc norovirus real-time PCR. The sensitivity of real-time PCR was 97.3% (36/37) for both sampling methods. A rectal swab is a reasonable option for detection of norovirus by real-time PCR, if a stool specimen is not readily available.","container-title":"Clinical Microbiology and Infection","DOI":"10.1111/1469-0691.12723","ISSN":"1198743X","issue":"12","journalAbbreviation":"Clinical Microbiology and Infection","language":"en","page":"O1017-O1019","source":"DOI.org (Crossref)","title":"Rectal swab for detection of norovirus by real-time PCR: similar sensitivity compared to faecal specimens","title-short":"Rectal swab for detection of norovirus by real-time PCR","volume":"20","author":[{"family":"Sidler","given":"J.A."},{"family":"Käch","given":"R."},{"family":"Noppen","given":"C."},{"family":"Dangel","given":"M."},{"family":"Battegay","given":"M."},{"family":"Bingisser","given":"R."},{"family":"Dubuis","given":"O."},{"family":"Widmer","given":"A.F."}],"issued":{"date-parts":[["2014",12]]},"citation-key":"sidlerRectalSwabDetection2014"}}],"schema":"https://github.com/citation-style-language/schema/raw/master/csl-citation.json"} </w:instrText>
      </w:r>
      <w:r w:rsidR="001422C5" w:rsidRPr="006F2B6C">
        <w:fldChar w:fldCharType="separate"/>
      </w:r>
      <w:r w:rsidR="008B6DE0" w:rsidRPr="006F2B6C">
        <w:rPr>
          <w:rFonts w:cs="Arial"/>
          <w:szCs w:val="24"/>
          <w:vertAlign w:val="superscript"/>
        </w:rPr>
        <w:t>11</w:t>
      </w:r>
      <w:r w:rsidR="001422C5" w:rsidRPr="006F2B6C">
        <w:fldChar w:fldCharType="end"/>
      </w:r>
      <w:r w:rsidR="00660845" w:rsidRPr="006F2B6C">
        <w:t xml:space="preserve"> </w:t>
      </w:r>
    </w:p>
    <w:p w14:paraId="1E21D533" w14:textId="1EE3C9F4" w:rsidR="002C09F5" w:rsidRPr="006F2B6C" w:rsidRDefault="00356BA1" w:rsidP="000A3AB6">
      <w:pPr>
        <w:rPr>
          <w:b/>
          <w:bCs/>
        </w:rPr>
      </w:pPr>
      <w:r w:rsidRPr="006F2B6C">
        <w:t xml:space="preserve">The outcome of this project will transform clinical practice for doctors and patients. It will make testing far more </w:t>
      </w:r>
      <w:proofErr w:type="gramStart"/>
      <w:r w:rsidRPr="006F2B6C">
        <w:t>convenient, and</w:t>
      </w:r>
      <w:proofErr w:type="gramEnd"/>
      <w:r w:rsidRPr="006F2B6C">
        <w:t xml:space="preserve"> allow for point-of-care testing to become a reality for enteric organisms. Currently, many people leave the emergency department without a faecal test because they could not produce a specimen while they are with the clinician. Rectal swabbing would make the diagnosis, and better care available for these patients. </w:t>
      </w:r>
      <w:r w:rsidR="00682A15" w:rsidRPr="006F2B6C">
        <w:t xml:space="preserve">Public Health practitioners would be able to perform </w:t>
      </w:r>
      <w:r w:rsidR="001C1956" w:rsidRPr="006F2B6C">
        <w:t xml:space="preserve">mass testing </w:t>
      </w:r>
      <w:r w:rsidR="0070004F" w:rsidRPr="006F2B6C">
        <w:t xml:space="preserve">after </w:t>
      </w:r>
      <w:r w:rsidR="00A82C3A" w:rsidRPr="006F2B6C">
        <w:t xml:space="preserve">small or </w:t>
      </w:r>
      <w:r w:rsidR="0070004F" w:rsidRPr="006F2B6C">
        <w:t xml:space="preserve">large scale outbreaks, such as those caused </w:t>
      </w:r>
      <w:r w:rsidR="007A6F93" w:rsidRPr="006F2B6C">
        <w:t>by hepatitis A</w:t>
      </w:r>
      <w:r w:rsidR="00516C5B" w:rsidRPr="006F2B6C">
        <w:t>,</w:t>
      </w:r>
      <w:r w:rsidR="00A82C3A" w:rsidRPr="006F2B6C">
        <w:t xml:space="preserve"> norovirus</w:t>
      </w:r>
      <w:r w:rsidR="00516C5B" w:rsidRPr="006F2B6C">
        <w:t xml:space="preserve"> or other </w:t>
      </w:r>
      <w:r w:rsidR="002238E0" w:rsidRPr="006F2B6C">
        <w:t>organisms found in faeces</w:t>
      </w:r>
      <w:r w:rsidR="00A82C3A" w:rsidRPr="006F2B6C">
        <w:t>.</w:t>
      </w:r>
      <w:r w:rsidR="00A82C3A" w:rsidRPr="006F2B6C">
        <w:rPr>
          <w:b/>
          <w:bCs/>
        </w:rPr>
        <w:fldChar w:fldCharType="begin"/>
      </w:r>
      <w:r w:rsidR="008B6DE0" w:rsidRPr="006F2B6C">
        <w:instrText xml:space="preserve"> ADDIN ZOTERO_ITEM CSL_CITATION {"citationID":"sMb0fjUp","properties":{"formattedCitation":"\\super 12,13\\nosupersub{}","plainCitation":"12,13","noteIndex":0},"citationItems":[{"id":6192,"uris":["http://zotero.org/users/5794125/items/KWQ9HQMP"],"itemData":{"id":6192,"type":"article-journal","abstract":"Locally acquired hepatitis A infection is re-emerging in Australia owing to person-to-person outbreaks among men who have sex with men and imported frozen produce. This paper describes a multi-state foodborne outbreak in the first half of 2018. Enhanced human epidemiological investigation including a case–control study, as well as microbial surveillance and trace-back investigations concluded that the outbreak was caused by consumption of imported frozen pomegranate arils. A total of 30 cases of hepatitis A infection, genotype IB with identical sequences met the outbreak case definition, including 27 primary cases and three secondary cases. Twenty-five (83%) of the cases were hospitalised for their illness and there was one death. Imported frozen pomegranate arils from Egypt were strongly implicated as the source of infection through case interviews (19 of 26 primary cases) as well as from a case–control study (adjusted odds ratio 43.4, 95% confidence interval 4.2–448.8, P = 0.002). Hepatitis A virus (HAV) was subsequently detected by polymerase chain reaction in two food samples of the frozen pomegranate aril product. This outbreak was detected and responded to promptly owing to routine genetic characterisation of HAVs from all hepatitis A infections in Australia as part of a national hepatitis A enhanced surveillance project. This is now the third outbreak of hepatitis A in Australia from imported frozen fruits. A re-assessment of the risk of these types of imported foods is strongly recommended.","container-title":"Epidemiology and Infection","DOI":"10.1017/S0950268818003515","ISSN":"0950-2688","journalAbbreviation":"Epidemiol Infect","note":"PMID: 30869018\nPMCID: PMC6518746","page":"e74","source":"PubMed Central","title":"Outbreak of hepatitis A genotype IB in Australia associated with imported frozen pomegranate arils","volume":"147","author":[{"family":"Franklin","given":"N."},{"family":"Camphor","given":"H."},{"family":"Wright","given":"R."},{"family":"Stafford","given":"R."},{"family":"Glasgow","given":"K."},{"family":"Sheppeard","given":"V."}],"issued":{"date-parts":[["2019",1,25]]},"citation-key":"franklinOutbreakHepatitisGenotype2019"}},{"id":6187,"uris":["http://zotero.org/users/5794125/items/N7NCKFVF"],"itemData":{"id":6187,"type":"article-journal","abstract":"The aim of this study was to investigate the clinical characteristics of acute hepatitis A during a recent outbreak in Korea. Data of patients diagnosed with acute hepatitis A from 2007 to 2009 were collected from 21 tertiary hospitals retrospectively. Their demographic, clinical, and serological characteristics and their clinical outcomes were analyzed. A total of 4,218 patients (mean age 33.3 yr) were included. The median duration of admission was 9 days. The mean of the highest ALT level was 2,963 IU/L, total bilirubin was 7.3 mg/dL, prothrombin time INR was 1.3. HBsAg was positive in 3.7%, and anti-HCV positive in 0.7%. Renal insufficiency occurred in 2.7%, hepatic failure in 0.9%, relapsing hepatitis in 0.7%, and cholestatic hepatitis in 1.9% of the patients. Nineteen patients (0.45%) died or were transplanted. Complications of renal failure or prolonged cholestasis were more frequent in patients older than 30 yr. In conclusion, most patients with acute hepatitis A recover uneventfully, however, complication rates are higher in patients older than 30 yr than younger patients. Preventive strategies including universal vaccination in infants and active immunization of hepatitis A to adult population should be considered for prevention of community-wide outbreaks of hepatitis A in Korea.","container-title":"Journal of Korean Medical Science","DOI":"10.3346/jkms.2014.29.2.248","ISSN":"1011-8934","issue":"2","journalAbbreviation":"J Korean Med Sci","note":"PMID: 24550653\nPMCID: PMC3924005","page":"248-253","source":"PubMed Central","title":"Clinical Characteristics and Outcomes of Acute Hepatitis A in Korea: A Nationwide Multicenter Study","title-short":"Clinical Characteristics and Outcomes of Acute Hepatitis A in Korea","volume":"29","author":[{"family":"Kwon","given":"So Young"},{"family":"Park","given":"Sang Hoon"},{"family":"Yeon","given":"Jong Eun"},{"family":"Jeong","given":"Sook Hyang"},{"family":"Kwon","given":"Oh Sang"},{"family":"Lee","given":"Jin Woo"},{"family":"Kim","given":"Hong Soo"},{"family":"Seo","given":"Yeon Seok"},{"family":"Kim","given":"Young Seok"},{"family":"Sohn","given":"Joo Hyun"},{"family":"Yim","given":"Hyung Joon"},{"family":"Choi","given":"Jong Young"},{"family":"Lee","given":"Myung Seok"},{"family":"Kweon","given":"Young Oh"},{"family":"Cheong","given":"Jae Youn"},{"family":"Kim","given":"Haak Cheoul"},{"family":"Lee","given":"Heon Ju"},{"family":"Baik","given":"Soon Koo"},{"family":"An","given":"Hyonggin"},{"family":"Byun","given":"Kwan Soo"}],"issued":{"date-parts":[["2014",2]]},"citation-key":"kwonClinicalCharacteristicsOutcomes2014"}}],"schema":"https://github.com/citation-style-language/schema/raw/master/csl-citation.json"} </w:instrText>
      </w:r>
      <w:r w:rsidR="00A82C3A" w:rsidRPr="006F2B6C">
        <w:rPr>
          <w:b/>
          <w:bCs/>
        </w:rPr>
        <w:fldChar w:fldCharType="separate"/>
      </w:r>
      <w:r w:rsidR="008B6DE0" w:rsidRPr="006F2B6C">
        <w:rPr>
          <w:rFonts w:cs="Arial"/>
          <w:szCs w:val="24"/>
          <w:vertAlign w:val="superscript"/>
        </w:rPr>
        <w:t>12,13</w:t>
      </w:r>
      <w:r w:rsidR="00A82C3A" w:rsidRPr="006F2B6C">
        <w:rPr>
          <w:b/>
          <w:bCs/>
        </w:rPr>
        <w:fldChar w:fldCharType="end"/>
      </w:r>
      <w:r w:rsidR="00641597" w:rsidRPr="006F2B6C">
        <w:t xml:space="preserve"> </w:t>
      </w:r>
      <w:r w:rsidR="00DE7828" w:rsidRPr="006F2B6C">
        <w:t>Doctor’s in the emergency department would be able to obtain swabs on demand for testing that would expedite</w:t>
      </w:r>
      <w:r w:rsidR="00811A76" w:rsidRPr="006F2B6C">
        <w:t xml:space="preserve"> time spent in ED and with the earlier diagnosis, length of stay in hospital. Most importantly</w:t>
      </w:r>
      <w:r w:rsidR="002D5332" w:rsidRPr="006F2B6C">
        <w:t xml:space="preserve">, </w:t>
      </w:r>
      <w:r w:rsidR="00F30ADF" w:rsidRPr="006F2B6C">
        <w:t xml:space="preserve">for patients, it means that they no longer </w:t>
      </w:r>
      <w:r w:rsidR="00B5525F" w:rsidRPr="006F2B6C">
        <w:t>must</w:t>
      </w:r>
      <w:r w:rsidR="00F30ADF" w:rsidRPr="006F2B6C">
        <w:t xml:space="preserve"> go home, wait until they need to poo, and then return to the </w:t>
      </w:r>
      <w:r w:rsidR="00C76FCB" w:rsidRPr="006F2B6C">
        <w:t xml:space="preserve">hospital or GP clinic with their sample, as it can be done on demand, on-site (in a private situation). Thus, rectal swabbing </w:t>
      </w:r>
      <w:r w:rsidR="0017541C" w:rsidRPr="006F2B6C">
        <w:t>can transform clinical practice through earlier diagnosis, shorter length of stay’s and greatly i</w:t>
      </w:r>
      <w:r w:rsidR="002F00F8" w:rsidRPr="006F2B6C">
        <w:t>mproving</w:t>
      </w:r>
      <w:r w:rsidR="0017541C" w:rsidRPr="006F2B6C">
        <w:t xml:space="preserve"> the patient experience.</w:t>
      </w:r>
    </w:p>
    <w:p w14:paraId="0FB41982" w14:textId="2C41E240" w:rsidR="002B11E5" w:rsidRPr="006F2B6C" w:rsidRDefault="002B11E5" w:rsidP="002B11E5">
      <w:pPr>
        <w:pStyle w:val="Heading1"/>
      </w:pPr>
      <w:bookmarkStart w:id="3" w:name="_Toc141712118"/>
      <w:r w:rsidRPr="006F2B6C">
        <w:t>Aims and Outcomes</w:t>
      </w:r>
      <w:bookmarkEnd w:id="3"/>
    </w:p>
    <w:p w14:paraId="4CB6F7D2" w14:textId="77777777" w:rsidR="00FD7DA4" w:rsidRPr="006F2B6C" w:rsidRDefault="00FD7DA4" w:rsidP="000A3AB6">
      <w:pPr>
        <w:rPr>
          <w:b/>
          <w:bCs/>
        </w:rPr>
      </w:pPr>
      <w:r w:rsidRPr="006F2B6C">
        <w:t>This study aims to demonstrate that self-collected or clinician collected rectal swabs are a valid alternative method of testing when compared to bulk faeces testing for a wide range of enteric organisms such as bacteria, viruses and parasitic/protozoans. The intended outcome of this project is to replace bulk faeces testing with rectal swabbing in daily clinical and public health practice.</w:t>
      </w:r>
    </w:p>
    <w:p w14:paraId="4FECC907" w14:textId="4F78147E" w:rsidR="00367629" w:rsidRPr="006F2B6C" w:rsidRDefault="00367629" w:rsidP="00367629">
      <w:pPr>
        <w:pStyle w:val="Heading1"/>
        <w:rPr>
          <w:rFonts w:cs="Arial"/>
        </w:rPr>
      </w:pPr>
      <w:bookmarkStart w:id="4" w:name="_Toc141712119"/>
      <w:r w:rsidRPr="006F2B6C">
        <w:rPr>
          <w:rFonts w:cs="Arial"/>
        </w:rPr>
        <w:t>Methods</w:t>
      </w:r>
      <w:bookmarkEnd w:id="4"/>
    </w:p>
    <w:p w14:paraId="4DA50E13" w14:textId="509AC101" w:rsidR="00FD1139" w:rsidRPr="006F2B6C" w:rsidRDefault="00367629" w:rsidP="000A3AB6">
      <w:pPr>
        <w:rPr>
          <w:b/>
          <w:bCs/>
        </w:rPr>
      </w:pPr>
      <w:r w:rsidRPr="006F2B6C">
        <w:t>We will compare paired stool and rectal swab sample PCR testing to investigate whether rectal swabs are a reliable proxy for faecal sampling.</w:t>
      </w:r>
      <w:r w:rsidR="00FD1139" w:rsidRPr="006F2B6C">
        <w:t xml:space="preserve"> T</w:t>
      </w:r>
      <w:r w:rsidR="00CD7B11" w:rsidRPr="006F2B6C">
        <w:t>ests would be done in accordance with normal clinical practice.</w:t>
      </w:r>
      <w:r w:rsidRPr="006F2B6C">
        <w:t xml:space="preserve"> </w:t>
      </w:r>
      <w:r w:rsidR="0081506D" w:rsidRPr="006F2B6C">
        <w:t xml:space="preserve">Persons who would normally be provided with a faecal specimen jar, will also be provided with a </w:t>
      </w:r>
      <w:r w:rsidR="005012D9" w:rsidRPr="006F2B6C">
        <w:t>rectal swab to perform themselves</w:t>
      </w:r>
      <w:r w:rsidR="00CA0967" w:rsidRPr="006F2B6C">
        <w:t xml:space="preserve"> (within 24 hours </w:t>
      </w:r>
      <w:r w:rsidR="00EE47D5" w:rsidRPr="006F2B6C">
        <w:t>of the</w:t>
      </w:r>
      <w:r w:rsidR="00CA0967" w:rsidRPr="006F2B6C">
        <w:t xml:space="preserve"> faeces collection</w:t>
      </w:r>
      <w:r w:rsidR="00EE47D5" w:rsidRPr="006F2B6C">
        <w:t>, preferably as the first step</w:t>
      </w:r>
      <w:r w:rsidR="00CA0967" w:rsidRPr="006F2B6C">
        <w:t>)</w:t>
      </w:r>
      <w:r w:rsidR="005012D9" w:rsidRPr="006F2B6C">
        <w:t xml:space="preserve">. The person will obtain </w:t>
      </w:r>
      <w:r w:rsidR="00EE40C8" w:rsidRPr="006F2B6C">
        <w:t xml:space="preserve">1x </w:t>
      </w:r>
      <w:r w:rsidR="005012D9" w:rsidRPr="006F2B6C">
        <w:t>f</w:t>
      </w:r>
      <w:r w:rsidR="00323B85" w:rsidRPr="006F2B6C">
        <w:t>ae</w:t>
      </w:r>
      <w:r w:rsidR="005012D9" w:rsidRPr="006F2B6C">
        <w:t xml:space="preserve">cal </w:t>
      </w:r>
      <w:r w:rsidR="00323B85" w:rsidRPr="006F2B6C">
        <w:t>sample</w:t>
      </w:r>
      <w:r w:rsidR="00346E9A" w:rsidRPr="006F2B6C">
        <w:t xml:space="preserve"> and </w:t>
      </w:r>
      <w:r w:rsidR="00EE40C8" w:rsidRPr="006F2B6C">
        <w:t>1x rectal</w:t>
      </w:r>
      <w:r w:rsidR="00346E9A" w:rsidRPr="006F2B6C">
        <w:t xml:space="preserve"> swab sample</w:t>
      </w:r>
      <w:r w:rsidR="008F5067" w:rsidRPr="006F2B6C">
        <w:t>.</w:t>
      </w:r>
      <w:r w:rsidR="00A00C6F" w:rsidRPr="006F2B6C">
        <w:t xml:space="preserve"> </w:t>
      </w:r>
      <w:r w:rsidR="0065766F" w:rsidRPr="006F2B6C">
        <w:t>Rectal swab collection was carried out at the same time as stool sample production and was obtained by self-insertion via the anus to a depth of 2–3 cm and rotated 3</w:t>
      </w:r>
      <w:r w:rsidR="001D6311" w:rsidRPr="006F2B6C">
        <w:t>-5</w:t>
      </w:r>
      <w:r w:rsidR="0065766F" w:rsidRPr="006F2B6C">
        <w:t xml:space="preserve"> times</w:t>
      </w:r>
      <w:r w:rsidR="001D6311" w:rsidRPr="006F2B6C">
        <w:t xml:space="preserve"> and ensure it is soiled</w:t>
      </w:r>
      <w:r w:rsidR="0065766F" w:rsidRPr="006F2B6C">
        <w:t>. Faecal samples and rectal swabs w</w:t>
      </w:r>
      <w:r w:rsidR="00607966" w:rsidRPr="006F2B6C">
        <w:t>ill be</w:t>
      </w:r>
      <w:r w:rsidR="0065766F" w:rsidRPr="006F2B6C">
        <w:t xml:space="preserve"> </w:t>
      </w:r>
      <w:r w:rsidR="00607966" w:rsidRPr="006F2B6C">
        <w:t xml:space="preserve">returned to a local hospital </w:t>
      </w:r>
      <w:r w:rsidR="00DA23E9" w:rsidRPr="006F2B6C">
        <w:t>to be sent to Pathology Queensland</w:t>
      </w:r>
      <w:r w:rsidR="0065766F" w:rsidRPr="006F2B6C">
        <w:t xml:space="preserve">. </w:t>
      </w:r>
      <w:r w:rsidR="00014928" w:rsidRPr="006F2B6C">
        <w:t>These will be sent to FSS for paired sample testing of Hepatitis A</w:t>
      </w:r>
      <w:r w:rsidR="00040C23">
        <w:t xml:space="preserve"> </w:t>
      </w:r>
      <w:r w:rsidR="00040C23" w:rsidRPr="00040C23">
        <w:rPr>
          <w:color w:val="FF0000"/>
        </w:rPr>
        <w:t>or E</w:t>
      </w:r>
      <w:r w:rsidR="00014928" w:rsidRPr="00040C23">
        <w:rPr>
          <w:color w:val="FF0000"/>
        </w:rPr>
        <w:t xml:space="preserve"> </w:t>
      </w:r>
      <w:r w:rsidR="00014928" w:rsidRPr="006F2B6C">
        <w:t xml:space="preserve">PCR </w:t>
      </w:r>
      <w:r w:rsidR="008F5067" w:rsidRPr="006F2B6C">
        <w:t xml:space="preserve">if they are part of a </w:t>
      </w:r>
      <w:r w:rsidR="007C0C7A" w:rsidRPr="006F2B6C">
        <w:t>Hepatitis A</w:t>
      </w:r>
      <w:r w:rsidR="00040C23">
        <w:t xml:space="preserve"> </w:t>
      </w:r>
      <w:r w:rsidR="00040C23" w:rsidRPr="00040C23">
        <w:rPr>
          <w:color w:val="FF0000"/>
        </w:rPr>
        <w:t>or E</w:t>
      </w:r>
      <w:r w:rsidR="007C0C7A" w:rsidRPr="00040C23">
        <w:rPr>
          <w:color w:val="FF0000"/>
        </w:rPr>
        <w:t xml:space="preserve"> </w:t>
      </w:r>
      <w:r w:rsidR="007C0C7A" w:rsidRPr="006F2B6C">
        <w:t>cluster</w:t>
      </w:r>
      <w:r w:rsidR="002F0CD4" w:rsidRPr="006F2B6C">
        <w:t>.</w:t>
      </w:r>
      <w:r w:rsidR="007C0C7A" w:rsidRPr="006F2B6C">
        <w:t xml:space="preserve"> </w:t>
      </w:r>
      <w:r w:rsidR="004A44E7" w:rsidRPr="006F2B6C">
        <w:t>The samples will be sent to Pathology Queensland for m</w:t>
      </w:r>
      <w:r w:rsidR="007C0C7A" w:rsidRPr="006F2B6C">
        <w:t>ultiplex PCR</w:t>
      </w:r>
      <w:r w:rsidR="00607966" w:rsidRPr="006F2B6C">
        <w:t xml:space="preserve"> assays</w:t>
      </w:r>
      <w:r w:rsidR="007C0C7A" w:rsidRPr="006F2B6C">
        <w:t xml:space="preserve"> for a range of organisms</w:t>
      </w:r>
      <w:r w:rsidR="00B57A8D" w:rsidRPr="006F2B6C">
        <w:t xml:space="preserve"> (including norovirus)</w:t>
      </w:r>
      <w:r w:rsidR="007C0C7A" w:rsidRPr="006F2B6C">
        <w:t xml:space="preserve"> if the</w:t>
      </w:r>
      <w:r w:rsidR="00FE00DC" w:rsidRPr="006F2B6C">
        <w:t xml:space="preserve"> setting is in community settings or hospital and not part of an outbreak</w:t>
      </w:r>
      <w:r w:rsidR="00014928" w:rsidRPr="006F2B6C">
        <w:t>.</w:t>
      </w:r>
      <w:r w:rsidR="00FD1139" w:rsidRPr="006F2B6C">
        <w:t xml:space="preserve"> </w:t>
      </w:r>
    </w:p>
    <w:p w14:paraId="62A34779" w14:textId="445AB2D4" w:rsidR="00B57A8D" w:rsidRPr="006F2B6C" w:rsidRDefault="00B57A8D" w:rsidP="00B57A8D">
      <w:pPr>
        <w:rPr>
          <w:b/>
          <w:bCs/>
        </w:rPr>
      </w:pPr>
      <w:r w:rsidRPr="006F2B6C">
        <w:rPr>
          <w:b/>
          <w:bCs/>
        </w:rPr>
        <w:t>Organisms to be tested for by Pathology Queensland:</w:t>
      </w:r>
    </w:p>
    <w:p w14:paraId="0730B857" w14:textId="18991715" w:rsidR="00EF316A" w:rsidRPr="006F2B6C" w:rsidRDefault="00EF316A" w:rsidP="00EF316A">
      <w:r w:rsidRPr="006F2B6C">
        <w:rPr>
          <w:b/>
          <w:bCs/>
        </w:rPr>
        <w:t>GI-Bacteria(I) Assay</w:t>
      </w:r>
      <w:r w:rsidRPr="006F2B6C">
        <w:t xml:space="preserve"> (hereafter called ‘Bacteria Panel I’)</w:t>
      </w:r>
    </w:p>
    <w:p w14:paraId="0EDD88C3" w14:textId="75D8C8B7" w:rsidR="00EF316A" w:rsidRPr="006F2B6C" w:rsidRDefault="00EF316A" w:rsidP="00EF316A">
      <w:r w:rsidRPr="006F2B6C">
        <w:t xml:space="preserve">Shigella spp./ </w:t>
      </w:r>
      <w:proofErr w:type="spellStart"/>
      <w:r w:rsidRPr="006F2B6C">
        <w:t>Enteroinvasive</w:t>
      </w:r>
      <w:proofErr w:type="spellEnd"/>
      <w:r w:rsidRPr="006F2B6C">
        <w:t xml:space="preserve"> Escherichia coli (</w:t>
      </w:r>
      <w:proofErr w:type="spellStart"/>
      <w:r w:rsidRPr="006F2B6C">
        <w:t>Sh</w:t>
      </w:r>
      <w:proofErr w:type="spellEnd"/>
      <w:r w:rsidRPr="006F2B6C">
        <w:t>/EI), Campylobacter spp. (CAM), Yersinia enterocolitica (YER). Vibrio spp. (VIB), Clostridium difficile toxin B (</w:t>
      </w:r>
      <w:proofErr w:type="spellStart"/>
      <w:r w:rsidRPr="006F2B6C">
        <w:t>CdB</w:t>
      </w:r>
      <w:proofErr w:type="spellEnd"/>
      <w:r w:rsidRPr="006F2B6C">
        <w:t>), Aeromonas spp. (AER), Salmonella spp. (SAL)</w:t>
      </w:r>
    </w:p>
    <w:p w14:paraId="63D451C4" w14:textId="0BCC7AFA" w:rsidR="00EF316A" w:rsidRPr="006F2B6C" w:rsidRDefault="00EF316A" w:rsidP="00EF316A">
      <w:r w:rsidRPr="006F2B6C">
        <w:rPr>
          <w:b/>
          <w:bCs/>
        </w:rPr>
        <w:t>GI-Virus Assay</w:t>
      </w:r>
      <w:r w:rsidRPr="006F2B6C">
        <w:t xml:space="preserve"> (hereafter called ‘Virus Panel’):</w:t>
      </w:r>
    </w:p>
    <w:p w14:paraId="71648EE7" w14:textId="49C5FE5D" w:rsidR="00EF316A" w:rsidRPr="006F2B6C" w:rsidRDefault="00EF316A" w:rsidP="00EF316A">
      <w:r w:rsidRPr="006F2B6C">
        <w:t xml:space="preserve">Norovirus genotype I (NVG1), Norovirus genotype II (NVG2), Rotavirus A (ROV), Adenovirus F (Serotype 40/41) (ADV-F), Astrovirus (ASV), </w:t>
      </w:r>
      <w:proofErr w:type="spellStart"/>
      <w:r w:rsidRPr="006F2B6C">
        <w:t>Sapovirus</w:t>
      </w:r>
      <w:proofErr w:type="spellEnd"/>
      <w:r w:rsidRPr="006F2B6C">
        <w:t xml:space="preserve"> (Genogroups G1, 2, 4, 5) (SV)</w:t>
      </w:r>
    </w:p>
    <w:p w14:paraId="39CB1FBE" w14:textId="3E968537" w:rsidR="00EF316A" w:rsidRPr="006F2B6C" w:rsidRDefault="00EF316A" w:rsidP="00EF316A">
      <w:r w:rsidRPr="006F2B6C">
        <w:rPr>
          <w:b/>
          <w:bCs/>
        </w:rPr>
        <w:lastRenderedPageBreak/>
        <w:t>GI-Parasite Assay</w:t>
      </w:r>
      <w:r w:rsidRPr="006F2B6C">
        <w:t xml:space="preserve"> (hereafter called ‘Parasite Panel’):</w:t>
      </w:r>
    </w:p>
    <w:p w14:paraId="09B2FD02" w14:textId="5C13210E" w:rsidR="00B57A8D" w:rsidRPr="006F2B6C" w:rsidRDefault="00EF316A" w:rsidP="00EF316A">
      <w:r w:rsidRPr="006F2B6C">
        <w:t xml:space="preserve">Giardia lamblia (GL), Entamoeba histolytica (EH), Cryptosporidium spp. (CR), Blastocystis hominis (BH), </w:t>
      </w:r>
      <w:proofErr w:type="spellStart"/>
      <w:r w:rsidRPr="006F2B6C">
        <w:t>Dientamoeba</w:t>
      </w:r>
      <w:proofErr w:type="spellEnd"/>
      <w:r w:rsidRPr="006F2B6C">
        <w:t xml:space="preserve"> fragilis (DF), Cyclospora </w:t>
      </w:r>
      <w:proofErr w:type="spellStart"/>
      <w:r w:rsidRPr="006F2B6C">
        <w:t>cayetanensis</w:t>
      </w:r>
      <w:proofErr w:type="spellEnd"/>
      <w:r w:rsidRPr="006F2B6C">
        <w:t xml:space="preserve"> (CC)</w:t>
      </w:r>
    </w:p>
    <w:p w14:paraId="3D2CE87C" w14:textId="4D877F16" w:rsidR="0009685F" w:rsidRPr="006F2B6C" w:rsidRDefault="009A287C" w:rsidP="009A287C">
      <w:pPr>
        <w:pStyle w:val="Heading2"/>
      </w:pPr>
      <w:r w:rsidRPr="006F2B6C">
        <w:t xml:space="preserve">Test </w:t>
      </w:r>
      <w:r w:rsidR="0039134B" w:rsidRPr="006F2B6C">
        <w:t xml:space="preserve">Transport, Storage and </w:t>
      </w:r>
      <w:r w:rsidRPr="006F2B6C">
        <w:t>Results</w:t>
      </w:r>
    </w:p>
    <w:p w14:paraId="59EC676D" w14:textId="5F4E5C2E" w:rsidR="004429E6" w:rsidRPr="006F2B6C" w:rsidRDefault="004429E6" w:rsidP="00EF316A">
      <w:r w:rsidRPr="006F2B6C">
        <w:t>The bulk faeces specimen and the rectal swab will be transported at 4</w:t>
      </w:r>
      <w:r w:rsidRPr="006F2B6C">
        <w:rPr>
          <w:rFonts w:cs="Arial"/>
        </w:rPr>
        <w:t>°</w:t>
      </w:r>
      <w:r w:rsidRPr="006F2B6C">
        <w:t>C and be retained for minimum 1 month as per standard laboratory protocols for such materials. A small sample (aliquot) of the bulk faeces specimen and the rectal swab will be retained for minimum 1 year after submission, or until the end of the project (whichever is later).</w:t>
      </w:r>
    </w:p>
    <w:p w14:paraId="449B9041" w14:textId="1737FCDD" w:rsidR="0009685F" w:rsidRPr="006F2B6C" w:rsidRDefault="009A287C" w:rsidP="00EF316A">
      <w:r w:rsidRPr="006F2B6C">
        <w:t xml:space="preserve">The bulk faeces </w:t>
      </w:r>
      <w:r w:rsidR="00DA10FE" w:rsidRPr="006F2B6C">
        <w:t xml:space="preserve">test will be the test that will be reported on for positive or negative test results. </w:t>
      </w:r>
      <w:r w:rsidR="0009685F" w:rsidRPr="006F2B6C">
        <w:t>For sample</w:t>
      </w:r>
      <w:r w:rsidR="00FF04FE" w:rsidRPr="006F2B6C">
        <w:t>s that are discordant (</w:t>
      </w:r>
      <w:proofErr w:type="gramStart"/>
      <w:r w:rsidR="00FF04FE" w:rsidRPr="006F2B6C">
        <w:t>e.g.</w:t>
      </w:r>
      <w:proofErr w:type="gramEnd"/>
      <w:r w:rsidR="00FF04FE" w:rsidRPr="006F2B6C">
        <w:t xml:space="preserve"> swab negative but bulk faeces positive</w:t>
      </w:r>
      <w:r w:rsidRPr="006F2B6C">
        <w:t xml:space="preserve"> for organism</w:t>
      </w:r>
      <w:r w:rsidR="00FF04FE" w:rsidRPr="006F2B6C">
        <w:t>, or vice versa)</w:t>
      </w:r>
      <w:r w:rsidR="004C1CB7" w:rsidRPr="006F2B6C">
        <w:t>, the bulk faeces will be deemed the accurate test. Since bulk faeces is amenable to retesting</w:t>
      </w:r>
      <w:r w:rsidRPr="006F2B6C">
        <w:t xml:space="preserve">, the sample will be retested if the bulk faeces </w:t>
      </w:r>
      <w:proofErr w:type="gramStart"/>
      <w:r w:rsidRPr="006F2B6C">
        <w:t>is</w:t>
      </w:r>
      <w:proofErr w:type="gramEnd"/>
      <w:r w:rsidRPr="006F2B6C">
        <w:t xml:space="preserve"> negative and the swab is positive for the organism.</w:t>
      </w:r>
    </w:p>
    <w:p w14:paraId="733965E0" w14:textId="2CEF4BC3" w:rsidR="0009685F" w:rsidRPr="006F2B6C" w:rsidRDefault="00763D24" w:rsidP="00EF316A">
      <w:r w:rsidRPr="006F2B6C">
        <w:t>The treating clinician will be blinded to the results of the swab. However, the treating clinician will not be blinded to the bulk faeces test and will be responsible for reporting the result to the patient.</w:t>
      </w:r>
    </w:p>
    <w:p w14:paraId="084D9C19" w14:textId="76208A26" w:rsidR="00DF3DE8" w:rsidRPr="006F2B6C" w:rsidRDefault="00DF3DE8" w:rsidP="00DF3DE8">
      <w:pPr>
        <w:pStyle w:val="Heading2"/>
        <w:rPr>
          <w:rFonts w:cs="Arial"/>
        </w:rPr>
      </w:pPr>
      <w:bookmarkStart w:id="5" w:name="_Toc141712120"/>
      <w:r w:rsidRPr="006F2B6C">
        <w:rPr>
          <w:rFonts w:cs="Arial"/>
        </w:rPr>
        <w:t>Timeline</w:t>
      </w:r>
      <w:bookmarkEnd w:id="5"/>
    </w:p>
    <w:p w14:paraId="706A9CA6" w14:textId="6CD90917" w:rsidR="00DF3DE8" w:rsidRPr="006F2B6C" w:rsidRDefault="00DF3DE8" w:rsidP="00DF3DE8">
      <w:pPr>
        <w:rPr>
          <w:rFonts w:cs="Arial"/>
        </w:rPr>
      </w:pPr>
      <w:r w:rsidRPr="006F2B6C">
        <w:rPr>
          <w:rFonts w:cs="Arial"/>
        </w:rPr>
        <w:t xml:space="preserve">The expectations are that we will obtain </w:t>
      </w:r>
      <w:r w:rsidR="008E32CB" w:rsidRPr="006F2B6C">
        <w:rPr>
          <w:rFonts w:cs="Arial"/>
        </w:rPr>
        <w:t xml:space="preserve">an average of 3-6 swabs per week by public health nurses. </w:t>
      </w:r>
      <w:r w:rsidR="00853547" w:rsidRPr="006F2B6C">
        <w:rPr>
          <w:rFonts w:cs="Arial"/>
        </w:rPr>
        <w:t xml:space="preserve">Some situations, such as outbreaks or mass gathering events will allow for greater numbers of swabs to be collected </w:t>
      </w:r>
      <w:r w:rsidR="00713EE9" w:rsidRPr="006F2B6C">
        <w:rPr>
          <w:rFonts w:cs="Arial"/>
        </w:rPr>
        <w:t xml:space="preserve">in a </w:t>
      </w:r>
      <w:r w:rsidR="00C921B4" w:rsidRPr="006F2B6C">
        <w:rPr>
          <w:rFonts w:cs="Arial"/>
        </w:rPr>
        <w:t xml:space="preserve">small timeframe. Outside of these events, paired testing will occur in the hospital, in </w:t>
      </w:r>
      <w:r w:rsidR="00763974" w:rsidRPr="006F2B6C">
        <w:rPr>
          <w:rFonts w:cs="Arial"/>
        </w:rPr>
        <w:t xml:space="preserve">collaboration </w:t>
      </w:r>
      <w:r w:rsidR="00C921B4" w:rsidRPr="006F2B6C">
        <w:rPr>
          <w:rFonts w:cs="Arial"/>
        </w:rPr>
        <w:t xml:space="preserve">with our </w:t>
      </w:r>
      <w:r w:rsidR="00763974" w:rsidRPr="006F2B6C">
        <w:rPr>
          <w:rFonts w:cs="Arial"/>
        </w:rPr>
        <w:t xml:space="preserve">Infectious Diseases team. For example, </w:t>
      </w:r>
      <w:r w:rsidR="00E8176E" w:rsidRPr="006F2B6C">
        <w:rPr>
          <w:rFonts w:cs="Arial"/>
        </w:rPr>
        <w:t xml:space="preserve">if a patient has been identified on the ward of needing </w:t>
      </w:r>
      <w:r w:rsidR="00DC5000" w:rsidRPr="006F2B6C">
        <w:rPr>
          <w:rFonts w:cs="Arial"/>
        </w:rPr>
        <w:t xml:space="preserve">a </w:t>
      </w:r>
      <w:r w:rsidR="009E2A5C" w:rsidRPr="006F2B6C">
        <w:rPr>
          <w:rFonts w:cs="Arial"/>
        </w:rPr>
        <w:t xml:space="preserve">sample, </w:t>
      </w:r>
      <w:r w:rsidR="00124ED6" w:rsidRPr="006F2B6C">
        <w:rPr>
          <w:rFonts w:cs="Arial"/>
        </w:rPr>
        <w:t>the study nurse would ensure the appropriate channels are followed: consenting the patient, ensuring the right samples are obtained, and ensuring their transport to the</w:t>
      </w:r>
      <w:r w:rsidR="005370BC" w:rsidRPr="006F2B6C">
        <w:rPr>
          <w:rFonts w:cs="Arial"/>
        </w:rPr>
        <w:t xml:space="preserve"> appropriate lab for testing.</w:t>
      </w:r>
      <w:r w:rsidR="00124ED6" w:rsidRPr="006F2B6C">
        <w:rPr>
          <w:rFonts w:cs="Arial"/>
        </w:rPr>
        <w:t xml:space="preserve"> </w:t>
      </w:r>
    </w:p>
    <w:p w14:paraId="212BBA57" w14:textId="77777777" w:rsidR="00645394" w:rsidRPr="006F2B6C" w:rsidRDefault="00645394" w:rsidP="00DF3DE8">
      <w:pPr>
        <w:rPr>
          <w:rFonts w:cs="Arial"/>
        </w:rPr>
      </w:pPr>
    </w:p>
    <w:p w14:paraId="0CE58C68" w14:textId="7131AFDD" w:rsidR="00645394" w:rsidRPr="006F2B6C" w:rsidRDefault="00645394" w:rsidP="00645394">
      <w:pPr>
        <w:pStyle w:val="ListParagraph"/>
        <w:numPr>
          <w:ilvl w:val="0"/>
          <w:numId w:val="5"/>
        </w:numPr>
      </w:pPr>
      <w:r w:rsidRPr="006F2B6C">
        <w:t xml:space="preserve">Year 1 (Q1 &amp; Q2) – Administration and onboarding, ethics and </w:t>
      </w:r>
      <w:proofErr w:type="gramStart"/>
      <w:r w:rsidRPr="006F2B6C">
        <w:t>site specific</w:t>
      </w:r>
      <w:proofErr w:type="gramEnd"/>
      <w:r w:rsidRPr="006F2B6C">
        <w:t xml:space="preserve"> agreements. Expecting a maximum of 50 paired samples (approx. 2/week). Interim analysis #1 for completed samples. Consumer engagement meeting #1. </w:t>
      </w:r>
    </w:p>
    <w:p w14:paraId="5D48307F" w14:textId="1A34A2CE" w:rsidR="00645394" w:rsidRPr="006F2B6C" w:rsidRDefault="00645394" w:rsidP="00645394">
      <w:pPr>
        <w:pStyle w:val="ListParagraph"/>
        <w:numPr>
          <w:ilvl w:val="0"/>
          <w:numId w:val="5"/>
        </w:numPr>
      </w:pPr>
      <w:r w:rsidRPr="006F2B6C">
        <w:t xml:space="preserve">Year 1 (Q3 &amp; Q4) – Interim analysis and quality review to be translated to research team practice and crossing of the </w:t>
      </w:r>
      <w:proofErr w:type="gramStart"/>
      <w:r w:rsidRPr="006F2B6C">
        <w:t>100 sample</w:t>
      </w:r>
      <w:proofErr w:type="gramEnd"/>
      <w:r w:rsidRPr="006F2B6C">
        <w:t xml:space="preserve"> milestone (reach 4 samples/week).</w:t>
      </w:r>
    </w:p>
    <w:p w14:paraId="35795340" w14:textId="70567381" w:rsidR="00645394" w:rsidRPr="006F2B6C" w:rsidRDefault="00645394" w:rsidP="00645394">
      <w:pPr>
        <w:pStyle w:val="ListParagraph"/>
        <w:numPr>
          <w:ilvl w:val="0"/>
          <w:numId w:val="5"/>
        </w:numPr>
      </w:pPr>
      <w:r w:rsidRPr="006F2B6C">
        <w:t xml:space="preserve">Year 2 (Q1 &amp; Q2) – Reach 6 samples per week on average cross the </w:t>
      </w:r>
      <w:proofErr w:type="gramStart"/>
      <w:r w:rsidRPr="006F2B6C">
        <w:t>250 sample</w:t>
      </w:r>
      <w:proofErr w:type="gramEnd"/>
      <w:r w:rsidRPr="006F2B6C">
        <w:t xml:space="preserve"> milestone. Interim analysis #2 and quality review to be translated to research team practice. Consumer engagement meeting #2, and ethics report.</w:t>
      </w:r>
    </w:p>
    <w:p w14:paraId="0A7B934C" w14:textId="3F99FE52" w:rsidR="00645394" w:rsidRPr="006F2B6C" w:rsidRDefault="00645394" w:rsidP="00645394">
      <w:pPr>
        <w:pStyle w:val="ListParagraph"/>
        <w:numPr>
          <w:ilvl w:val="0"/>
          <w:numId w:val="5"/>
        </w:numPr>
      </w:pPr>
      <w:r w:rsidRPr="006F2B6C">
        <w:t xml:space="preserve">Year 2 (Q3 &amp; Q4) – Continue 6 samples per week on average and cross the </w:t>
      </w:r>
      <w:proofErr w:type="gramStart"/>
      <w:r w:rsidRPr="006F2B6C">
        <w:t>400 sample</w:t>
      </w:r>
      <w:proofErr w:type="gramEnd"/>
      <w:r w:rsidRPr="006F2B6C">
        <w:t xml:space="preserve"> milestone.</w:t>
      </w:r>
    </w:p>
    <w:p w14:paraId="41CE844E" w14:textId="11BE5D58" w:rsidR="00645394" w:rsidRPr="006F2B6C" w:rsidRDefault="00645394" w:rsidP="00645394">
      <w:pPr>
        <w:pStyle w:val="ListParagraph"/>
        <w:numPr>
          <w:ilvl w:val="0"/>
          <w:numId w:val="5"/>
        </w:numPr>
      </w:pPr>
      <w:r w:rsidRPr="006F2B6C">
        <w:t xml:space="preserve">Year 3 (Q1 &amp; Q2) – Continue 6 samples per week, reaching up to 550-600 samples. Aim for hard closure of study by the end of Q2, to provide lag time for lab testing to occur. </w:t>
      </w:r>
    </w:p>
    <w:p w14:paraId="2AB678EE" w14:textId="4F0FAC5E" w:rsidR="00645394" w:rsidRPr="006F2B6C" w:rsidRDefault="00645394" w:rsidP="00645394">
      <w:pPr>
        <w:pStyle w:val="ListParagraph"/>
        <w:numPr>
          <w:ilvl w:val="0"/>
          <w:numId w:val="5"/>
        </w:numPr>
      </w:pPr>
      <w:r w:rsidRPr="006F2B6C">
        <w:t>Year 3 (Q3 &amp; Q4) – Feedback to consumer engagement team, final analyses and report, and dissemination plan including media releases, travel to key conferences (</w:t>
      </w:r>
      <w:proofErr w:type="gramStart"/>
      <w:r w:rsidRPr="006F2B6C">
        <w:t>e.g.</w:t>
      </w:r>
      <w:proofErr w:type="gramEnd"/>
      <w:r w:rsidRPr="006F2B6C">
        <w:t xml:space="preserve"> CDIC, RACP/RACS meetings, Surgical/Medical conferences. The final publication will be aimed for the Medical Journal of Australia.</w:t>
      </w:r>
    </w:p>
    <w:p w14:paraId="3A87F598" w14:textId="77777777" w:rsidR="00645394" w:rsidRPr="006F2B6C" w:rsidRDefault="00645394" w:rsidP="00DF3DE8">
      <w:pPr>
        <w:rPr>
          <w:rFonts w:cs="Arial"/>
        </w:rPr>
      </w:pPr>
    </w:p>
    <w:p w14:paraId="71F8D347" w14:textId="17A55A88" w:rsidR="002B7BC7" w:rsidRPr="006F2B6C" w:rsidRDefault="005803CF" w:rsidP="00B5372B">
      <w:pPr>
        <w:pStyle w:val="Heading3"/>
      </w:pPr>
      <w:r w:rsidRPr="006F2B6C">
        <w:lastRenderedPageBreak/>
        <w:t>Milestones</w:t>
      </w:r>
    </w:p>
    <w:p w14:paraId="05A69094" w14:textId="3FE63115" w:rsidR="002B7BC7" w:rsidRPr="006F2B6C" w:rsidRDefault="00645394" w:rsidP="002B7BC7">
      <w:r w:rsidRPr="006F2B6C">
        <w:t xml:space="preserve">Milestone 1. </w:t>
      </w:r>
      <w:r w:rsidR="00C65F0B" w:rsidRPr="006F2B6C">
        <w:t xml:space="preserve">Ethics, onboarding research </w:t>
      </w:r>
      <w:r w:rsidR="009221A8" w:rsidRPr="006F2B6C">
        <w:t>coordinator and consumer engagement group #1</w:t>
      </w:r>
      <w:r w:rsidRPr="006F2B6C">
        <w:t>. Month 1-</w:t>
      </w:r>
      <w:r w:rsidR="009221A8" w:rsidRPr="006F2B6C">
        <w:t>6</w:t>
      </w:r>
    </w:p>
    <w:p w14:paraId="7E3E976A" w14:textId="3EC2EFD4" w:rsidR="009221A8" w:rsidRPr="006F2B6C" w:rsidRDefault="009221A8" w:rsidP="009221A8">
      <w:r w:rsidRPr="006F2B6C">
        <w:t>Milestone 2. First 50 samples with interim analysis</w:t>
      </w:r>
      <w:r w:rsidR="00DE6B20" w:rsidRPr="006F2B6C">
        <w:t xml:space="preserve"> and quality assurance translated to practice</w:t>
      </w:r>
      <w:r w:rsidR="006A21BB" w:rsidRPr="006F2B6C">
        <w:t>.</w:t>
      </w:r>
      <w:r w:rsidRPr="006F2B6C">
        <w:t xml:space="preserve"> Month 3-6</w:t>
      </w:r>
    </w:p>
    <w:p w14:paraId="7EFDC922" w14:textId="01F71472" w:rsidR="006A21BB" w:rsidRPr="006F2B6C" w:rsidRDefault="006A21BB" w:rsidP="006A21BB">
      <w:r w:rsidRPr="006F2B6C">
        <w:t xml:space="preserve">Milestone 3. Average 6 samples </w:t>
      </w:r>
      <w:r w:rsidR="00180398" w:rsidRPr="006F2B6C">
        <w:t xml:space="preserve">taken </w:t>
      </w:r>
      <w:r w:rsidRPr="006F2B6C">
        <w:t xml:space="preserve">per week. Month </w:t>
      </w:r>
      <w:r w:rsidR="00180398" w:rsidRPr="006F2B6C">
        <w:t>9</w:t>
      </w:r>
      <w:r w:rsidR="00A175B0" w:rsidRPr="006F2B6C">
        <w:t>-</w:t>
      </w:r>
      <w:r w:rsidR="00180398" w:rsidRPr="006F2B6C">
        <w:t>12</w:t>
      </w:r>
    </w:p>
    <w:p w14:paraId="0EDFC725" w14:textId="560D48B7" w:rsidR="00C83E6B" w:rsidRPr="006F2B6C" w:rsidRDefault="00C83E6B" w:rsidP="006A21BB">
      <w:r w:rsidRPr="006F2B6C">
        <w:t xml:space="preserve">Milestone 4. </w:t>
      </w:r>
      <w:r w:rsidR="00895957" w:rsidRPr="006F2B6C">
        <w:t>First 250 samples taken</w:t>
      </w:r>
      <w:r w:rsidR="00DE6B20" w:rsidRPr="006F2B6C">
        <w:t>, interim analysis #2 completed</w:t>
      </w:r>
      <w:r w:rsidR="002B11A6" w:rsidRPr="006F2B6C">
        <w:t>. Month 18-24</w:t>
      </w:r>
    </w:p>
    <w:p w14:paraId="28A1E3B7" w14:textId="3CB1BC8E" w:rsidR="005A3C72" w:rsidRPr="006F2B6C" w:rsidRDefault="005A3C72" w:rsidP="006A21BB">
      <w:r w:rsidRPr="006F2B6C">
        <w:t xml:space="preserve">Milestone 5. </w:t>
      </w:r>
      <w:r w:rsidR="002B11A6" w:rsidRPr="006F2B6C">
        <w:t xml:space="preserve">Over 400 samples taken. Month </w:t>
      </w:r>
      <w:r w:rsidR="0038148F" w:rsidRPr="006F2B6C">
        <w:t>30</w:t>
      </w:r>
    </w:p>
    <w:p w14:paraId="69B8C7A6" w14:textId="55CA1665" w:rsidR="00C65F0B" w:rsidRPr="006F2B6C" w:rsidRDefault="0038148F" w:rsidP="002B7BC7">
      <w:r w:rsidRPr="006F2B6C">
        <w:t xml:space="preserve">Milestone </w:t>
      </w:r>
      <w:r w:rsidR="00FA1F87" w:rsidRPr="006F2B6C">
        <w:t xml:space="preserve">6. </w:t>
      </w:r>
      <w:r w:rsidR="00BD518F" w:rsidRPr="006F2B6C">
        <w:t xml:space="preserve">Final report written and submitted to major </w:t>
      </w:r>
      <w:proofErr w:type="gramStart"/>
      <w:r w:rsidR="00BD518F" w:rsidRPr="006F2B6C">
        <w:t>journal</w:t>
      </w:r>
      <w:proofErr w:type="gramEnd"/>
    </w:p>
    <w:p w14:paraId="7D080D0F" w14:textId="77777777" w:rsidR="00C65F0B" w:rsidRPr="006F2B6C" w:rsidRDefault="00C65F0B" w:rsidP="002B7BC7"/>
    <w:p w14:paraId="05EE938C" w14:textId="20836AC4" w:rsidR="00367629" w:rsidRPr="006F2B6C" w:rsidRDefault="00367629" w:rsidP="0081506D">
      <w:pPr>
        <w:pStyle w:val="Heading2"/>
        <w:rPr>
          <w:rFonts w:cs="Arial"/>
        </w:rPr>
      </w:pPr>
      <w:bookmarkStart w:id="6" w:name="_Toc141712121"/>
      <w:r w:rsidRPr="006F2B6C">
        <w:rPr>
          <w:rFonts w:cs="Arial"/>
        </w:rPr>
        <w:t>Sample Size</w:t>
      </w:r>
      <w:bookmarkEnd w:id="6"/>
    </w:p>
    <w:p w14:paraId="6E14F57C" w14:textId="45E10794" w:rsidR="00225039" w:rsidRPr="006F2B6C" w:rsidRDefault="00437760" w:rsidP="000A3AB6">
      <w:r w:rsidRPr="006F2B6C">
        <w:t xml:space="preserve">A sample size analyses with a wide range of input parameters (see Figure 1), demonstrates that </w:t>
      </w:r>
      <w:r w:rsidR="00495BB2" w:rsidRPr="006F2B6C">
        <w:t xml:space="preserve">less than 600 samples will be sufficient. </w:t>
      </w:r>
      <w:r w:rsidR="00D2284C" w:rsidRPr="006F2B6C">
        <w:t xml:space="preserve">If we assume that 35% of samples will contain an organism (“proportion positive”) with </w:t>
      </w:r>
      <w:r w:rsidR="00960EA4" w:rsidRPr="006F2B6C">
        <w:t xml:space="preserve">expecting a sensitivity of </w:t>
      </w:r>
      <w:r w:rsidR="005558E8" w:rsidRPr="006F2B6C">
        <w:t>at least</w:t>
      </w:r>
      <w:r w:rsidR="00960EA4" w:rsidRPr="006F2B6C">
        <w:t xml:space="preserve"> 95% (“sensitivity priors”) </w:t>
      </w:r>
      <w:proofErr w:type="gramStart"/>
      <w:r w:rsidR="005558E8" w:rsidRPr="006F2B6C">
        <w:t>means</w:t>
      </w:r>
      <w:proofErr w:type="gramEnd"/>
      <w:r w:rsidR="005558E8" w:rsidRPr="006F2B6C">
        <w:t xml:space="preserve"> we will require a </w:t>
      </w:r>
      <w:r w:rsidR="00191AC2" w:rsidRPr="006F2B6C">
        <w:t>sample size of no more than 300 paired samples.</w:t>
      </w:r>
    </w:p>
    <w:p w14:paraId="6079443B" w14:textId="2827A07B" w:rsidR="005236A6" w:rsidRPr="006F2B6C" w:rsidRDefault="007B3A5A" w:rsidP="000A3AB6">
      <w:r w:rsidRPr="006F2B6C">
        <w:t xml:space="preserve">The smaller the resources that </w:t>
      </w:r>
      <w:r w:rsidR="005236A6" w:rsidRPr="006F2B6C">
        <w:t>the team has (</w:t>
      </w:r>
      <w:proofErr w:type="gramStart"/>
      <w:r w:rsidR="005236A6" w:rsidRPr="006F2B6C">
        <w:t>e.g.</w:t>
      </w:r>
      <w:proofErr w:type="gramEnd"/>
      <w:r w:rsidR="005236A6" w:rsidRPr="006F2B6C">
        <w:t xml:space="preserve"> funding), the higher the pre-test probability at the time of test </w:t>
      </w:r>
      <w:r w:rsidR="001C22B7" w:rsidRPr="006F2B6C">
        <w:t>must be to estimate with confidence</w:t>
      </w:r>
      <w:r w:rsidR="000C2873" w:rsidRPr="006F2B6C">
        <w:t xml:space="preserve"> (see figure 1)</w:t>
      </w:r>
      <w:r w:rsidR="005236A6" w:rsidRPr="006F2B6C">
        <w:t xml:space="preserve">. For example, </w:t>
      </w:r>
      <w:r w:rsidR="001C22B7" w:rsidRPr="006F2B6C">
        <w:t xml:space="preserve">if we only have funding for 40 persons tested, we </w:t>
      </w:r>
      <w:proofErr w:type="gramStart"/>
      <w:r w:rsidR="001C22B7" w:rsidRPr="006F2B6C">
        <w:t>would</w:t>
      </w:r>
      <w:proofErr w:type="gramEnd"/>
      <w:r w:rsidR="001C22B7" w:rsidRPr="006F2B6C">
        <w:t xml:space="preserve"> elect to test persons with clear known linkages to a person with the illness (symptomatic family member of someone diagnosed with norovirus)</w:t>
      </w:r>
      <w:r w:rsidR="00E74DC1" w:rsidRPr="006F2B6C">
        <w:t>, or we would perform clearance testing in persons with known disease</w:t>
      </w:r>
      <w:r w:rsidR="00E47FE7" w:rsidRPr="006F2B6C">
        <w:t xml:space="preserve"> using these methods (the guidelines call for clearance testing for a variety of illnesses)</w:t>
      </w:r>
      <w:r w:rsidR="00DA62A8" w:rsidRPr="006F2B6C">
        <w:t xml:space="preserve">. </w:t>
      </w:r>
      <w:r w:rsidR="00672108" w:rsidRPr="006F2B6C">
        <w:t>If we have more funding, testing can approximate normal clinical encounters and have less restrictive criteria for testing.</w:t>
      </w:r>
      <w:r w:rsidR="00401BCE" w:rsidRPr="006F2B6C">
        <w:t xml:space="preserve"> If the funding is limited to 40 samples, we will </w:t>
      </w:r>
      <w:r w:rsidR="005632E7" w:rsidRPr="006F2B6C">
        <w:t>endeavour</w:t>
      </w:r>
      <w:r w:rsidR="00401BCE" w:rsidRPr="006F2B6C">
        <w:t xml:space="preserve"> to </w:t>
      </w:r>
      <w:r w:rsidR="005632E7" w:rsidRPr="006F2B6C">
        <w:t>control the testing method, aiming for in-clinic self-testing.</w:t>
      </w:r>
    </w:p>
    <w:p w14:paraId="1DE0AD68" w14:textId="77777777" w:rsidR="00524CA5" w:rsidRPr="006F2B6C" w:rsidRDefault="00524CA5" w:rsidP="000A3AB6"/>
    <w:p w14:paraId="11CF5312" w14:textId="05113E29" w:rsidR="00524CA5" w:rsidRPr="006F2B6C" w:rsidRDefault="00524CA5" w:rsidP="000A3AB6">
      <w:r w:rsidRPr="006F2B6C">
        <w:rPr>
          <w:noProof/>
        </w:rPr>
        <w:lastRenderedPageBreak/>
        <w:drawing>
          <wp:inline distT="0" distB="0" distL="0" distR="0" wp14:anchorId="018A6737" wp14:editId="017EA504">
            <wp:extent cx="5731510" cy="36836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683635"/>
                    </a:xfrm>
                    <a:prstGeom prst="rect">
                      <a:avLst/>
                    </a:prstGeom>
                  </pic:spPr>
                </pic:pic>
              </a:graphicData>
            </a:graphic>
          </wp:inline>
        </w:drawing>
      </w:r>
    </w:p>
    <w:p w14:paraId="2A503CAB" w14:textId="092075AD" w:rsidR="00247CEB" w:rsidRPr="006F2B6C" w:rsidRDefault="00191AC2" w:rsidP="000A3AB6">
      <w:r w:rsidRPr="006F2B6C">
        <w:rPr>
          <w:b/>
          <w:bCs/>
        </w:rPr>
        <w:t>Figure 1. Sample size analysis</w:t>
      </w:r>
      <w:r w:rsidRPr="006F2B6C">
        <w:t xml:space="preserve"> using a range of parameters. The “Sensitivity priors” represents the approximate </w:t>
      </w:r>
      <w:r w:rsidR="006A0B64" w:rsidRPr="006F2B6C">
        <w:t>expected sensitivity of our method, and the “proportion positive” represents the proportion of samples that will contain an organism, which also means that should test positive.</w:t>
      </w:r>
    </w:p>
    <w:p w14:paraId="19D782AB" w14:textId="77777777" w:rsidR="00191AC2" w:rsidRPr="006F2B6C" w:rsidRDefault="00191AC2" w:rsidP="000A3AB6"/>
    <w:p w14:paraId="2CFFD4C7" w14:textId="27FD6067" w:rsidR="00B5372B" w:rsidRPr="006F2B6C" w:rsidRDefault="00B5372B" w:rsidP="000A3AB6">
      <w:r w:rsidRPr="006F2B6C">
        <w:rPr>
          <w:noProof/>
        </w:rPr>
        <w:lastRenderedPageBreak/>
        <w:drawing>
          <wp:inline distT="0" distB="0" distL="0" distR="0" wp14:anchorId="3E6814BA" wp14:editId="5D110879">
            <wp:extent cx="5731510" cy="4048760"/>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4048760"/>
                    </a:xfrm>
                    <a:prstGeom prst="rect">
                      <a:avLst/>
                    </a:prstGeom>
                  </pic:spPr>
                </pic:pic>
              </a:graphicData>
            </a:graphic>
          </wp:inline>
        </w:drawing>
      </w:r>
    </w:p>
    <w:p w14:paraId="3FEDD91E" w14:textId="7C83651A" w:rsidR="002E1B84" w:rsidRPr="006F2B6C" w:rsidRDefault="00B5372B" w:rsidP="000A3AB6">
      <w:r w:rsidRPr="006F2B6C">
        <w:rPr>
          <w:b/>
          <w:bCs/>
        </w:rPr>
        <w:t>Figure 2.</w:t>
      </w:r>
      <w:r w:rsidRPr="006F2B6C">
        <w:t xml:space="preserve"> </w:t>
      </w:r>
      <w:r w:rsidR="002E1B84" w:rsidRPr="006F2B6C">
        <w:t>Cost modelling for the project.</w:t>
      </w:r>
      <w:r w:rsidR="00C33287" w:rsidRPr="006F2B6C">
        <w:t xml:space="preserve"> </w:t>
      </w:r>
      <w:r w:rsidR="00CE22D2" w:rsidRPr="006F2B6C">
        <w:t xml:space="preserve">Ideally, only one assay will be needed to be used. </w:t>
      </w:r>
      <w:r w:rsidR="00C33287" w:rsidRPr="006F2B6C">
        <w:t xml:space="preserve">No cost buffers included. </w:t>
      </w:r>
    </w:p>
    <w:p w14:paraId="43B8AA7E" w14:textId="7F7CAA04" w:rsidR="00C80FA1" w:rsidRPr="006F2B6C" w:rsidRDefault="00C80FA1" w:rsidP="00DF3DE8">
      <w:pPr>
        <w:pStyle w:val="Heading2"/>
        <w:rPr>
          <w:rFonts w:cs="Arial"/>
        </w:rPr>
      </w:pPr>
      <w:bookmarkStart w:id="7" w:name="_Toc141712122"/>
      <w:r w:rsidRPr="006F2B6C">
        <w:rPr>
          <w:rFonts w:cs="Arial"/>
        </w:rPr>
        <w:t>Recruitment</w:t>
      </w:r>
      <w:bookmarkEnd w:id="7"/>
    </w:p>
    <w:p w14:paraId="30120231" w14:textId="6FB600AC" w:rsidR="001E4164" w:rsidRPr="006F2B6C" w:rsidRDefault="001E4164" w:rsidP="00C80FA1">
      <w:r w:rsidRPr="006F2B6C">
        <w:t>There are only two identified regions for recruiting participants, the Sunshine Coast Hospital and Health Service and the Central Queensland Hospital and Health Service.</w:t>
      </w:r>
    </w:p>
    <w:p w14:paraId="010417B2" w14:textId="7A8895C8" w:rsidR="00C80FA1" w:rsidRPr="006F2B6C" w:rsidRDefault="00322C56" w:rsidP="00C80FA1">
      <w:r w:rsidRPr="006F2B6C">
        <w:t>The r</w:t>
      </w:r>
      <w:r w:rsidR="003E097E" w:rsidRPr="006F2B6C">
        <w:t xml:space="preserve">ecruitment </w:t>
      </w:r>
      <w:r w:rsidRPr="006F2B6C">
        <w:t>strategy</w:t>
      </w:r>
      <w:r w:rsidR="003E097E" w:rsidRPr="006F2B6C">
        <w:t xml:space="preserve"> will be multifaceted to obtain </w:t>
      </w:r>
      <w:r w:rsidR="00CF1D2E" w:rsidRPr="006F2B6C">
        <w:t xml:space="preserve">samples from a range of </w:t>
      </w:r>
      <w:r w:rsidR="00B13E39" w:rsidRPr="006F2B6C">
        <w:t xml:space="preserve">representative clinical settings, </w:t>
      </w:r>
      <w:proofErr w:type="gramStart"/>
      <w:r w:rsidR="00B13E39" w:rsidRPr="006F2B6C">
        <w:t>e.g.</w:t>
      </w:r>
      <w:proofErr w:type="gramEnd"/>
      <w:r w:rsidR="00B13E39" w:rsidRPr="006F2B6C">
        <w:t xml:space="preserve"> outbreaks, community and </w:t>
      </w:r>
      <w:r w:rsidR="00540E29" w:rsidRPr="006F2B6C">
        <w:t>in-hospital.</w:t>
      </w:r>
      <w:r w:rsidR="00884648" w:rsidRPr="006F2B6C">
        <w:t xml:space="preserve"> </w:t>
      </w:r>
      <w:r w:rsidR="00BB7C0D" w:rsidRPr="006F2B6C">
        <w:t xml:space="preserve">The strategy will involve a central study coordinator supporting acquisition of samples, coordinating the multiple sources. </w:t>
      </w:r>
      <w:r w:rsidR="003852D8" w:rsidRPr="006F2B6C">
        <w:t xml:space="preserve">For outbreaks, the study coordinator will be able to send </w:t>
      </w:r>
      <w:r w:rsidR="009E5A5D" w:rsidRPr="006F2B6C">
        <w:t xml:space="preserve">via express post, </w:t>
      </w:r>
      <w:r w:rsidR="003852D8" w:rsidRPr="006F2B6C">
        <w:t xml:space="preserve">samples to the patient, family, and/or </w:t>
      </w:r>
      <w:r w:rsidR="009E5A5D" w:rsidRPr="006F2B6C">
        <w:t xml:space="preserve">symptomatic members of an outbreak. In community settings, the study coordinator can obtain </w:t>
      </w:r>
      <w:r w:rsidR="000B25C5" w:rsidRPr="006F2B6C">
        <w:t xml:space="preserve">samples from GP practices </w:t>
      </w:r>
      <w:r w:rsidR="0063300E" w:rsidRPr="006F2B6C">
        <w:t xml:space="preserve">that are seeing patients </w:t>
      </w:r>
      <w:r w:rsidR="00453332" w:rsidRPr="006F2B6C">
        <w:t>recently</w:t>
      </w:r>
      <w:r w:rsidR="0063300E" w:rsidRPr="006F2B6C">
        <w:t xml:space="preserve"> seen as inpatients </w:t>
      </w:r>
      <w:r w:rsidR="00453332" w:rsidRPr="006F2B6C">
        <w:t xml:space="preserve">in hospital – identified </w:t>
      </w:r>
      <w:r w:rsidR="00884648" w:rsidRPr="006F2B6C">
        <w:t>from</w:t>
      </w:r>
      <w:r w:rsidR="00453332" w:rsidRPr="006F2B6C">
        <w:t xml:space="preserve"> admission lists, or our </w:t>
      </w:r>
      <w:r w:rsidR="00230043" w:rsidRPr="006F2B6C">
        <w:t>I</w:t>
      </w:r>
      <w:r w:rsidR="00453332" w:rsidRPr="006F2B6C">
        <w:t xml:space="preserve">nfectious </w:t>
      </w:r>
      <w:r w:rsidR="00230043" w:rsidRPr="006F2B6C">
        <w:t>D</w:t>
      </w:r>
      <w:r w:rsidR="00453332" w:rsidRPr="006F2B6C">
        <w:t xml:space="preserve">iseases </w:t>
      </w:r>
      <w:r w:rsidR="00230043" w:rsidRPr="006F2B6C">
        <w:t xml:space="preserve">Physician study collaborators. </w:t>
      </w:r>
      <w:r w:rsidR="00617E56" w:rsidRPr="006F2B6C">
        <w:t xml:space="preserve">Inpatients, especially those which represent persons </w:t>
      </w:r>
      <w:r w:rsidR="00501C2E" w:rsidRPr="006F2B6C">
        <w:t>with</w:t>
      </w:r>
      <w:r w:rsidR="00617E56" w:rsidRPr="006F2B6C">
        <w:t xml:space="preserve"> a high</w:t>
      </w:r>
      <w:r w:rsidR="004C21D6" w:rsidRPr="006F2B6C">
        <w:t xml:space="preserve"> pre</w:t>
      </w:r>
      <w:r w:rsidR="00501C2E" w:rsidRPr="006F2B6C">
        <w:t>-</w:t>
      </w:r>
      <w:r w:rsidR="004C21D6" w:rsidRPr="006F2B6C">
        <w:t>test probability</w:t>
      </w:r>
      <w:r w:rsidR="00501C2E" w:rsidRPr="006F2B6C">
        <w:t>, will be identified, recruited</w:t>
      </w:r>
      <w:r w:rsidR="005E504E" w:rsidRPr="006F2B6C">
        <w:t xml:space="preserve"> via their treating practitioner</w:t>
      </w:r>
      <w:r w:rsidR="00340EC7" w:rsidRPr="006F2B6C">
        <w:t>,</w:t>
      </w:r>
      <w:r w:rsidR="00501C2E" w:rsidRPr="006F2B6C">
        <w:t xml:space="preserve"> and </w:t>
      </w:r>
      <w:r w:rsidR="00340EC7" w:rsidRPr="006F2B6C">
        <w:t xml:space="preserve">then </w:t>
      </w:r>
      <w:r w:rsidR="00501C2E" w:rsidRPr="006F2B6C">
        <w:t xml:space="preserve">consented to take part in the study. </w:t>
      </w:r>
      <w:r w:rsidR="006342BB" w:rsidRPr="006F2B6C">
        <w:t>Consent will be performed verbally over the phone by a study coordinator</w:t>
      </w:r>
      <w:r w:rsidR="00F35AD9" w:rsidRPr="006F2B6C">
        <w:t xml:space="preserve"> (records kept locally)</w:t>
      </w:r>
      <w:r w:rsidR="006342BB" w:rsidRPr="006F2B6C">
        <w:t xml:space="preserve">, and/or with a physical </w:t>
      </w:r>
      <w:r w:rsidR="00A9073B" w:rsidRPr="006F2B6C">
        <w:t>form sent in a return envelope.</w:t>
      </w:r>
    </w:p>
    <w:p w14:paraId="39B27DF2" w14:textId="72800CBA" w:rsidR="000B5A42" w:rsidRPr="006F2B6C" w:rsidRDefault="000B5A42" w:rsidP="00C80FA1">
      <w:r w:rsidRPr="006F2B6C">
        <w:t>Inclusion criteria includes:</w:t>
      </w:r>
    </w:p>
    <w:p w14:paraId="73C6E489" w14:textId="3390223D" w:rsidR="00975EE7" w:rsidRPr="006F2B6C" w:rsidRDefault="000A3137" w:rsidP="000B5A42">
      <w:pPr>
        <w:pStyle w:val="ListParagraph"/>
        <w:numPr>
          <w:ilvl w:val="0"/>
          <w:numId w:val="6"/>
        </w:numPr>
      </w:pPr>
      <w:r w:rsidRPr="006F2B6C">
        <w:t xml:space="preserve">Persons aged 18 and </w:t>
      </w:r>
      <w:proofErr w:type="gramStart"/>
      <w:r w:rsidRPr="006F2B6C">
        <w:t>older</w:t>
      </w:r>
      <w:proofErr w:type="gramEnd"/>
    </w:p>
    <w:p w14:paraId="172DAF18" w14:textId="3B7E52C1" w:rsidR="00975EE7" w:rsidRPr="006F2B6C" w:rsidRDefault="00671ED5" w:rsidP="000B5A42">
      <w:pPr>
        <w:pStyle w:val="ListParagraph"/>
        <w:numPr>
          <w:ilvl w:val="0"/>
          <w:numId w:val="6"/>
        </w:numPr>
      </w:pPr>
      <w:r w:rsidRPr="006F2B6C">
        <w:t xml:space="preserve">Able to consent </w:t>
      </w:r>
      <w:r w:rsidR="0030426A" w:rsidRPr="006F2B6C">
        <w:t xml:space="preserve">to </w:t>
      </w:r>
      <w:r w:rsidRPr="006F2B6C">
        <w:t>and perform the</w:t>
      </w:r>
      <w:r w:rsidR="0030426A" w:rsidRPr="006F2B6C">
        <w:t xml:space="preserve"> additional</w:t>
      </w:r>
      <w:r w:rsidRPr="006F2B6C">
        <w:t xml:space="preserve"> </w:t>
      </w:r>
      <w:r w:rsidR="0030426A" w:rsidRPr="006F2B6C">
        <w:t xml:space="preserve">rectal swab </w:t>
      </w:r>
      <w:r w:rsidRPr="006F2B6C">
        <w:t xml:space="preserve">test. </w:t>
      </w:r>
    </w:p>
    <w:p w14:paraId="6DF307B5" w14:textId="68C104C3" w:rsidR="000B5A42" w:rsidRPr="006F2B6C" w:rsidRDefault="000360DC" w:rsidP="000B5A42">
      <w:pPr>
        <w:pStyle w:val="ListParagraph"/>
        <w:numPr>
          <w:ilvl w:val="0"/>
          <w:numId w:val="6"/>
        </w:numPr>
      </w:pPr>
      <w:r w:rsidRPr="006F2B6C">
        <w:t>Close contact</w:t>
      </w:r>
      <w:r w:rsidR="00BC634D" w:rsidRPr="006F2B6C">
        <w:t xml:space="preserve"> or </w:t>
      </w:r>
      <w:r w:rsidR="00D439A7" w:rsidRPr="006F2B6C">
        <w:t>person exposed</w:t>
      </w:r>
      <w:r w:rsidRPr="006F2B6C">
        <w:t xml:space="preserve">, suspected or </w:t>
      </w:r>
      <w:r w:rsidR="009A6E62" w:rsidRPr="006F2B6C">
        <w:t xml:space="preserve">confirmed </w:t>
      </w:r>
      <w:r w:rsidRPr="006F2B6C">
        <w:t>case</w:t>
      </w:r>
      <w:r w:rsidR="00D439A7" w:rsidRPr="006F2B6C">
        <w:t xml:space="preserve"> associated with an</w:t>
      </w:r>
      <w:r w:rsidR="008B1ACE" w:rsidRPr="006F2B6C">
        <w:t xml:space="preserve"> outbreak of an enteric organism</w:t>
      </w:r>
      <w:r w:rsidR="00D439A7" w:rsidRPr="006F2B6C">
        <w:t xml:space="preserve">. </w:t>
      </w:r>
      <w:proofErr w:type="gramStart"/>
      <w:r w:rsidR="00D439A7" w:rsidRPr="006F2B6C">
        <w:t>E.g.</w:t>
      </w:r>
      <w:proofErr w:type="gramEnd"/>
      <w:r w:rsidR="00D439A7" w:rsidRPr="006F2B6C">
        <w:t xml:space="preserve"> hepatitis A outbreak</w:t>
      </w:r>
      <w:r w:rsidR="00707478" w:rsidRPr="006F2B6C">
        <w:t xml:space="preserve">, </w:t>
      </w:r>
      <w:proofErr w:type="spellStart"/>
      <w:r w:rsidR="00707478" w:rsidRPr="006F2B6C">
        <w:t>foodbourne</w:t>
      </w:r>
      <w:proofErr w:type="spellEnd"/>
      <w:r w:rsidR="00707478" w:rsidRPr="006F2B6C">
        <w:t xml:space="preserve"> outbreak</w:t>
      </w:r>
      <w:r w:rsidR="00BC634D" w:rsidRPr="006F2B6C">
        <w:t>.</w:t>
      </w:r>
    </w:p>
    <w:p w14:paraId="1C8BFE9E" w14:textId="783992B9" w:rsidR="00BC634D" w:rsidRPr="006F2B6C" w:rsidRDefault="00BC634D" w:rsidP="000B5A42">
      <w:pPr>
        <w:pStyle w:val="ListParagraph"/>
        <w:numPr>
          <w:ilvl w:val="0"/>
          <w:numId w:val="6"/>
        </w:numPr>
      </w:pPr>
      <w:r w:rsidRPr="006F2B6C">
        <w:t>Chronic carrier of an enteric organism that requires testing</w:t>
      </w:r>
      <w:r w:rsidR="000A3137" w:rsidRPr="006F2B6C">
        <w:t>.</w:t>
      </w:r>
    </w:p>
    <w:p w14:paraId="6084BB65" w14:textId="2FF3D8FB" w:rsidR="00671ED5" w:rsidRPr="006F2B6C" w:rsidRDefault="009A6E62" w:rsidP="006D190D">
      <w:pPr>
        <w:pStyle w:val="ListParagraph"/>
        <w:numPr>
          <w:ilvl w:val="0"/>
          <w:numId w:val="6"/>
        </w:numPr>
      </w:pPr>
      <w:r w:rsidRPr="006F2B6C">
        <w:lastRenderedPageBreak/>
        <w:t>Person involved in a clinical encounter where they are</w:t>
      </w:r>
      <w:r w:rsidR="00BC2C21" w:rsidRPr="006F2B6C">
        <w:t>,</w:t>
      </w:r>
      <w:r w:rsidR="008277BB" w:rsidRPr="006F2B6C">
        <w:t xml:space="preserve"> or </w:t>
      </w:r>
      <w:r w:rsidR="00BC2C21" w:rsidRPr="006F2B6C">
        <w:t>likely</w:t>
      </w:r>
      <w:r w:rsidRPr="006F2B6C">
        <w:t xml:space="preserve"> suffering from a</w:t>
      </w:r>
      <w:r w:rsidR="00BC2C21" w:rsidRPr="006F2B6C">
        <w:t xml:space="preserve"> disease caused by an</w:t>
      </w:r>
      <w:r w:rsidRPr="006F2B6C">
        <w:t xml:space="preserve"> enteric organism</w:t>
      </w:r>
      <w:r w:rsidR="008277BB" w:rsidRPr="006F2B6C">
        <w:t>.</w:t>
      </w:r>
      <w:r w:rsidR="003C3D4A" w:rsidRPr="006F2B6C">
        <w:t xml:space="preserve"> (</w:t>
      </w:r>
      <w:proofErr w:type="gramStart"/>
      <w:r w:rsidR="003C3D4A" w:rsidRPr="006F2B6C">
        <w:t>E.g.</w:t>
      </w:r>
      <w:proofErr w:type="gramEnd"/>
      <w:r w:rsidR="003C3D4A" w:rsidRPr="006F2B6C">
        <w:t xml:space="preserve"> person presenting to </w:t>
      </w:r>
      <w:r w:rsidR="00A6434D" w:rsidRPr="006F2B6C">
        <w:t>the GP or Emergency Department</w:t>
      </w:r>
      <w:r w:rsidR="003C3D4A" w:rsidRPr="006F2B6C">
        <w:t xml:space="preserve"> with </w:t>
      </w:r>
      <w:r w:rsidR="00F872C1" w:rsidRPr="006F2B6C">
        <w:t xml:space="preserve">diarrhoea or </w:t>
      </w:r>
      <w:r w:rsidR="00A6434D" w:rsidRPr="006F2B6C">
        <w:t>jaundice)</w:t>
      </w:r>
    </w:p>
    <w:p w14:paraId="36F29313" w14:textId="0D869C89" w:rsidR="006D190D" w:rsidRPr="006F2B6C" w:rsidRDefault="006D190D" w:rsidP="006D190D">
      <w:r w:rsidRPr="006F2B6C">
        <w:t>Exclusion Criteria</w:t>
      </w:r>
    </w:p>
    <w:p w14:paraId="4C0BA7ED" w14:textId="67A0F0B9" w:rsidR="006D190D" w:rsidRPr="006F2B6C" w:rsidRDefault="006D190D" w:rsidP="006D190D">
      <w:pPr>
        <w:pStyle w:val="ListParagraph"/>
        <w:numPr>
          <w:ilvl w:val="0"/>
          <w:numId w:val="7"/>
        </w:numPr>
      </w:pPr>
      <w:r w:rsidRPr="006F2B6C">
        <w:t xml:space="preserve">Persons unlikely (as judged by the clinician) </w:t>
      </w:r>
      <w:r w:rsidR="0030426A" w:rsidRPr="006F2B6C">
        <w:t xml:space="preserve">to be </w:t>
      </w:r>
      <w:r w:rsidR="009843A8" w:rsidRPr="006F2B6C">
        <w:t>harbouring</w:t>
      </w:r>
      <w:r w:rsidR="0030426A" w:rsidRPr="006F2B6C">
        <w:t xml:space="preserve"> an enteric organism</w:t>
      </w:r>
      <w:r w:rsidR="00A6434D" w:rsidRPr="006F2B6C">
        <w:t>.</w:t>
      </w:r>
    </w:p>
    <w:p w14:paraId="081CF27C" w14:textId="10D21D84" w:rsidR="00D44658" w:rsidRPr="006F2B6C" w:rsidRDefault="00D44658" w:rsidP="00111E52">
      <w:pPr>
        <w:pStyle w:val="Heading2"/>
      </w:pPr>
      <w:bookmarkStart w:id="8" w:name="_Toc141712123"/>
      <w:r w:rsidRPr="006F2B6C">
        <w:t>Follow-up</w:t>
      </w:r>
    </w:p>
    <w:p w14:paraId="02A07655" w14:textId="77777777" w:rsidR="00D96272" w:rsidRPr="006F2B6C" w:rsidRDefault="00D44658" w:rsidP="00D44658">
      <w:r w:rsidRPr="006F2B6C">
        <w:t>Each person will receive a follow-up phone call after the test has been complete</w:t>
      </w:r>
      <w:r w:rsidR="00B636FE" w:rsidRPr="006F2B6C">
        <w:t xml:space="preserve">d. This is as part of usual clinical practice, but we will ask if the </w:t>
      </w:r>
      <w:r w:rsidR="000D58D1" w:rsidRPr="006F2B6C">
        <w:t>person:</w:t>
      </w:r>
    </w:p>
    <w:p w14:paraId="428A5F3B" w14:textId="5B00578B" w:rsidR="00D44658" w:rsidRPr="006F2B6C" w:rsidRDefault="00D96272" w:rsidP="00D96272">
      <w:pPr>
        <w:pStyle w:val="ListParagraph"/>
        <w:numPr>
          <w:ilvl w:val="0"/>
          <w:numId w:val="9"/>
        </w:numPr>
      </w:pPr>
      <w:r w:rsidRPr="006F2B6C">
        <w:t>H</w:t>
      </w:r>
      <w:r w:rsidR="000D58D1" w:rsidRPr="006F2B6C">
        <w:t>ad an adverse event during or after the testing</w:t>
      </w:r>
      <w:r w:rsidRPr="006F2B6C">
        <w:t>, and the nature of the event.</w:t>
      </w:r>
    </w:p>
    <w:p w14:paraId="348247F6" w14:textId="2D5C1B30" w:rsidR="00D96272" w:rsidRPr="006F2B6C" w:rsidRDefault="00C348F7" w:rsidP="00D96272">
      <w:pPr>
        <w:pStyle w:val="ListParagraph"/>
        <w:numPr>
          <w:ilvl w:val="0"/>
          <w:numId w:val="9"/>
        </w:numPr>
      </w:pPr>
      <w:r w:rsidRPr="006F2B6C">
        <w:t>Which test did you prefer? And follow-up with why</w:t>
      </w:r>
      <w:r w:rsidR="00AA263D" w:rsidRPr="006F2B6C">
        <w:t>.</w:t>
      </w:r>
    </w:p>
    <w:p w14:paraId="6D2CD6EA" w14:textId="62C3AEFC" w:rsidR="00671ED5" w:rsidRPr="006F2B6C" w:rsidRDefault="00111E52" w:rsidP="00111E52">
      <w:pPr>
        <w:pStyle w:val="Heading2"/>
      </w:pPr>
      <w:r w:rsidRPr="006F2B6C">
        <w:t>Consent Process</w:t>
      </w:r>
      <w:bookmarkEnd w:id="8"/>
    </w:p>
    <w:p w14:paraId="3CC157BB" w14:textId="40976310" w:rsidR="001A30CD" w:rsidRPr="006F2B6C" w:rsidRDefault="001A30CD" w:rsidP="00E42199">
      <w:r w:rsidRPr="006F2B6C">
        <w:t xml:space="preserve">In </w:t>
      </w:r>
      <w:r w:rsidR="005C1549" w:rsidRPr="006F2B6C">
        <w:t>all</w:t>
      </w:r>
      <w:r w:rsidRPr="006F2B6C">
        <w:t xml:space="preserve"> study settings, the potential participant will be asked by the treating clinician for consent to be contacted by the study coordinator. After which the study coordinator will contact the person to obtain consent.</w:t>
      </w:r>
    </w:p>
    <w:p w14:paraId="067E8FAB" w14:textId="3E903155" w:rsidR="00E42199" w:rsidRPr="006F2B6C" w:rsidRDefault="00E42199" w:rsidP="00E42199">
      <w:r w:rsidRPr="006F2B6C">
        <w:t xml:space="preserve">There will be two ways that a participant can consent to participating (verbal, written). Verbal consent will be obtained over the phone with a study coordinator or study nurse, as is commonly done in outbreak situations. The study nurse will read the patient information sheet to the participant over the phone, ensures the participant understands the process and will document this in a database held on Queensland Health servers. The testing pack will be sent to the participant and will include the patient information sheet about the study and all contact details for questions about the study. Furthermore, implicit consent will occur when the participant obtains both samples (the participant can decline to participate by not providing the rectal swab) and returns one or both samples to the pathology laboratory. </w:t>
      </w:r>
    </w:p>
    <w:p w14:paraId="405A403B" w14:textId="76830C64" w:rsidR="00E42199" w:rsidRPr="006F2B6C" w:rsidRDefault="00E42199" w:rsidP="00E42199">
      <w:r w:rsidRPr="006F2B6C">
        <w:t>If the testing is done in person (a study clinician is present), verbal, written and implicit consent (the patient will obtain the sample themselves and return it to the study coordinator) will be obtained using the patient information sheet, signature document kept, with a copy offered to the participant.</w:t>
      </w:r>
    </w:p>
    <w:p w14:paraId="77E9F4CA" w14:textId="1B8ECFF9" w:rsidR="000951A3" w:rsidRPr="006F2B6C" w:rsidRDefault="00E42199" w:rsidP="00111E52">
      <w:r w:rsidRPr="006F2B6C">
        <w:t>Opting out of the study will be possible for participants at all stages of the study, up until the analysis of the research. For example, a participant may agree to participation over the phone, then, once they receive the full pack with the Patient Information Sheet, and they read over it in detail, they can withdraw from the study by calling us and withdrawing, or, not sending the rectal swab, and then withdrawing after we check in with them after the rectal swab was not returned.</w:t>
      </w:r>
    </w:p>
    <w:p w14:paraId="18FCCD6F" w14:textId="7228D553" w:rsidR="0004443E" w:rsidRPr="006F2B6C" w:rsidRDefault="0004443E" w:rsidP="0004443E">
      <w:pPr>
        <w:pStyle w:val="Heading3"/>
      </w:pPr>
      <w:r w:rsidRPr="006F2B6C">
        <w:t>Risks and Harm</w:t>
      </w:r>
    </w:p>
    <w:p w14:paraId="2CAA66EF" w14:textId="32A47537" w:rsidR="0004443E" w:rsidRPr="006F2B6C" w:rsidRDefault="0004443E" w:rsidP="00111E52">
      <w:r w:rsidRPr="006F2B6C">
        <w:t>The key concerning harm</w:t>
      </w:r>
      <w:r w:rsidR="00371666" w:rsidRPr="006F2B6C">
        <w:t xml:space="preserve"> is accidental stigmatization. Stigmatization can </w:t>
      </w:r>
      <w:r w:rsidR="00570C68" w:rsidRPr="006F2B6C">
        <w:t xml:space="preserve">occur if someone accidentally assumes that the rectal swabbing is for a </w:t>
      </w:r>
      <w:r w:rsidR="0081595D" w:rsidRPr="006F2B6C">
        <w:t xml:space="preserve">sexually transmitted infection of the buttock. Rectal swabs can be used in rare situations to swab for sexually transmitted infections </w:t>
      </w:r>
      <w:r w:rsidR="001E2E9E" w:rsidRPr="006F2B6C">
        <w:t xml:space="preserve">acquired during anal intercourse. </w:t>
      </w:r>
      <w:r w:rsidR="007C0086" w:rsidRPr="006F2B6C">
        <w:t>The risk of this is quite low</w:t>
      </w:r>
      <w:r w:rsidR="00BD00DF" w:rsidRPr="006F2B6C">
        <w:t>, even without safeguards in place</w:t>
      </w:r>
      <w:r w:rsidR="009018B9" w:rsidRPr="006F2B6C">
        <w:t xml:space="preserve"> as f</w:t>
      </w:r>
      <w:r w:rsidR="00BD00DF" w:rsidRPr="006F2B6C">
        <w:t xml:space="preserve">ew people, even in the health community know that rectal swabs are often used for sexually acquired infections. </w:t>
      </w:r>
      <w:r w:rsidR="009018B9" w:rsidRPr="006F2B6C">
        <w:t xml:space="preserve">To safeguard against this, the swabs will be </w:t>
      </w:r>
      <w:r w:rsidR="00C803F5" w:rsidRPr="006F2B6C">
        <w:t xml:space="preserve">given or </w:t>
      </w:r>
      <w:r w:rsidR="009018B9" w:rsidRPr="006F2B6C">
        <w:t xml:space="preserve">sent to the </w:t>
      </w:r>
      <w:r w:rsidR="00C803F5" w:rsidRPr="006F2B6C">
        <w:t xml:space="preserve">participant in </w:t>
      </w:r>
      <w:r w:rsidR="00936A63" w:rsidRPr="006F2B6C">
        <w:t>opaque</w:t>
      </w:r>
      <w:r w:rsidR="00C803F5" w:rsidRPr="006F2B6C">
        <w:t xml:space="preserve"> envelopes</w:t>
      </w:r>
      <w:r w:rsidR="00936A63" w:rsidRPr="006F2B6C">
        <w:t xml:space="preserve">, and the pathology forms will be labelled appropriately </w:t>
      </w:r>
      <w:r w:rsidR="00B939D5" w:rsidRPr="006F2B6C">
        <w:t xml:space="preserve">with correct symptomatology in the “clinical notes” section </w:t>
      </w:r>
      <w:proofErr w:type="gramStart"/>
      <w:r w:rsidR="00B939D5" w:rsidRPr="006F2B6C">
        <w:t>i.e.</w:t>
      </w:r>
      <w:proofErr w:type="gramEnd"/>
      <w:r w:rsidR="00B939D5" w:rsidRPr="006F2B6C">
        <w:t xml:space="preserve"> </w:t>
      </w:r>
      <w:r w:rsidR="006D3800" w:rsidRPr="006F2B6C">
        <w:lastRenderedPageBreak/>
        <w:t>“</w:t>
      </w:r>
      <w:r w:rsidR="00B939D5" w:rsidRPr="006F2B6C">
        <w:t>gastroenteritis/diarrhoea/</w:t>
      </w:r>
      <w:r w:rsidR="006D3800" w:rsidRPr="006F2B6C">
        <w:t xml:space="preserve">suspected foodborne illness/Hepatitis A outbreak etc”, as appropriate. </w:t>
      </w:r>
    </w:p>
    <w:p w14:paraId="52B32ABB" w14:textId="6C8C64FF" w:rsidR="009A6AA9" w:rsidRPr="006F2B6C" w:rsidRDefault="009A6AA9" w:rsidP="009A6AA9">
      <w:pPr>
        <w:pStyle w:val="Heading2"/>
      </w:pPr>
      <w:r w:rsidRPr="006F2B6C">
        <w:t>Data storage</w:t>
      </w:r>
      <w:r w:rsidR="007B3470" w:rsidRPr="006F2B6C">
        <w:t>, access and de-identification</w:t>
      </w:r>
    </w:p>
    <w:p w14:paraId="3445E702" w14:textId="4BAB02C8" w:rsidR="009A6AA9" w:rsidRPr="006F2B6C" w:rsidRDefault="00094FB5" w:rsidP="009A6AA9">
      <w:r w:rsidRPr="006F2B6C">
        <w:t>This study will collect data related to routine clinical practice (bulk faeces testing), a</w:t>
      </w:r>
      <w:r w:rsidR="00F3227E" w:rsidRPr="006F2B6C">
        <w:t xml:space="preserve">s well as </w:t>
      </w:r>
      <w:r w:rsidR="00D315FE" w:rsidRPr="006F2B6C">
        <w:t xml:space="preserve">research data (rectal swab results). The results of these tests will be </w:t>
      </w:r>
      <w:r w:rsidR="006E7067" w:rsidRPr="006F2B6C">
        <w:t xml:space="preserve">kept in a clinical database (AUSLAB, within Queensland Pathology) as well as </w:t>
      </w:r>
      <w:r w:rsidR="000E5115" w:rsidRPr="006F2B6C">
        <w:t xml:space="preserve">within local study databases (Excel spreadsheets or Redcap Databases) for operational and analytical purposes. </w:t>
      </w:r>
      <w:r w:rsidR="00B00E46" w:rsidRPr="006F2B6C">
        <w:t xml:space="preserve">At all times, data will be kept within Queensland Health databases and will not be shared with external </w:t>
      </w:r>
      <w:r w:rsidR="002A12ED" w:rsidRPr="006F2B6C">
        <w:t xml:space="preserve">entities. </w:t>
      </w:r>
      <w:r w:rsidR="002563A2" w:rsidRPr="006F2B6C">
        <w:t xml:space="preserve">Only Queensland Health </w:t>
      </w:r>
      <w:r w:rsidR="00027E01" w:rsidRPr="006F2B6C">
        <w:t xml:space="preserve">staff (includes Pathology Queensland, and Forensic Scientific Services) will have access to the </w:t>
      </w:r>
      <w:r w:rsidR="00315055" w:rsidRPr="006F2B6C">
        <w:t>clinical and research data.</w:t>
      </w:r>
    </w:p>
    <w:p w14:paraId="0A8F73F0" w14:textId="378F3504" w:rsidR="00E86BD5" w:rsidRPr="006F2B6C" w:rsidRDefault="002A12ED" w:rsidP="00E86BD5">
      <w:r w:rsidRPr="006F2B6C">
        <w:t>Data will be de-identified prior to proceeding to the statistical analysis</w:t>
      </w:r>
      <w:r w:rsidR="00E86BD5" w:rsidRPr="006F2B6C">
        <w:rPr>
          <w:b/>
          <w:bCs/>
        </w:rPr>
        <w:t xml:space="preserve"> </w:t>
      </w:r>
      <w:r w:rsidR="00E86BD5" w:rsidRPr="006F2B6C">
        <w:t>in accordance with</w:t>
      </w:r>
      <w:r w:rsidR="00E86BD5" w:rsidRPr="006F2B6C">
        <w:rPr>
          <w:b/>
          <w:bCs/>
        </w:rPr>
        <w:t xml:space="preserve"> </w:t>
      </w:r>
      <w:r w:rsidR="00E86BD5" w:rsidRPr="006F2B6C">
        <w:t>Section 164.514(a) of the HIPAA Privacy Rule provides the standard for de-identification of protected health information, the Australian De</w:t>
      </w:r>
      <w:r w:rsidR="00E86BD5" w:rsidRPr="006F2B6C">
        <w:rPr>
          <w:rFonts w:ascii="Cambria Math" w:hAnsi="Cambria Math" w:cs="Cambria Math"/>
        </w:rPr>
        <w:t>‐</w:t>
      </w:r>
      <w:r w:rsidR="00E86BD5" w:rsidRPr="006F2B6C">
        <w:t>Identification Decision</w:t>
      </w:r>
      <w:r w:rsidR="00E86BD5" w:rsidRPr="006F2B6C">
        <w:rPr>
          <w:rFonts w:ascii="Cambria Math" w:hAnsi="Cambria Math" w:cs="Cambria Math"/>
        </w:rPr>
        <w:t>‐</w:t>
      </w:r>
      <w:r w:rsidR="00E86BD5" w:rsidRPr="006F2B6C">
        <w:t>Making Framework, and AIHW guidelines for disclosure of secondary use health information and the Australian Privacy Act and Australian Privacy Principles.</w:t>
      </w:r>
      <w:r w:rsidR="00E86BD5" w:rsidRPr="006F2B6C">
        <w:rPr>
          <w:b/>
          <w:bCs/>
        </w:rPr>
        <w:fldChar w:fldCharType="begin"/>
      </w:r>
      <w:r w:rsidR="00E86BD5" w:rsidRPr="006F2B6C">
        <w:rPr>
          <w:b/>
          <w:bCs/>
        </w:rPr>
        <w:instrText xml:space="preserve"> ADDIN ZOTERO_ITEM CSL_CITATION {"citationID":"E6AtmOX0","properties":{"formattedCitation":"\\super 14\\uc0\\u8211{}17\\nosupersub{}","plainCitation":"14–17","noteIndex":0},"citationItems":[{"id":6274,"uris":["http://zotero.org/users/5794125/items/W3BRQ3WG"],"itemData":{"id":6274,"type":"webpage","abstract":"This page provides guidance about methods and approaches to achieve de-identification in accordance with the HIPAA Privacy Rule.","container-title":"HHS.gov","genre":"Text","language":"en","note":"Last Modified: 2023-02-22T10:17:21-0500","title":"Guidance Regarding Methods for De-identification of Protected Health Information in Accordance with the Health Insurance Portability and Accountability Act (HIPAA) Privacy Rule","URL":"https://www.hhs.gov/hipaa/for-professionals/privacy/special-topics/de-identification/index.html","author":[{"family":"Office for Civil Rights","given":""}],"accessed":{"date-parts":[["2023",7,13]]},"issued":{"date-parts":[["2012",9,7]]},"citation-key":"officeforcivilrightsGuidanceRegardingMethods2012"}},{"id":6279,"uris":["http://zotero.org/users/5794125/items/2G8HICI8"],"itemData":{"id":6279,"type":"webpage","abstract":"The use of data analytics is increasingly common across government agencies and the private sector. This has been driven by a fundamental shift in analytical processes, together with the availability of large data sets, increased computational power and storage capacity. The ability of data analytics to discover hidden insights has the potential to yield great benefits, including helping organisations to deliver better products and services, personalise people’s online experiences, or develop stronger, evidence-based policies.","container-title":"OAIC","language":"en","note":"Last Modified: 2023-03-23T15:15:02+11:00","title":"Guide to data analytics and the Australian Privacy Principles","URL":"https://www.oaic.gov.au/privacy/privacy-guidance-for-organisations-and-government-agencies/more-guidance/guide-to-data-analytics-and-the-australian-privacy-principles","author":[{"family":"OAIC","given":""}],"accessed":{"date-parts":[["2023",7,13]]},"issued":{"date-parts":[["2023",3,10]]},"citation-key":"oaicGuideDataAnalytics2023"}},{"id":6278,"uris":["http://zotero.org/users/5794125/items/7F7CC4U6"],"itemData":{"id":6278,"type":"report","language":"en","publisher":"Australian Government","source":"Zotero","title":"De-identification and the Privacy Act","URL":"oaic.gov.au","author":[{"family":"Office of the Australian Information Commissioner","given":""}],"issued":{"date-parts":[["2018",3]]},"citation-key":"officeoftheaustralianinformationcommissionerDeidentificationPrivacyAct2018"}},{"id":6273,"uris":["http://zotero.org/users/5794125/items/39CXIHAX"],"itemData":{"id":6273,"type":"document","title":"De-identification Guidelines  for Structured Data","URL":"https://www.ipc.on.ca/wp-content/uploads/2016/08/Deidentification-Guidelines-for-Structured-Data.pdf","author":[{"family":"Information and Privacy Commisioner of Ontario","given":""}],"accessed":{"date-parts":[["2023",7,13]]},"citation-key":"informationandprivacycommisionerofontarioDeidentificationGuidelinesStructured"}}],"schema":"https://github.com/citation-style-language/schema/raw/master/csl-citation.json"} </w:instrText>
      </w:r>
      <w:r w:rsidR="00E86BD5" w:rsidRPr="006F2B6C">
        <w:rPr>
          <w:b/>
          <w:bCs/>
        </w:rPr>
        <w:fldChar w:fldCharType="separate"/>
      </w:r>
      <w:r w:rsidR="00E86BD5" w:rsidRPr="006F2B6C">
        <w:rPr>
          <w:rFonts w:cs="Arial"/>
          <w:szCs w:val="24"/>
          <w:vertAlign w:val="superscript"/>
        </w:rPr>
        <w:t>14–17</w:t>
      </w:r>
      <w:r w:rsidR="00E86BD5" w:rsidRPr="006F2B6C">
        <w:rPr>
          <w:b/>
          <w:bCs/>
        </w:rPr>
        <w:fldChar w:fldCharType="end"/>
      </w:r>
    </w:p>
    <w:p w14:paraId="3C5F69DF" w14:textId="77777777" w:rsidR="00E86BD5" w:rsidRPr="006F2B6C" w:rsidRDefault="00E86BD5" w:rsidP="00E86BD5">
      <w:pPr>
        <w:pStyle w:val="Heading3"/>
      </w:pPr>
      <w:r w:rsidRPr="006F2B6C">
        <w:t>Deidentification Methods</w:t>
      </w:r>
    </w:p>
    <w:p w14:paraId="336D65E1" w14:textId="34AB4B97" w:rsidR="00E86BD5" w:rsidRPr="006F2B6C" w:rsidRDefault="00E86BD5" w:rsidP="00E86BD5">
      <w:pPr>
        <w:pStyle w:val="Heading1"/>
        <w:rPr>
          <w:b w:val="0"/>
          <w:bCs w:val="0"/>
          <w:sz w:val="22"/>
          <w:szCs w:val="22"/>
        </w:rPr>
      </w:pPr>
      <w:r w:rsidRPr="006F2B6C">
        <w:rPr>
          <w:b w:val="0"/>
          <w:bCs w:val="0"/>
          <w:sz w:val="22"/>
          <w:szCs w:val="22"/>
        </w:rPr>
        <w:t>De-identification involves two steps. The first is the removal of direct identifiers. The second is taking one or both of the following additional steps: 1) the removal or alteration of other information that could potentially be used to re-identify an individual, and/or 2) the use of controls and safeguards in the data access environment to prevent re-identification.</w:t>
      </w:r>
      <w:r w:rsidRPr="006F2B6C">
        <w:rPr>
          <w:b w:val="0"/>
          <w:bCs w:val="0"/>
          <w:sz w:val="22"/>
          <w:szCs w:val="22"/>
        </w:rPr>
        <w:fldChar w:fldCharType="begin"/>
      </w:r>
      <w:r w:rsidRPr="006F2B6C">
        <w:rPr>
          <w:b w:val="0"/>
          <w:bCs w:val="0"/>
          <w:sz w:val="22"/>
          <w:szCs w:val="22"/>
        </w:rPr>
        <w:instrText xml:space="preserve"> ADDIN ZOTERO_ITEM CSL_CITATION {"citationID":"zC2sYzyH","properties":{"formattedCitation":"\\super 18\\nosupersub{}","plainCitation":"18","noteIndex":0},"citationItems":[{"id":6276,"uris":["http://zotero.org/users/5794125/items/7M25JQKU"],"itemData":{"id":6276,"type":"article-journal","container-title":"CSIRO Reports","DOI":"10.4225/08/59C169433EFD4","note":"publisher: CSIRO Data61","source":"DOI.org (Datacite)","title":"The De</w:instrText>
      </w:r>
      <w:r w:rsidRPr="006F2B6C">
        <w:rPr>
          <w:rFonts w:ascii="Cambria Math" w:hAnsi="Cambria Math" w:cs="Cambria Math"/>
          <w:b w:val="0"/>
          <w:bCs w:val="0"/>
          <w:sz w:val="22"/>
          <w:szCs w:val="22"/>
        </w:rPr>
        <w:instrText>‐</w:instrText>
      </w:r>
      <w:r w:rsidRPr="006F2B6C">
        <w:rPr>
          <w:b w:val="0"/>
          <w:bCs w:val="0"/>
          <w:sz w:val="22"/>
          <w:szCs w:val="22"/>
        </w:rPr>
        <w:instrText>Identification Decision</w:instrText>
      </w:r>
      <w:r w:rsidRPr="006F2B6C">
        <w:rPr>
          <w:rFonts w:ascii="Cambria Math" w:hAnsi="Cambria Math" w:cs="Cambria Math"/>
          <w:b w:val="0"/>
          <w:bCs w:val="0"/>
          <w:sz w:val="22"/>
          <w:szCs w:val="22"/>
        </w:rPr>
        <w:instrText>‐</w:instrText>
      </w:r>
      <w:r w:rsidRPr="006F2B6C">
        <w:rPr>
          <w:b w:val="0"/>
          <w:bCs w:val="0"/>
          <w:sz w:val="22"/>
          <w:szCs w:val="22"/>
        </w:rPr>
        <w:instrText xml:space="preserve">Making Framework","URL":"https://publications.csiro.au/publications/publication/PIcsiro:EP173122","volume":"EP173122 and EP175702","author":[{"family":"O'Keefe","given":"Christine"},{"family":"Otorepec","given":"Stephanie"},{"family":"Elliot","given":"Mark"},{"family":"Mackey","given":"Elaine"},{"family":"O'Hara","given":"Kieron"}],"accessed":{"date-parts":[["2023",7,13]]},"issued":{"date-parts":[["2017",9,18]]},"citation-key":"okeefeIdentificationDecisionMaking2017"}}],"schema":"https://github.com/citation-style-language/schema/raw/master/csl-citation.json"} </w:instrText>
      </w:r>
      <w:r w:rsidRPr="006F2B6C">
        <w:rPr>
          <w:b w:val="0"/>
          <w:bCs w:val="0"/>
          <w:sz w:val="22"/>
          <w:szCs w:val="22"/>
        </w:rPr>
        <w:fldChar w:fldCharType="separate"/>
      </w:r>
      <w:r w:rsidRPr="006F2B6C">
        <w:rPr>
          <w:rFonts w:cs="Arial"/>
          <w:sz w:val="22"/>
          <w:szCs w:val="24"/>
          <w:vertAlign w:val="superscript"/>
        </w:rPr>
        <w:t>18</w:t>
      </w:r>
      <w:r w:rsidRPr="006F2B6C">
        <w:rPr>
          <w:b w:val="0"/>
          <w:bCs w:val="0"/>
          <w:sz w:val="22"/>
          <w:szCs w:val="22"/>
        </w:rPr>
        <w:fldChar w:fldCharType="end"/>
      </w:r>
      <w:r w:rsidRPr="006F2B6C">
        <w:rPr>
          <w:b w:val="0"/>
          <w:bCs w:val="0"/>
          <w:sz w:val="22"/>
          <w:szCs w:val="22"/>
        </w:rPr>
        <w:t xml:space="preserve"> The study data will be de-identified using the following methods:</w:t>
      </w:r>
    </w:p>
    <w:p w14:paraId="06EA48BA" w14:textId="77777777" w:rsidR="00E86BD5" w:rsidRPr="006F2B6C" w:rsidRDefault="00E86BD5" w:rsidP="00E86BD5">
      <w:pPr>
        <w:pStyle w:val="Heading1"/>
        <w:numPr>
          <w:ilvl w:val="0"/>
          <w:numId w:val="8"/>
        </w:numPr>
        <w:tabs>
          <w:tab w:val="num" w:pos="720"/>
        </w:tabs>
        <w:rPr>
          <w:b w:val="0"/>
          <w:bCs w:val="0"/>
          <w:sz w:val="22"/>
          <w:szCs w:val="22"/>
        </w:rPr>
      </w:pPr>
      <w:r w:rsidRPr="006F2B6C">
        <w:rPr>
          <w:b w:val="0"/>
          <w:bCs w:val="0"/>
          <w:sz w:val="22"/>
          <w:szCs w:val="22"/>
        </w:rPr>
        <w:t>Direct identifiers, such as names, addresses, will be removed as soon as the data integrity is verified and cleaned and prior to analysis, and never reported publicly.</w:t>
      </w:r>
    </w:p>
    <w:p w14:paraId="64F4AED5" w14:textId="77777777" w:rsidR="00E86BD5" w:rsidRPr="006F2B6C" w:rsidRDefault="00E86BD5" w:rsidP="00E86BD5">
      <w:pPr>
        <w:pStyle w:val="Heading1"/>
        <w:numPr>
          <w:ilvl w:val="0"/>
          <w:numId w:val="8"/>
        </w:numPr>
        <w:tabs>
          <w:tab w:val="num" w:pos="720"/>
        </w:tabs>
        <w:rPr>
          <w:b w:val="0"/>
          <w:bCs w:val="0"/>
          <w:sz w:val="22"/>
          <w:szCs w:val="22"/>
        </w:rPr>
      </w:pPr>
      <w:r w:rsidRPr="006F2B6C">
        <w:rPr>
          <w:b w:val="0"/>
          <w:bCs w:val="0"/>
          <w:sz w:val="22"/>
          <w:szCs w:val="22"/>
        </w:rPr>
        <w:t>Indirect identifiers, such as dates of birth, zip codes, and medical codes, will be removed as soon as the data integrity is verified and cleaned and prior to analysis, and never reported publicly.</w:t>
      </w:r>
    </w:p>
    <w:p w14:paraId="19E4021D" w14:textId="77777777" w:rsidR="00E86BD5" w:rsidRPr="006F2B6C" w:rsidRDefault="00E86BD5" w:rsidP="00E86BD5">
      <w:pPr>
        <w:pStyle w:val="ListParagraph"/>
        <w:numPr>
          <w:ilvl w:val="0"/>
          <w:numId w:val="8"/>
        </w:numPr>
      </w:pPr>
      <w:r w:rsidRPr="006F2B6C">
        <w:t>Removal of the direct and indirect identifiers are done as early as possible in the data cleaning phase to safeguard the data in case of re-identification.</w:t>
      </w:r>
    </w:p>
    <w:p w14:paraId="5B31D91E" w14:textId="77777777" w:rsidR="00E86BD5" w:rsidRPr="006F2B6C" w:rsidRDefault="00E86BD5" w:rsidP="00E86BD5">
      <w:pPr>
        <w:pStyle w:val="Heading1"/>
        <w:numPr>
          <w:ilvl w:val="0"/>
          <w:numId w:val="8"/>
        </w:numPr>
        <w:tabs>
          <w:tab w:val="num" w:pos="720"/>
        </w:tabs>
        <w:rPr>
          <w:b w:val="0"/>
          <w:bCs w:val="0"/>
          <w:sz w:val="22"/>
          <w:szCs w:val="22"/>
        </w:rPr>
      </w:pPr>
      <w:r w:rsidRPr="006F2B6C">
        <w:rPr>
          <w:b w:val="0"/>
          <w:bCs w:val="0"/>
          <w:sz w:val="22"/>
          <w:szCs w:val="22"/>
        </w:rPr>
        <w:t xml:space="preserve">When presented or published, data is </w:t>
      </w:r>
      <w:r w:rsidRPr="006F2B6C">
        <w:rPr>
          <w:b w:val="0"/>
          <w:bCs w:val="0"/>
          <w:i/>
          <w:iCs/>
          <w:sz w:val="22"/>
          <w:szCs w:val="22"/>
          <w:u w:val="single"/>
        </w:rPr>
        <w:t>always aggregated and grouped</w:t>
      </w:r>
      <w:r w:rsidRPr="006F2B6C">
        <w:rPr>
          <w:b w:val="0"/>
          <w:bCs w:val="0"/>
          <w:sz w:val="22"/>
          <w:szCs w:val="22"/>
        </w:rPr>
        <w:t xml:space="preserve"> so that identification is not possible. We will suppress cells/rows or information with 5 or less persons and avoid reporting outliers in ranges (</w:t>
      </w:r>
      <w:proofErr w:type="gramStart"/>
      <w:r w:rsidRPr="006F2B6C">
        <w:rPr>
          <w:b w:val="0"/>
          <w:bCs w:val="0"/>
          <w:sz w:val="22"/>
          <w:szCs w:val="22"/>
        </w:rPr>
        <w:t>e.g.</w:t>
      </w:r>
      <w:proofErr w:type="gramEnd"/>
      <w:r w:rsidRPr="006F2B6C">
        <w:rPr>
          <w:b w:val="0"/>
          <w:bCs w:val="0"/>
          <w:sz w:val="22"/>
          <w:szCs w:val="22"/>
        </w:rPr>
        <w:t xml:space="preserve"> such as persons aged 107 years of age, or a death in a 2 month old). </w:t>
      </w:r>
    </w:p>
    <w:p w14:paraId="226331C9" w14:textId="77777777" w:rsidR="00E86BD5" w:rsidRPr="006F2B6C" w:rsidRDefault="00E86BD5" w:rsidP="00E86BD5">
      <w:pPr>
        <w:pStyle w:val="Heading3"/>
      </w:pPr>
      <w:r w:rsidRPr="006F2B6C">
        <w:t>Public Release Model</w:t>
      </w:r>
    </w:p>
    <w:p w14:paraId="5A434279" w14:textId="468D2C02" w:rsidR="009A6AA9" w:rsidRPr="006F2B6C" w:rsidRDefault="00E86BD5" w:rsidP="00111E52">
      <w:r w:rsidRPr="006F2B6C">
        <w:t xml:space="preserve">The public release modelled data occurs after extensive cleaning and analysis. The released data is </w:t>
      </w:r>
      <w:r w:rsidRPr="006F2B6C">
        <w:rPr>
          <w:i/>
          <w:iCs/>
        </w:rPr>
        <w:t>always</w:t>
      </w:r>
      <w:r w:rsidRPr="006F2B6C">
        <w:t xml:space="preserve"> aggregated for descriptive analyses. The focus of the analysis is mathematical models that provides only group-wide estimates. For example, mathematical models report odds/hazard ratios, relative risks or effectiveness estimates. In both situations, re-identification remains impossible.</w:t>
      </w:r>
    </w:p>
    <w:p w14:paraId="499EC209" w14:textId="665771E1" w:rsidR="009165BB" w:rsidRPr="006F2B6C" w:rsidRDefault="009165BB" w:rsidP="00DF3DE8">
      <w:pPr>
        <w:pStyle w:val="Heading2"/>
        <w:rPr>
          <w:rFonts w:cs="Arial"/>
        </w:rPr>
      </w:pPr>
      <w:bookmarkStart w:id="9" w:name="_Toc141712124"/>
      <w:r w:rsidRPr="006F2B6C">
        <w:rPr>
          <w:rFonts w:cs="Arial"/>
        </w:rPr>
        <w:t>Statistical Analy</w:t>
      </w:r>
      <w:r w:rsidR="008F3051" w:rsidRPr="006F2B6C">
        <w:rPr>
          <w:rFonts w:cs="Arial"/>
        </w:rPr>
        <w:t>sis</w:t>
      </w:r>
      <w:bookmarkEnd w:id="9"/>
    </w:p>
    <w:p w14:paraId="5CA7D7F1" w14:textId="2F41F16A" w:rsidR="008F3051" w:rsidRPr="006F2B6C" w:rsidRDefault="000251CB" w:rsidP="00567AB5">
      <w:pPr>
        <w:rPr>
          <w:rFonts w:cs="Arial"/>
          <w:shd w:val="clear" w:color="auto" w:fill="FFFFFF"/>
        </w:rPr>
      </w:pPr>
      <w:r w:rsidRPr="006F2B6C">
        <w:rPr>
          <w:rFonts w:cs="Arial"/>
          <w:shd w:val="clear" w:color="auto" w:fill="FFFFFF"/>
        </w:rPr>
        <w:t xml:space="preserve">We will assess the sensitivity, </w:t>
      </w:r>
      <w:r w:rsidR="002C113F" w:rsidRPr="006F2B6C">
        <w:rPr>
          <w:rFonts w:cs="Arial"/>
          <w:shd w:val="clear" w:color="auto" w:fill="FFFFFF"/>
        </w:rPr>
        <w:t>specificity</w:t>
      </w:r>
      <w:r w:rsidRPr="006F2B6C">
        <w:rPr>
          <w:rFonts w:cs="Arial"/>
          <w:shd w:val="clear" w:color="auto" w:fill="FFFFFF"/>
        </w:rPr>
        <w:t>, positive predictive value, negative predictive value</w:t>
      </w:r>
      <w:r w:rsidR="00F74CA5" w:rsidRPr="006F2B6C">
        <w:rPr>
          <w:rFonts w:cs="Arial"/>
          <w:shd w:val="clear" w:color="auto" w:fill="FFFFFF"/>
        </w:rPr>
        <w:t xml:space="preserve"> using 2x2 tables</w:t>
      </w:r>
      <w:r w:rsidR="003D27C4" w:rsidRPr="006F2B6C">
        <w:rPr>
          <w:rFonts w:cs="Arial"/>
          <w:shd w:val="clear" w:color="auto" w:fill="FFFFFF"/>
        </w:rPr>
        <w:t xml:space="preserve">. </w:t>
      </w:r>
      <w:r w:rsidR="00A323BB" w:rsidRPr="006F2B6C">
        <w:rPr>
          <w:rFonts w:cs="Arial"/>
          <w:shd w:val="clear" w:color="auto" w:fill="FFFFFF"/>
        </w:rPr>
        <w:t>The gold standard will be bulk faeces PCR testing.</w:t>
      </w:r>
      <w:r w:rsidR="002C113F" w:rsidRPr="006F2B6C">
        <w:rPr>
          <w:rFonts w:cs="Arial"/>
          <w:shd w:val="clear" w:color="auto" w:fill="FFFFFF"/>
        </w:rPr>
        <w:t xml:space="preserve"> </w:t>
      </w:r>
      <w:r w:rsidR="008F3051" w:rsidRPr="006F2B6C">
        <w:rPr>
          <w:rFonts w:cs="Arial"/>
          <w:shd w:val="clear" w:color="auto" w:fill="FFFFFF"/>
        </w:rPr>
        <w:t xml:space="preserve">Sensitivity is the proportion of individuals with the disease who test positive with </w:t>
      </w:r>
      <w:r w:rsidR="0031377A" w:rsidRPr="006F2B6C">
        <w:rPr>
          <w:rFonts w:cs="Arial"/>
          <w:shd w:val="clear" w:color="auto" w:fill="FFFFFF"/>
        </w:rPr>
        <w:t>rectal swabs</w:t>
      </w:r>
      <w:r w:rsidR="008F3051" w:rsidRPr="006F2B6C">
        <w:rPr>
          <w:rFonts w:cs="Arial"/>
          <w:shd w:val="clear" w:color="auto" w:fill="FFFFFF"/>
        </w:rPr>
        <w:t xml:space="preserve">. Specificity is </w:t>
      </w:r>
      <w:r w:rsidR="008F3051" w:rsidRPr="006F2B6C">
        <w:rPr>
          <w:rFonts w:cs="Arial"/>
          <w:shd w:val="clear" w:color="auto" w:fill="FFFFFF"/>
        </w:rPr>
        <w:lastRenderedPageBreak/>
        <w:t xml:space="preserve">the proportion of individuals without the disease who test negative with </w:t>
      </w:r>
      <w:r w:rsidR="0031377A" w:rsidRPr="006F2B6C">
        <w:rPr>
          <w:rFonts w:cs="Arial"/>
          <w:shd w:val="clear" w:color="auto" w:fill="FFFFFF"/>
        </w:rPr>
        <w:t>rectal swabs</w:t>
      </w:r>
      <w:r w:rsidR="008F3051" w:rsidRPr="006F2B6C">
        <w:rPr>
          <w:rFonts w:cs="Arial"/>
          <w:shd w:val="clear" w:color="auto" w:fill="FFFFFF"/>
        </w:rPr>
        <w:t>.</w:t>
      </w:r>
      <w:r w:rsidR="0031377A" w:rsidRPr="006F2B6C">
        <w:rPr>
          <w:rFonts w:cs="Arial"/>
          <w:shd w:val="clear" w:color="auto" w:fill="FFFFFF"/>
        </w:rPr>
        <w:t xml:space="preserve"> </w:t>
      </w:r>
      <w:r w:rsidR="00567AB5" w:rsidRPr="006F2B6C">
        <w:rPr>
          <w:rFonts w:cs="Arial"/>
          <w:shd w:val="clear" w:color="auto" w:fill="FFFFFF"/>
        </w:rPr>
        <w:t>Sensitivity = True positives / (True positives + False negatives). Specificity = True negatives / (True negatives + False positives)</w:t>
      </w:r>
      <w:r w:rsidR="0055037B" w:rsidRPr="006F2B6C">
        <w:rPr>
          <w:rFonts w:cs="Arial"/>
          <w:shd w:val="clear" w:color="auto" w:fill="FFFFFF"/>
        </w:rPr>
        <w:t>.</w:t>
      </w:r>
      <w:r w:rsidR="00D37B03" w:rsidRPr="006F2B6C">
        <w:rPr>
          <w:rFonts w:cs="Arial"/>
          <w:shd w:val="clear" w:color="auto" w:fill="FFFFFF"/>
        </w:rPr>
        <w:t xml:space="preserve"> We will assess the cycle threshold values using general linear models if the </w:t>
      </w:r>
      <w:r w:rsidR="006E7E79" w:rsidRPr="006F2B6C">
        <w:rPr>
          <w:rFonts w:cs="Arial"/>
          <w:shd w:val="clear" w:color="auto" w:fill="FFFFFF"/>
        </w:rPr>
        <w:t>relationship is linear as expected.</w:t>
      </w:r>
      <w:r w:rsidR="00D37B03" w:rsidRPr="006F2B6C">
        <w:rPr>
          <w:rFonts w:cs="Arial"/>
          <w:shd w:val="clear" w:color="auto" w:fill="FFFFFF"/>
        </w:rPr>
        <w:t xml:space="preserve">  </w:t>
      </w:r>
    </w:p>
    <w:p w14:paraId="14488DA0" w14:textId="51900838" w:rsidR="0055037B" w:rsidRPr="006F2B6C" w:rsidRDefault="0055037B" w:rsidP="00567AB5">
      <w:pPr>
        <w:rPr>
          <w:rFonts w:cs="Arial"/>
          <w:shd w:val="clear" w:color="auto" w:fill="FFFFFF"/>
        </w:rPr>
      </w:pPr>
      <w:r w:rsidRPr="006F2B6C">
        <w:rPr>
          <w:rFonts w:cs="Arial"/>
          <w:shd w:val="clear" w:color="auto" w:fill="FFFFFF"/>
        </w:rPr>
        <w:t xml:space="preserve">The </w:t>
      </w:r>
      <w:proofErr w:type="spellStart"/>
      <w:r w:rsidRPr="006F2B6C">
        <w:rPr>
          <w:rFonts w:cs="Arial"/>
          <w:shd w:val="clear" w:color="auto" w:fill="FFFFFF"/>
        </w:rPr>
        <w:t>McNemar</w:t>
      </w:r>
      <w:proofErr w:type="spellEnd"/>
      <w:r w:rsidRPr="006F2B6C">
        <w:rPr>
          <w:rFonts w:cs="Arial"/>
          <w:shd w:val="clear" w:color="auto" w:fill="FFFFFF"/>
        </w:rPr>
        <w:t xml:space="preserve"> test is a non-parametric test used to </w:t>
      </w:r>
      <w:r w:rsidR="002C113F" w:rsidRPr="006F2B6C">
        <w:rPr>
          <w:rFonts w:cs="Arial"/>
          <w:shd w:val="clear" w:color="auto" w:fill="FFFFFF"/>
        </w:rPr>
        <w:t>analyse</w:t>
      </w:r>
      <w:r w:rsidRPr="006F2B6C">
        <w:rPr>
          <w:rFonts w:cs="Arial"/>
          <w:shd w:val="clear" w:color="auto" w:fill="FFFFFF"/>
        </w:rPr>
        <w:t xml:space="preserve"> paired nominal data. It is a test on a 2 x 2 contingency table and checks the marginal homogeneity of two dichotomous variables. The test requires one nominal variable with two categories (dichotomous</w:t>
      </w:r>
      <w:r w:rsidR="0031377A" w:rsidRPr="006F2B6C">
        <w:rPr>
          <w:rFonts w:cs="Arial"/>
          <w:shd w:val="clear" w:color="auto" w:fill="FFFFFF"/>
        </w:rPr>
        <w:t>; disease or no disease</w:t>
      </w:r>
      <w:r w:rsidRPr="006F2B6C">
        <w:rPr>
          <w:rFonts w:cs="Arial"/>
          <w:shd w:val="clear" w:color="auto" w:fill="FFFFFF"/>
        </w:rPr>
        <w:t>) and one independent variable with two dependent groups</w:t>
      </w:r>
      <w:r w:rsidR="0031377A" w:rsidRPr="006F2B6C">
        <w:rPr>
          <w:rFonts w:cs="Arial"/>
          <w:shd w:val="clear" w:color="auto" w:fill="FFFFFF"/>
        </w:rPr>
        <w:t xml:space="preserve"> (</w:t>
      </w:r>
      <w:r w:rsidR="00D37B03" w:rsidRPr="006F2B6C">
        <w:rPr>
          <w:rFonts w:cs="Arial"/>
          <w:shd w:val="clear" w:color="auto" w:fill="FFFFFF"/>
        </w:rPr>
        <w:t>rectal swab vs bulk faeces</w:t>
      </w:r>
      <w:r w:rsidR="0031377A" w:rsidRPr="006F2B6C">
        <w:rPr>
          <w:rFonts w:cs="Arial"/>
          <w:shd w:val="clear" w:color="auto" w:fill="FFFFFF"/>
        </w:rPr>
        <w:t>)</w:t>
      </w:r>
      <w:r w:rsidRPr="006F2B6C">
        <w:rPr>
          <w:rFonts w:cs="Arial"/>
          <w:shd w:val="clear" w:color="auto" w:fill="FFFFFF"/>
        </w:rPr>
        <w:t xml:space="preserve">. The minimal sample size required for the </w:t>
      </w:r>
      <w:proofErr w:type="spellStart"/>
      <w:r w:rsidRPr="006F2B6C">
        <w:rPr>
          <w:rFonts w:cs="Arial"/>
          <w:shd w:val="clear" w:color="auto" w:fill="FFFFFF"/>
        </w:rPr>
        <w:t>McNemar</w:t>
      </w:r>
      <w:proofErr w:type="spellEnd"/>
      <w:r w:rsidRPr="006F2B6C">
        <w:rPr>
          <w:rFonts w:cs="Arial"/>
          <w:shd w:val="clear" w:color="auto" w:fill="FFFFFF"/>
        </w:rPr>
        <w:t xml:space="preserve"> test is at least ten discordant pairs. </w:t>
      </w:r>
      <w:r w:rsidR="008805AC" w:rsidRPr="006F2B6C">
        <w:rPr>
          <w:rFonts w:cs="Arial"/>
          <w:shd w:val="clear" w:color="auto" w:fill="FFFFFF"/>
        </w:rPr>
        <w:t xml:space="preserve">It should be noted that if the sum of discordant pairs is small (&lt;25), even if the total sample size is large, the statistical power of the </w:t>
      </w:r>
      <w:proofErr w:type="spellStart"/>
      <w:r w:rsidR="008805AC" w:rsidRPr="006F2B6C">
        <w:rPr>
          <w:rFonts w:cs="Arial"/>
          <w:shd w:val="clear" w:color="auto" w:fill="FFFFFF"/>
        </w:rPr>
        <w:t>McNemar</w:t>
      </w:r>
      <w:proofErr w:type="spellEnd"/>
      <w:r w:rsidR="008805AC" w:rsidRPr="006F2B6C">
        <w:rPr>
          <w:rFonts w:cs="Arial"/>
          <w:shd w:val="clear" w:color="auto" w:fill="FFFFFF"/>
        </w:rPr>
        <w:t xml:space="preserve"> test will be low and the exact binomial test can be used.</w:t>
      </w:r>
      <w:r w:rsidR="003D27C4" w:rsidRPr="006F2B6C">
        <w:rPr>
          <w:rFonts w:cs="Arial"/>
          <w:shd w:val="clear" w:color="auto" w:fill="FFFFFF"/>
        </w:rPr>
        <w:t xml:space="preserve"> All results will be reported using 95% confidence intervals.</w:t>
      </w:r>
    </w:p>
    <w:p w14:paraId="032ACCBA" w14:textId="1A63AA65" w:rsidR="00C44E98" w:rsidRPr="006F2B6C" w:rsidRDefault="00CF11D3" w:rsidP="00247CEB">
      <w:pPr>
        <w:rPr>
          <w:rFonts w:cs="Arial"/>
        </w:rPr>
      </w:pPr>
      <w:r w:rsidRPr="006F2B6C">
        <w:rPr>
          <w:rFonts w:cs="Arial"/>
        </w:rPr>
        <w:t xml:space="preserve">The R statistical suite </w:t>
      </w:r>
      <w:r w:rsidR="009864CA" w:rsidRPr="006F2B6C">
        <w:rPr>
          <w:rFonts w:cs="Arial"/>
        </w:rPr>
        <w:t xml:space="preserve">will be used for </w:t>
      </w:r>
      <w:r w:rsidR="00F136CF" w:rsidRPr="006F2B6C">
        <w:rPr>
          <w:rFonts w:cs="Arial"/>
        </w:rPr>
        <w:t>all analyses</w:t>
      </w:r>
      <w:r w:rsidR="00DF3DE8" w:rsidRPr="006F2B6C">
        <w:rPr>
          <w:rFonts w:cs="Arial"/>
        </w:rPr>
        <w:t xml:space="preserve"> and data visualisation</w:t>
      </w:r>
      <w:r w:rsidR="006A0C26" w:rsidRPr="006F2B6C">
        <w:rPr>
          <w:rFonts w:cs="Arial"/>
        </w:rPr>
        <w:t>. All estimates</w:t>
      </w:r>
      <w:r w:rsidR="00963AA1" w:rsidRPr="006F2B6C">
        <w:rPr>
          <w:rFonts w:cs="Arial"/>
        </w:rPr>
        <w:t xml:space="preserve"> will be</w:t>
      </w:r>
      <w:r w:rsidR="006A0C26" w:rsidRPr="006F2B6C">
        <w:rPr>
          <w:rFonts w:cs="Arial"/>
        </w:rPr>
        <w:t xml:space="preserve"> presented with 95% confidence intervals (CI). P-values &lt;0.05 are deemed significant, </w:t>
      </w:r>
      <w:r w:rsidR="00963AA1" w:rsidRPr="006F2B6C">
        <w:rPr>
          <w:rFonts w:cs="Arial"/>
        </w:rPr>
        <w:t xml:space="preserve">and p-values &lt;0.1 are considered trends. </w:t>
      </w:r>
    </w:p>
    <w:p w14:paraId="662EDCBA" w14:textId="7F1F4E17" w:rsidR="001B4FAA" w:rsidRPr="006F2B6C" w:rsidRDefault="001B4FAA" w:rsidP="001B4FAA">
      <w:pPr>
        <w:pStyle w:val="Heading2"/>
        <w:rPr>
          <w:rFonts w:cs="Arial"/>
        </w:rPr>
      </w:pPr>
      <w:bookmarkStart w:id="10" w:name="_Toc141712125"/>
      <w:r w:rsidRPr="006F2B6C">
        <w:rPr>
          <w:rFonts w:cs="Arial"/>
        </w:rPr>
        <w:t>Consumer Engagement Plan</w:t>
      </w:r>
      <w:bookmarkEnd w:id="10"/>
    </w:p>
    <w:p w14:paraId="333EA435" w14:textId="0C3EE7F0" w:rsidR="009165BB" w:rsidRPr="006F2B6C" w:rsidRDefault="00211FA8" w:rsidP="007F0C90">
      <w:pPr>
        <w:rPr>
          <w:rFonts w:cs="Arial"/>
        </w:rPr>
      </w:pPr>
      <w:r w:rsidRPr="006F2B6C">
        <w:rPr>
          <w:rFonts w:cs="Arial"/>
        </w:rPr>
        <w:t>Working closely with</w:t>
      </w:r>
      <w:r w:rsidR="00CC6EE3" w:rsidRPr="006F2B6C">
        <w:rPr>
          <w:rFonts w:cs="Arial"/>
        </w:rPr>
        <w:t xml:space="preserve"> the Sunshine Coast</w:t>
      </w:r>
      <w:r w:rsidRPr="006F2B6C">
        <w:rPr>
          <w:rFonts w:cs="Arial"/>
        </w:rPr>
        <w:t xml:space="preserve"> </w:t>
      </w:r>
      <w:r w:rsidR="00CC6EE3" w:rsidRPr="006F2B6C">
        <w:rPr>
          <w:rFonts w:cs="Arial"/>
        </w:rPr>
        <w:t xml:space="preserve">Health Consumer Research Engagement Group </w:t>
      </w:r>
      <w:r w:rsidRPr="006F2B6C">
        <w:rPr>
          <w:rFonts w:cs="Arial"/>
        </w:rPr>
        <w:t xml:space="preserve">is a key part of this project. </w:t>
      </w:r>
      <w:r w:rsidR="00352BD9" w:rsidRPr="006F2B6C">
        <w:rPr>
          <w:rFonts w:cs="Arial"/>
        </w:rPr>
        <w:t xml:space="preserve">We will aim to attend formal consumer group meetings </w:t>
      </w:r>
      <w:r w:rsidR="008970F3" w:rsidRPr="006F2B6C">
        <w:rPr>
          <w:rFonts w:cs="Arial"/>
        </w:rPr>
        <w:t>1-</w:t>
      </w:r>
      <w:r w:rsidR="00352BD9" w:rsidRPr="006F2B6C">
        <w:rPr>
          <w:rFonts w:cs="Arial"/>
        </w:rPr>
        <w:t>2x/year, and work with consumers in various informal settings</w:t>
      </w:r>
      <w:r w:rsidR="007F0C90" w:rsidRPr="006F2B6C">
        <w:rPr>
          <w:rFonts w:cs="Arial"/>
        </w:rPr>
        <w:t>. The aims of our engagement are</w:t>
      </w:r>
      <w:r w:rsidR="0057651E" w:rsidRPr="006F2B6C">
        <w:rPr>
          <w:rFonts w:cs="Arial"/>
        </w:rPr>
        <w:t xml:space="preserve"> to</w:t>
      </w:r>
      <w:r w:rsidR="004612B6" w:rsidRPr="006F2B6C">
        <w:rPr>
          <w:rFonts w:cs="Arial"/>
        </w:rPr>
        <w:t xml:space="preserve"> engage consumers in the research process and obtain their feedback on the new method of collecting stool specimens</w:t>
      </w:r>
      <w:r w:rsidR="007F0C90" w:rsidRPr="006F2B6C">
        <w:rPr>
          <w:rFonts w:cs="Arial"/>
        </w:rPr>
        <w:t>,</w:t>
      </w:r>
      <w:r w:rsidR="00693169" w:rsidRPr="006F2B6C">
        <w:rPr>
          <w:rFonts w:cs="Arial"/>
        </w:rPr>
        <w:t xml:space="preserve"> to</w:t>
      </w:r>
      <w:r w:rsidR="0057651E" w:rsidRPr="006F2B6C">
        <w:rPr>
          <w:rFonts w:cs="Arial"/>
        </w:rPr>
        <w:t xml:space="preserve"> </w:t>
      </w:r>
      <w:r w:rsidR="004612B6" w:rsidRPr="006F2B6C">
        <w:rPr>
          <w:rFonts w:cs="Arial"/>
        </w:rPr>
        <w:t>educate consumers about the benefits of the new method and how it could improve their healthcare experience.</w:t>
      </w:r>
      <w:r w:rsidR="00693169" w:rsidRPr="006F2B6C">
        <w:rPr>
          <w:rFonts w:cs="Arial"/>
        </w:rPr>
        <w:t xml:space="preserve"> Lastly, this plan will support the dissemination of information t</w:t>
      </w:r>
      <w:r w:rsidR="004612B6" w:rsidRPr="006F2B6C">
        <w:rPr>
          <w:rFonts w:cs="Arial"/>
        </w:rPr>
        <w:t>o build support for the new method among consumers and healthcare providers.</w:t>
      </w:r>
    </w:p>
    <w:p w14:paraId="41533C7D" w14:textId="1E11DB22" w:rsidR="001210B8" w:rsidRPr="006F2B6C" w:rsidRDefault="009D5B6A" w:rsidP="009D5B6A">
      <w:pPr>
        <w:pStyle w:val="Heading2"/>
      </w:pPr>
      <w:bookmarkStart w:id="11" w:name="_Toc141712126"/>
      <w:r w:rsidRPr="006F2B6C">
        <w:t>Dissemination Plan</w:t>
      </w:r>
      <w:bookmarkEnd w:id="11"/>
    </w:p>
    <w:p w14:paraId="44372BA9" w14:textId="26941595" w:rsidR="009D5B6A" w:rsidRPr="006F2B6C" w:rsidRDefault="009D5B6A" w:rsidP="009D5B6A">
      <w:r w:rsidRPr="006F2B6C">
        <w:t>We will aim for a comprehensive global dissemination plan</w:t>
      </w:r>
      <w:r w:rsidR="008839FD" w:rsidRPr="006F2B6C">
        <w:t>, starting locally and progressing to nationally across a wide range media. Informat</w:t>
      </w:r>
      <w:r w:rsidR="00BF358D" w:rsidRPr="006F2B6C">
        <w:t>ion will be released to the local news networks (7, 9 and 10, ABC and SBS)</w:t>
      </w:r>
      <w:r w:rsidR="006B07FC" w:rsidRPr="006F2B6C">
        <w:t>, as well as radio interviews will be offered to ensure we engage the general public.</w:t>
      </w:r>
      <w:r w:rsidR="00412176" w:rsidRPr="006F2B6C">
        <w:t xml:space="preserve"> I will aim to provide Grand rounds talks to multiple </w:t>
      </w:r>
      <w:r w:rsidR="000A6B2C" w:rsidRPr="006F2B6C">
        <w:t xml:space="preserve">major hospitals inside and outside of </w:t>
      </w:r>
      <w:r w:rsidR="000A3687" w:rsidRPr="006F2B6C">
        <w:t>Q</w:t>
      </w:r>
      <w:r w:rsidR="000A6B2C" w:rsidRPr="006F2B6C">
        <w:t>ueensland (</w:t>
      </w:r>
      <w:proofErr w:type="gramStart"/>
      <w:r w:rsidR="000A6B2C" w:rsidRPr="006F2B6C">
        <w:t>e.g.</w:t>
      </w:r>
      <w:proofErr w:type="gramEnd"/>
      <w:r w:rsidR="000A6B2C" w:rsidRPr="006F2B6C">
        <w:t xml:space="preserve"> Royal Brisbane Hospital. Royal Melbourne Hospital</w:t>
      </w:r>
      <w:r w:rsidR="000A3687" w:rsidRPr="006F2B6C">
        <w:t>,</w:t>
      </w:r>
      <w:r w:rsidR="000A6B2C" w:rsidRPr="006F2B6C">
        <w:t xml:space="preserve"> Liverpool</w:t>
      </w:r>
      <w:r w:rsidR="000A3687" w:rsidRPr="006F2B6C">
        <w:t xml:space="preserve"> Hospital in Sydney</w:t>
      </w:r>
      <w:r w:rsidR="00983A53" w:rsidRPr="006F2B6C">
        <w:t>, Royal Perth Hospital</w:t>
      </w:r>
      <w:r w:rsidR="000A6B2C" w:rsidRPr="006F2B6C">
        <w:t>)</w:t>
      </w:r>
      <w:r w:rsidR="00462301" w:rsidRPr="006F2B6C">
        <w:t xml:space="preserve">, and key pathology laboratories (QML, </w:t>
      </w:r>
      <w:proofErr w:type="spellStart"/>
      <w:r w:rsidR="00462301" w:rsidRPr="006F2B6C">
        <w:t>SnP</w:t>
      </w:r>
      <w:proofErr w:type="spellEnd"/>
      <w:r w:rsidR="009B4CBD" w:rsidRPr="006F2B6C">
        <w:t xml:space="preserve">, Queensland Pathology, </w:t>
      </w:r>
      <w:proofErr w:type="spellStart"/>
      <w:r w:rsidR="009B4CBD" w:rsidRPr="006F2B6C">
        <w:t>Dorevitch</w:t>
      </w:r>
      <w:proofErr w:type="spellEnd"/>
      <w:r w:rsidR="009B4CBD" w:rsidRPr="006F2B6C">
        <w:t xml:space="preserve"> Victoria)</w:t>
      </w:r>
      <w:r w:rsidR="00983A53" w:rsidRPr="006F2B6C">
        <w:t>.</w:t>
      </w:r>
      <w:r w:rsidR="008774C6" w:rsidRPr="006F2B6C">
        <w:t xml:space="preserve"> There will be </w:t>
      </w:r>
      <w:r w:rsidRPr="006F2B6C">
        <w:t xml:space="preserve">travel </w:t>
      </w:r>
      <w:r w:rsidR="00973D38" w:rsidRPr="006F2B6C">
        <w:t xml:space="preserve">included </w:t>
      </w:r>
      <w:r w:rsidRPr="006F2B6C">
        <w:t xml:space="preserve">to key conferences </w:t>
      </w:r>
      <w:proofErr w:type="gramStart"/>
      <w:r w:rsidRPr="006F2B6C">
        <w:t>e.g.</w:t>
      </w:r>
      <w:proofErr w:type="gramEnd"/>
      <w:r w:rsidRPr="006F2B6C">
        <w:t xml:space="preserve"> CDIC, RACP/RACS meetings, Surgical/Medical conferences</w:t>
      </w:r>
      <w:r w:rsidR="00973D38" w:rsidRPr="006F2B6C">
        <w:t xml:space="preserve"> to maximise in-person communication to clinicians and academics</w:t>
      </w:r>
      <w:r w:rsidRPr="006F2B6C">
        <w:t>. The final publication will be aimed for the Medical Journal of Australia.</w:t>
      </w:r>
      <w:r w:rsidR="00973D38" w:rsidRPr="006F2B6C">
        <w:t xml:space="preserve"> Overall, this dissemination plan will reach consumers and general public,</w:t>
      </w:r>
      <w:r w:rsidR="0061729A" w:rsidRPr="006F2B6C">
        <w:t xml:space="preserve"> the clinicians that will treat them</w:t>
      </w:r>
      <w:r w:rsidR="009B4CBD" w:rsidRPr="006F2B6C">
        <w:t>, the pathologists that will perform the test</w:t>
      </w:r>
      <w:r w:rsidR="0061729A" w:rsidRPr="006F2B6C">
        <w:t xml:space="preserve"> and the </w:t>
      </w:r>
      <w:r w:rsidR="008970F3" w:rsidRPr="006F2B6C">
        <w:t>academics that may use this in their future work.</w:t>
      </w:r>
    </w:p>
    <w:p w14:paraId="7010EE2A" w14:textId="223496B3" w:rsidR="00884B93" w:rsidRPr="006F2B6C" w:rsidRDefault="00884B93" w:rsidP="00884B93">
      <w:pPr>
        <w:pStyle w:val="Heading1"/>
        <w:rPr>
          <w:rFonts w:cs="Arial"/>
        </w:rPr>
      </w:pPr>
      <w:bookmarkStart w:id="12" w:name="_Toc141712127"/>
      <w:r w:rsidRPr="006F2B6C">
        <w:rPr>
          <w:rFonts w:cs="Arial"/>
        </w:rPr>
        <w:t>Impact</w:t>
      </w:r>
      <w:bookmarkEnd w:id="12"/>
    </w:p>
    <w:p w14:paraId="160BF915" w14:textId="65702DEE" w:rsidR="0067350A" w:rsidRPr="006F2B6C" w:rsidRDefault="0067350A" w:rsidP="000A3AB6">
      <w:pPr>
        <w:rPr>
          <w:b/>
          <w:bCs/>
          <w:lang w:eastAsia="en-AU"/>
        </w:rPr>
      </w:pPr>
      <w:r w:rsidRPr="006F2B6C">
        <w:rPr>
          <w:lang w:eastAsia="en-AU"/>
        </w:rPr>
        <w:t xml:space="preserve">The proposed research hypothesises that this new method for collecting stool specimens is just as accurate as bulk faeces </w:t>
      </w:r>
      <w:r w:rsidR="000D37E4" w:rsidRPr="006F2B6C">
        <w:rPr>
          <w:lang w:eastAsia="en-AU"/>
        </w:rPr>
        <w:t>testing but</w:t>
      </w:r>
      <w:r w:rsidRPr="006F2B6C">
        <w:rPr>
          <w:lang w:eastAsia="en-AU"/>
        </w:rPr>
        <w:t xml:space="preserve"> is more convenient and comfortable for patients. This novel methodology would involve collecting a swab from the anorectum, which could be done at home or in a healthcare setting. This would allow patients to collect the sample when it is convenient for them, and it would eliminate the need to transport the sample to a clinic.</w:t>
      </w:r>
    </w:p>
    <w:p w14:paraId="645F6375" w14:textId="77777777" w:rsidR="0067350A" w:rsidRPr="006F2B6C" w:rsidRDefault="0067350A" w:rsidP="000A3AB6">
      <w:pPr>
        <w:rPr>
          <w:b/>
          <w:bCs/>
          <w:lang w:eastAsia="en-AU"/>
        </w:rPr>
      </w:pPr>
      <w:r w:rsidRPr="006F2B6C">
        <w:rPr>
          <w:lang w:eastAsia="en-AU"/>
        </w:rPr>
        <w:lastRenderedPageBreak/>
        <w:t xml:space="preserve">These changes to testing would have </w:t>
      </w:r>
      <w:proofErr w:type="gramStart"/>
      <w:r w:rsidRPr="006F2B6C">
        <w:rPr>
          <w:lang w:eastAsia="en-AU"/>
        </w:rPr>
        <w:t>a number of</w:t>
      </w:r>
      <w:proofErr w:type="gramEnd"/>
      <w:r w:rsidRPr="006F2B6C">
        <w:rPr>
          <w:lang w:eastAsia="en-AU"/>
        </w:rPr>
        <w:t xml:space="preserve"> positive impacts. First, it would improve the patient experience by making the process of collecting a stool specimen more convenient and comfortable. Second, it would increase the speed and accuracy of diagnosis by allowing patients to collect the sample when it is freshest. Third, it would reduce the cost of healthcare by eliminating the need for patients to travel to a clinic to collect a stool specimen. Fourth, the ease of testing would mean higher testing rates leading to better diagnoses, and more accurate clinical care. </w:t>
      </w:r>
    </w:p>
    <w:p w14:paraId="60E06FF3" w14:textId="3A776EA0" w:rsidR="00FE4951" w:rsidRPr="006F2B6C" w:rsidRDefault="0067350A" w:rsidP="000A3AB6">
      <w:pPr>
        <w:rPr>
          <w:rFonts w:cs="Arial"/>
          <w:lang w:eastAsia="en-AU"/>
        </w:rPr>
      </w:pPr>
      <w:r w:rsidRPr="006F2B6C">
        <w:rPr>
          <w:lang w:eastAsia="en-AU"/>
        </w:rPr>
        <w:t xml:space="preserve">Overall, the development of this new method of collecting stool specimens would have a significant positive impact on patients, healthcare providers, and the healthcare </w:t>
      </w:r>
      <w:proofErr w:type="gramStart"/>
      <w:r w:rsidRPr="006F2B6C">
        <w:rPr>
          <w:lang w:eastAsia="en-AU"/>
        </w:rPr>
        <w:t>system as a whole</w:t>
      </w:r>
      <w:proofErr w:type="gramEnd"/>
      <w:r w:rsidRPr="006F2B6C">
        <w:rPr>
          <w:lang w:eastAsia="en-AU"/>
        </w:rPr>
        <w:t>. The research project described in this impact statement has the potential to revolutionize daily clinical practice by making the process of collecting stool specimens more convenient, comfortable, and accurate.</w:t>
      </w:r>
    </w:p>
    <w:p w14:paraId="219AD84D" w14:textId="4C741B96" w:rsidR="00FE4951" w:rsidRPr="006F2B6C" w:rsidRDefault="00FE4951" w:rsidP="00FE4951">
      <w:pPr>
        <w:pStyle w:val="Heading1"/>
        <w:rPr>
          <w:rFonts w:cs="Arial"/>
          <w:lang w:eastAsia="en-AU"/>
        </w:rPr>
      </w:pPr>
      <w:bookmarkStart w:id="13" w:name="_Toc141712128"/>
      <w:r w:rsidRPr="006F2B6C">
        <w:rPr>
          <w:rFonts w:cs="Arial"/>
          <w:lang w:eastAsia="en-AU"/>
        </w:rPr>
        <w:t>Strategic Objective Alignments</w:t>
      </w:r>
      <w:bookmarkEnd w:id="13"/>
    </w:p>
    <w:p w14:paraId="1879B152" w14:textId="22C95E92" w:rsidR="00FE4951" w:rsidRPr="006F2B6C" w:rsidRDefault="00FE4951" w:rsidP="00FE4951">
      <w:pPr>
        <w:pStyle w:val="Heading2"/>
        <w:rPr>
          <w:rFonts w:cs="Arial"/>
          <w:lang w:eastAsia="en-AU"/>
        </w:rPr>
      </w:pPr>
      <w:bookmarkStart w:id="14" w:name="_Toc141712129"/>
      <w:r w:rsidRPr="006F2B6C">
        <w:rPr>
          <w:rFonts w:cs="Arial"/>
          <w:lang w:eastAsia="en-AU"/>
        </w:rPr>
        <w:t xml:space="preserve">SCHHS </w:t>
      </w:r>
      <w:r w:rsidR="005C3643" w:rsidRPr="006F2B6C">
        <w:rPr>
          <w:rFonts w:cs="Arial"/>
          <w:lang w:eastAsia="en-AU"/>
        </w:rPr>
        <w:t>Strategic Plan 2022-2026</w:t>
      </w:r>
      <w:bookmarkEnd w:id="14"/>
    </w:p>
    <w:p w14:paraId="3A30F1B0" w14:textId="103EF077" w:rsidR="005C3643" w:rsidRPr="006F2B6C" w:rsidRDefault="005C3643" w:rsidP="005C3643">
      <w:pPr>
        <w:pStyle w:val="Heading3"/>
        <w:rPr>
          <w:rFonts w:cs="Arial"/>
          <w:lang w:eastAsia="en-AU"/>
        </w:rPr>
      </w:pPr>
      <w:r w:rsidRPr="006F2B6C">
        <w:rPr>
          <w:rFonts w:cs="Arial"/>
          <w:lang w:eastAsia="en-AU"/>
        </w:rPr>
        <w:t>Our Care</w:t>
      </w:r>
    </w:p>
    <w:p w14:paraId="4E8BD56B" w14:textId="7214BE6D" w:rsidR="005C3643" w:rsidRPr="006F2B6C" w:rsidRDefault="001B1CD2" w:rsidP="005127D3">
      <w:pPr>
        <w:pStyle w:val="ListParagraph"/>
        <w:numPr>
          <w:ilvl w:val="0"/>
          <w:numId w:val="2"/>
        </w:numPr>
        <w:rPr>
          <w:rFonts w:cs="Arial"/>
        </w:rPr>
      </w:pPr>
      <w:r w:rsidRPr="006F2B6C">
        <w:rPr>
          <w:rFonts w:cs="Arial"/>
        </w:rPr>
        <w:t>Improve access to services and grow into our tertiary provider status in line with our Master Clinical Service Plan.</w:t>
      </w:r>
      <w:r w:rsidR="00B87F8F" w:rsidRPr="006F2B6C">
        <w:rPr>
          <w:rFonts w:cs="Arial"/>
        </w:rPr>
        <w:t xml:space="preserve"> </w:t>
      </w:r>
    </w:p>
    <w:p w14:paraId="18D50BF4" w14:textId="39A427CF" w:rsidR="001B1CD2" w:rsidRPr="006F2B6C" w:rsidRDefault="001B1CD2" w:rsidP="005127D3">
      <w:pPr>
        <w:pStyle w:val="ListParagraph"/>
        <w:numPr>
          <w:ilvl w:val="0"/>
          <w:numId w:val="2"/>
        </w:numPr>
        <w:rPr>
          <w:rFonts w:cs="Arial"/>
          <w:lang w:eastAsia="en-AU"/>
        </w:rPr>
      </w:pPr>
      <w:r w:rsidRPr="006F2B6C">
        <w:rPr>
          <w:rFonts w:cs="Arial"/>
        </w:rPr>
        <w:t>Safeguard our community with our pandemic and disaster preparedness and response.</w:t>
      </w:r>
    </w:p>
    <w:p w14:paraId="55698F97" w14:textId="6C1A38F9" w:rsidR="001B1CD2" w:rsidRPr="006F2B6C" w:rsidRDefault="004D13B4" w:rsidP="005127D3">
      <w:pPr>
        <w:pStyle w:val="Heading3"/>
        <w:rPr>
          <w:rFonts w:cs="Arial"/>
        </w:rPr>
      </w:pPr>
      <w:r w:rsidRPr="006F2B6C">
        <w:rPr>
          <w:rFonts w:cs="Arial"/>
        </w:rPr>
        <w:t>Our Sustainability</w:t>
      </w:r>
    </w:p>
    <w:p w14:paraId="7660E28D" w14:textId="16C8BCD3" w:rsidR="004D13B4" w:rsidRPr="006F2B6C" w:rsidRDefault="004D13B4" w:rsidP="005127D3">
      <w:pPr>
        <w:pStyle w:val="ListParagraph"/>
        <w:numPr>
          <w:ilvl w:val="0"/>
          <w:numId w:val="3"/>
        </w:numPr>
        <w:rPr>
          <w:rFonts w:cs="Arial"/>
        </w:rPr>
      </w:pPr>
      <w:r w:rsidRPr="006F2B6C">
        <w:rPr>
          <w:rFonts w:cs="Arial"/>
        </w:rPr>
        <w:t>Transform non-admitted care to improve patient outcomes.</w:t>
      </w:r>
    </w:p>
    <w:p w14:paraId="5950E915" w14:textId="1F8856E5" w:rsidR="005127D3" w:rsidRPr="006F2B6C" w:rsidRDefault="005127D3" w:rsidP="005127D3">
      <w:pPr>
        <w:pStyle w:val="Heading3"/>
        <w:rPr>
          <w:rFonts w:cs="Arial"/>
        </w:rPr>
      </w:pPr>
      <w:r w:rsidRPr="006F2B6C">
        <w:rPr>
          <w:rFonts w:cs="Arial"/>
        </w:rPr>
        <w:t>Our Future</w:t>
      </w:r>
    </w:p>
    <w:p w14:paraId="0C842775" w14:textId="4F9A373B" w:rsidR="005127D3" w:rsidRPr="006F2B6C" w:rsidRDefault="005127D3" w:rsidP="005127D3">
      <w:pPr>
        <w:pStyle w:val="ListParagraph"/>
        <w:numPr>
          <w:ilvl w:val="0"/>
          <w:numId w:val="3"/>
        </w:numPr>
        <w:rPr>
          <w:rFonts w:cs="Arial"/>
        </w:rPr>
      </w:pPr>
      <w:r w:rsidRPr="006F2B6C">
        <w:rPr>
          <w:rFonts w:cs="Arial"/>
        </w:rPr>
        <w:t>Integrate research, education and clinical care in collaboration with Sunshine Coast Health Institute and other partners.</w:t>
      </w:r>
    </w:p>
    <w:p w14:paraId="453AD2BD" w14:textId="161C0CFA" w:rsidR="005127D3" w:rsidRPr="006F2B6C" w:rsidRDefault="005D4478" w:rsidP="005D4478">
      <w:pPr>
        <w:pStyle w:val="Heading2"/>
        <w:rPr>
          <w:rFonts w:cs="Arial"/>
        </w:rPr>
      </w:pPr>
      <w:bookmarkStart w:id="15" w:name="_Toc141712130"/>
      <w:r w:rsidRPr="006F2B6C">
        <w:rPr>
          <w:rFonts w:cs="Arial"/>
        </w:rPr>
        <w:t>Sunshine Coast Public Health Unit</w:t>
      </w:r>
      <w:r w:rsidR="00636AE0" w:rsidRPr="006F2B6C">
        <w:rPr>
          <w:rFonts w:cs="Arial"/>
        </w:rPr>
        <w:t xml:space="preserve"> Research Strategic Plan 2023-2025</w:t>
      </w:r>
      <w:bookmarkEnd w:id="15"/>
    </w:p>
    <w:p w14:paraId="305EA7B9" w14:textId="522B65F0" w:rsidR="003635E1" w:rsidRPr="006F2B6C" w:rsidRDefault="003635E1" w:rsidP="003635E1">
      <w:pPr>
        <w:pStyle w:val="Heading3"/>
        <w:rPr>
          <w:rFonts w:cs="Arial"/>
        </w:rPr>
      </w:pPr>
      <w:r w:rsidRPr="006F2B6C">
        <w:rPr>
          <w:rFonts w:cs="Arial"/>
        </w:rPr>
        <w:t>Notifiable conditions prevention and control</w:t>
      </w:r>
    </w:p>
    <w:p w14:paraId="21F7A94A" w14:textId="081ED043" w:rsidR="003635E1" w:rsidRPr="006F2B6C" w:rsidRDefault="00112962" w:rsidP="003635E1">
      <w:pPr>
        <w:rPr>
          <w:rFonts w:cs="Arial"/>
        </w:rPr>
      </w:pPr>
      <w:r w:rsidRPr="006F2B6C">
        <w:rPr>
          <w:rFonts w:cs="Arial"/>
        </w:rPr>
        <w:t xml:space="preserve">This project will support the timely diagnosis </w:t>
      </w:r>
      <w:r w:rsidR="00435CA2" w:rsidRPr="006F2B6C">
        <w:rPr>
          <w:rFonts w:cs="Arial"/>
        </w:rPr>
        <w:t>of notifiable conditions thus</w:t>
      </w:r>
      <w:r w:rsidRPr="006F2B6C">
        <w:rPr>
          <w:rFonts w:cs="Arial"/>
        </w:rPr>
        <w:t xml:space="preserve"> improv</w:t>
      </w:r>
      <w:r w:rsidR="00435CA2" w:rsidRPr="006F2B6C">
        <w:rPr>
          <w:rFonts w:cs="Arial"/>
        </w:rPr>
        <w:t>ing</w:t>
      </w:r>
      <w:r w:rsidRPr="006F2B6C">
        <w:rPr>
          <w:rFonts w:cs="Arial"/>
        </w:rPr>
        <w:t xml:space="preserve"> surveillance</w:t>
      </w:r>
      <w:r w:rsidR="00435CA2" w:rsidRPr="006F2B6C">
        <w:rPr>
          <w:rFonts w:cs="Arial"/>
        </w:rPr>
        <w:t>. In addition</w:t>
      </w:r>
      <w:r w:rsidR="003A1118" w:rsidRPr="006F2B6C">
        <w:rPr>
          <w:rFonts w:cs="Arial"/>
        </w:rPr>
        <w:t>,</w:t>
      </w:r>
      <w:r w:rsidR="00435CA2" w:rsidRPr="006F2B6C">
        <w:rPr>
          <w:rFonts w:cs="Arial"/>
        </w:rPr>
        <w:t xml:space="preserve"> it will support</w:t>
      </w:r>
      <w:r w:rsidR="001F39D2" w:rsidRPr="006F2B6C">
        <w:rPr>
          <w:rFonts w:cs="Arial"/>
        </w:rPr>
        <w:t xml:space="preserve"> the</w:t>
      </w:r>
      <w:r w:rsidRPr="006F2B6C">
        <w:rPr>
          <w:rFonts w:cs="Arial"/>
        </w:rPr>
        <w:t xml:space="preserve"> patient experience for those involved</w:t>
      </w:r>
      <w:r w:rsidR="001F39D2" w:rsidRPr="006F2B6C">
        <w:rPr>
          <w:rFonts w:cs="Arial"/>
        </w:rPr>
        <w:t>.</w:t>
      </w:r>
    </w:p>
    <w:p w14:paraId="24EAF38C" w14:textId="77777777" w:rsidR="001F39D2" w:rsidRPr="006F2B6C" w:rsidRDefault="001F39D2" w:rsidP="003635E1">
      <w:pPr>
        <w:rPr>
          <w:rFonts w:cs="Arial"/>
        </w:rPr>
      </w:pPr>
    </w:p>
    <w:p w14:paraId="63343B52" w14:textId="77777777" w:rsidR="00247CEB" w:rsidRPr="006F2B6C" w:rsidRDefault="00247CEB" w:rsidP="00247CEB">
      <w:pPr>
        <w:pStyle w:val="Heading1"/>
        <w:rPr>
          <w:rFonts w:cs="Arial"/>
        </w:rPr>
      </w:pPr>
      <w:bookmarkStart w:id="16" w:name="_Toc141712131"/>
      <w:r w:rsidRPr="006F2B6C">
        <w:rPr>
          <w:rFonts w:cs="Arial"/>
        </w:rPr>
        <w:t>References</w:t>
      </w:r>
      <w:bookmarkEnd w:id="16"/>
    </w:p>
    <w:p w14:paraId="550F93C9" w14:textId="77777777" w:rsidR="00E86BD5" w:rsidRPr="006F2B6C" w:rsidRDefault="00AE55CE" w:rsidP="00E86BD5">
      <w:pPr>
        <w:pStyle w:val="Bibliography"/>
        <w:rPr>
          <w:rFonts w:cs="Arial"/>
        </w:rPr>
      </w:pPr>
      <w:r w:rsidRPr="006F2B6C">
        <w:rPr>
          <w:rFonts w:cs="Arial"/>
        </w:rPr>
        <w:fldChar w:fldCharType="begin"/>
      </w:r>
      <w:r w:rsidR="00E86BD5" w:rsidRPr="006F2B6C">
        <w:rPr>
          <w:rFonts w:cs="Arial"/>
        </w:rPr>
        <w:instrText xml:space="preserve"> ADDIN ZOTERO_BIBL {"uncited":[],"omitted":[],"custom":[]} CSL_BIBLIOGRAPHY </w:instrText>
      </w:r>
      <w:r w:rsidRPr="006F2B6C">
        <w:rPr>
          <w:rFonts w:cs="Arial"/>
        </w:rPr>
        <w:fldChar w:fldCharType="separate"/>
      </w:r>
      <w:r w:rsidR="00E86BD5" w:rsidRPr="006F2B6C">
        <w:rPr>
          <w:rFonts w:cs="Arial"/>
        </w:rPr>
        <w:t xml:space="preserve">1. </w:t>
      </w:r>
      <w:r w:rsidR="00E86BD5" w:rsidRPr="006F2B6C">
        <w:rPr>
          <w:rFonts w:cs="Arial"/>
        </w:rPr>
        <w:tab/>
        <w:t xml:space="preserve">Lecky DM, Hawking MK, McNulty CA. Patients’ perspectives on providing a stool sample to their GP: a qualitative study. Br J Gen Pract. 2014 Nov;64(628):e684–93. </w:t>
      </w:r>
    </w:p>
    <w:p w14:paraId="51A55E36" w14:textId="77777777" w:rsidR="00E86BD5" w:rsidRPr="006F2B6C" w:rsidRDefault="00E86BD5" w:rsidP="00E86BD5">
      <w:pPr>
        <w:pStyle w:val="Bibliography"/>
        <w:rPr>
          <w:rFonts w:cs="Arial"/>
        </w:rPr>
      </w:pPr>
      <w:r w:rsidRPr="006F2B6C">
        <w:rPr>
          <w:rFonts w:cs="Arial"/>
        </w:rPr>
        <w:t xml:space="preserve">2. </w:t>
      </w:r>
      <w:r w:rsidRPr="006F2B6C">
        <w:rPr>
          <w:rFonts w:cs="Arial"/>
        </w:rPr>
        <w:tab/>
        <w:t xml:space="preserve">Radhakrishnan ST, Gallagher KI, Mullish BH, Serrano-Contreras JI, Alexander JL, Miguens Blanco J, et al. Rectal swabs as a viable alternative to faecal sampling for the analysis of gut microbiota functionality and composition. Sci Rep. 2023 Jan 10;13(1):493. </w:t>
      </w:r>
    </w:p>
    <w:p w14:paraId="501C0F70" w14:textId="77777777" w:rsidR="00E86BD5" w:rsidRPr="006F2B6C" w:rsidRDefault="00E86BD5" w:rsidP="00E86BD5">
      <w:pPr>
        <w:pStyle w:val="Bibliography"/>
        <w:rPr>
          <w:rFonts w:cs="Arial"/>
        </w:rPr>
      </w:pPr>
      <w:r w:rsidRPr="006F2B6C">
        <w:rPr>
          <w:rFonts w:cs="Arial"/>
        </w:rPr>
        <w:lastRenderedPageBreak/>
        <w:t xml:space="preserve">3. </w:t>
      </w:r>
      <w:r w:rsidRPr="006F2B6C">
        <w:rPr>
          <w:rFonts w:cs="Arial"/>
        </w:rPr>
        <w:tab/>
        <w:t xml:space="preserve">Currie K, King C, McAloney-Kocaman K, Roberts NJ, MacDonald J, Dickson A, et al. The acceptability of screening for Carbapenemase Producing Enterobacteriaceae (CPE): cross-sectional survey of nursing staff and the general publics’ perceptions. Antimicrob Resist Infect Control. 2018 Dec;7(1):144. </w:t>
      </w:r>
    </w:p>
    <w:p w14:paraId="5F892303" w14:textId="77777777" w:rsidR="00E86BD5" w:rsidRPr="006F2B6C" w:rsidRDefault="00E86BD5" w:rsidP="00E86BD5">
      <w:pPr>
        <w:pStyle w:val="Bibliography"/>
        <w:rPr>
          <w:rFonts w:cs="Arial"/>
        </w:rPr>
      </w:pPr>
      <w:r w:rsidRPr="006F2B6C">
        <w:rPr>
          <w:rFonts w:cs="Arial"/>
        </w:rPr>
        <w:t xml:space="preserve">4. </w:t>
      </w:r>
      <w:r w:rsidRPr="006F2B6C">
        <w:rPr>
          <w:rFonts w:cs="Arial"/>
        </w:rPr>
        <w:tab/>
        <w:t>National Health and Medical Research Council. Australian Guidelines for the Prevention and Control of Infection in Healthcare (2019) [Internet]. Canberra: Commonwealth of Australia; 2019 [cited 2023 Aug 29]. Available from: https://www.safetyandquality.gov.au/sites/default/files/2021-02/australian_guidelines_for_the_prevention_and_control_of_infection_in_health_care_-_current_version_-_v11.4_5_january_2021.pdf</w:t>
      </w:r>
    </w:p>
    <w:p w14:paraId="2B111670" w14:textId="77777777" w:rsidR="00E86BD5" w:rsidRPr="006F2B6C" w:rsidRDefault="00E86BD5" w:rsidP="00E86BD5">
      <w:pPr>
        <w:pStyle w:val="Bibliography"/>
        <w:rPr>
          <w:rFonts w:cs="Arial"/>
        </w:rPr>
      </w:pPr>
      <w:r w:rsidRPr="006F2B6C">
        <w:rPr>
          <w:rFonts w:cs="Arial"/>
        </w:rPr>
        <w:t xml:space="preserve">5. </w:t>
      </w:r>
      <w:r w:rsidRPr="006F2B6C">
        <w:rPr>
          <w:rFonts w:cs="Arial"/>
        </w:rPr>
        <w:tab/>
        <w:t xml:space="preserve">Snijders PJF, Verhoef VMJ, Arbyn M, Ogilvie G, Minozzi S, Banzi R, et al. High-risk HPV testing on self-sampled </w:t>
      </w:r>
      <w:r w:rsidRPr="006F2B6C">
        <w:rPr>
          <w:rFonts w:cs="Arial"/>
          <w:i/>
          <w:iCs/>
        </w:rPr>
        <w:t>versus</w:t>
      </w:r>
      <w:r w:rsidRPr="006F2B6C">
        <w:rPr>
          <w:rFonts w:cs="Arial"/>
        </w:rPr>
        <w:t xml:space="preserve"> clinician-collected specimens: A review on the clinical accuracy and impact on population attendance in cervical cancer screening. Int J Cancer. 2013 May 15;132(10):2223–36. </w:t>
      </w:r>
    </w:p>
    <w:p w14:paraId="49969330" w14:textId="77777777" w:rsidR="00E86BD5" w:rsidRPr="006F2B6C" w:rsidRDefault="00E86BD5" w:rsidP="00E86BD5">
      <w:pPr>
        <w:pStyle w:val="Bibliography"/>
        <w:rPr>
          <w:rFonts w:cs="Arial"/>
        </w:rPr>
      </w:pPr>
      <w:r w:rsidRPr="006F2B6C">
        <w:rPr>
          <w:rFonts w:cs="Arial"/>
        </w:rPr>
        <w:t xml:space="preserve">6. </w:t>
      </w:r>
      <w:r w:rsidRPr="006F2B6C">
        <w:rPr>
          <w:rFonts w:cs="Arial"/>
        </w:rPr>
        <w:tab/>
        <w:t xml:space="preserve">Cruickshank R, Swyer R. An Outbreak of Sonne Dysentery. The Lancet. 1940 Dec;236(6122):803–5. </w:t>
      </w:r>
    </w:p>
    <w:p w14:paraId="309983BC" w14:textId="77777777" w:rsidR="00E86BD5" w:rsidRPr="006F2B6C" w:rsidRDefault="00E86BD5" w:rsidP="00E86BD5">
      <w:pPr>
        <w:pStyle w:val="Bibliography"/>
        <w:rPr>
          <w:rFonts w:cs="Arial"/>
        </w:rPr>
      </w:pPr>
      <w:r w:rsidRPr="006F2B6C">
        <w:rPr>
          <w:rFonts w:cs="Arial"/>
        </w:rPr>
        <w:t xml:space="preserve">7. </w:t>
      </w:r>
      <w:r w:rsidRPr="006F2B6C">
        <w:rPr>
          <w:rFonts w:cs="Arial"/>
        </w:rPr>
        <w:tab/>
        <w:t xml:space="preserve">Thomas MEM. Disadvantages of the Rectal Swab in Diagnosis of Diarrhoea. Br Med J. 1954 Aug 14;2(4884):394–6. </w:t>
      </w:r>
    </w:p>
    <w:p w14:paraId="0C5FA156" w14:textId="77777777" w:rsidR="00E86BD5" w:rsidRPr="006F2B6C" w:rsidRDefault="00E86BD5" w:rsidP="00E86BD5">
      <w:pPr>
        <w:pStyle w:val="Bibliography"/>
        <w:rPr>
          <w:rFonts w:cs="Arial"/>
        </w:rPr>
      </w:pPr>
      <w:r w:rsidRPr="006F2B6C">
        <w:rPr>
          <w:rFonts w:cs="Arial"/>
        </w:rPr>
        <w:t xml:space="preserve">8. </w:t>
      </w:r>
      <w:r w:rsidRPr="006F2B6C">
        <w:rPr>
          <w:rFonts w:cs="Arial"/>
        </w:rPr>
        <w:tab/>
        <w:t xml:space="preserve">Kotton CN, Lankowski AJ, Hohmann EL. Comparison of rectal swabs with fecal cultures for detection of Salmonella typhimurium in adult volunteers. Diagn Microbiol Infect Dis. 2006 Oct;56(2):123–6. </w:t>
      </w:r>
    </w:p>
    <w:p w14:paraId="4BBD1225" w14:textId="77777777" w:rsidR="00E86BD5" w:rsidRPr="006F2B6C" w:rsidRDefault="00E86BD5" w:rsidP="00E86BD5">
      <w:pPr>
        <w:pStyle w:val="Bibliography"/>
        <w:rPr>
          <w:rFonts w:cs="Arial"/>
        </w:rPr>
      </w:pPr>
      <w:r w:rsidRPr="006F2B6C">
        <w:rPr>
          <w:rFonts w:cs="Arial"/>
        </w:rPr>
        <w:t xml:space="preserve">9. </w:t>
      </w:r>
      <w:r w:rsidRPr="006F2B6C">
        <w:rPr>
          <w:rFonts w:cs="Arial"/>
        </w:rPr>
        <w:tab/>
        <w:t xml:space="preserve">Kotar T, Pirš M, Steyer A, Cerar T, Šoba B, Skvarc M, et al. Evaluation of rectal swab use for the determination of enteric pathogens: a prospective study of diarrhoea in adults. Clin Microbiol Infect. 2019 Jun;25(6):733–8. </w:t>
      </w:r>
    </w:p>
    <w:p w14:paraId="2F6DEE3C" w14:textId="77777777" w:rsidR="00E86BD5" w:rsidRPr="006F2B6C" w:rsidRDefault="00E86BD5" w:rsidP="00E86BD5">
      <w:pPr>
        <w:pStyle w:val="Bibliography"/>
        <w:rPr>
          <w:rFonts w:cs="Arial"/>
        </w:rPr>
      </w:pPr>
      <w:r w:rsidRPr="006F2B6C">
        <w:rPr>
          <w:rFonts w:cs="Arial"/>
        </w:rPr>
        <w:t xml:space="preserve">10. </w:t>
      </w:r>
      <w:r w:rsidRPr="006F2B6C">
        <w:rPr>
          <w:rFonts w:cs="Arial"/>
        </w:rPr>
        <w:tab/>
        <w:t xml:space="preserve">Kabayiza JC, Andersson ME, Welinder-Olsson C, Bergström T, Muhirwa G, Lindh M. Comparison of rectal swabs and faeces for real-time PCR detection of enteric agents in Rwandan children with gastroenteritis. BMC Infect Dis. 2013 Sep 27;13:447. </w:t>
      </w:r>
    </w:p>
    <w:p w14:paraId="275930A4" w14:textId="77777777" w:rsidR="00E86BD5" w:rsidRPr="006F2B6C" w:rsidRDefault="00E86BD5" w:rsidP="00E86BD5">
      <w:pPr>
        <w:pStyle w:val="Bibliography"/>
        <w:rPr>
          <w:rFonts w:cs="Arial"/>
        </w:rPr>
      </w:pPr>
      <w:r w:rsidRPr="006F2B6C">
        <w:rPr>
          <w:rFonts w:cs="Arial"/>
        </w:rPr>
        <w:t xml:space="preserve">11. </w:t>
      </w:r>
      <w:r w:rsidRPr="006F2B6C">
        <w:rPr>
          <w:rFonts w:cs="Arial"/>
        </w:rPr>
        <w:tab/>
        <w:t xml:space="preserve">Sidler JA, Käch R, Noppen C, Dangel M, Battegay M, Bingisser R, et al. Rectal swab for detection of norovirus by real-time PCR: similar sensitivity compared to faecal specimens. Clin Microbiol Infect. 2014 Dec;20(12):O1017–9. </w:t>
      </w:r>
    </w:p>
    <w:p w14:paraId="23ABC9F0" w14:textId="77777777" w:rsidR="00E86BD5" w:rsidRPr="006F2B6C" w:rsidRDefault="00E86BD5" w:rsidP="00E86BD5">
      <w:pPr>
        <w:pStyle w:val="Bibliography"/>
        <w:rPr>
          <w:rFonts w:cs="Arial"/>
        </w:rPr>
      </w:pPr>
      <w:r w:rsidRPr="006F2B6C">
        <w:rPr>
          <w:rFonts w:cs="Arial"/>
        </w:rPr>
        <w:t xml:space="preserve">12. </w:t>
      </w:r>
      <w:r w:rsidRPr="006F2B6C">
        <w:rPr>
          <w:rFonts w:cs="Arial"/>
        </w:rPr>
        <w:tab/>
        <w:t xml:space="preserve">Franklin N, Camphor H, Wright R, Stafford R, Glasgow K, Sheppeard V. Outbreak of hepatitis A genotype IB in Australia associated with imported frozen pomegranate arils. Epidemiol Infect. 2019 Jan 25;147:e74. </w:t>
      </w:r>
    </w:p>
    <w:p w14:paraId="106EC52C" w14:textId="77777777" w:rsidR="00E86BD5" w:rsidRPr="006F2B6C" w:rsidRDefault="00E86BD5" w:rsidP="00E86BD5">
      <w:pPr>
        <w:pStyle w:val="Bibliography"/>
        <w:rPr>
          <w:rFonts w:cs="Arial"/>
        </w:rPr>
      </w:pPr>
      <w:r w:rsidRPr="006F2B6C">
        <w:rPr>
          <w:rFonts w:cs="Arial"/>
        </w:rPr>
        <w:t xml:space="preserve">13. </w:t>
      </w:r>
      <w:r w:rsidRPr="006F2B6C">
        <w:rPr>
          <w:rFonts w:cs="Arial"/>
        </w:rPr>
        <w:tab/>
        <w:t xml:space="preserve">Kwon SY, Park SH, Yeon JE, Jeong SH, Kwon OS, Lee JW, et al. Clinical Characteristics and Outcomes of Acute Hepatitis A in Korea: A Nationwide Multicenter Study. J Korean Med Sci. 2014 Feb;29(2):248–53. </w:t>
      </w:r>
    </w:p>
    <w:p w14:paraId="048ED951" w14:textId="77777777" w:rsidR="00E86BD5" w:rsidRPr="006F2B6C" w:rsidRDefault="00E86BD5" w:rsidP="00E86BD5">
      <w:pPr>
        <w:pStyle w:val="Bibliography"/>
        <w:rPr>
          <w:rFonts w:cs="Arial"/>
        </w:rPr>
      </w:pPr>
      <w:r w:rsidRPr="006F2B6C">
        <w:rPr>
          <w:rFonts w:cs="Arial"/>
        </w:rPr>
        <w:t xml:space="preserve">14. </w:t>
      </w:r>
      <w:r w:rsidRPr="006F2B6C">
        <w:rPr>
          <w:rFonts w:cs="Arial"/>
        </w:rPr>
        <w:tab/>
        <w:t>Office for Civil Rights. Guidance Regarding Methods for De-identification of Protected Health Information in Accordance with the Health Insurance Portability and Accountability Act (HIPAA) Privacy Rule [Internet]. HHS.gov. 2012 [cited 2023 Jul 13]. Available from: https://www.hhs.gov/hipaa/for-professionals/privacy/special-topics/de-identification/index.html</w:t>
      </w:r>
    </w:p>
    <w:p w14:paraId="7733B1F8" w14:textId="77777777" w:rsidR="00E86BD5" w:rsidRPr="006F2B6C" w:rsidRDefault="00E86BD5" w:rsidP="00E86BD5">
      <w:pPr>
        <w:pStyle w:val="Bibliography"/>
        <w:rPr>
          <w:rFonts w:cs="Arial"/>
        </w:rPr>
      </w:pPr>
      <w:r w:rsidRPr="006F2B6C">
        <w:rPr>
          <w:rFonts w:cs="Arial"/>
        </w:rPr>
        <w:t xml:space="preserve">15. </w:t>
      </w:r>
      <w:r w:rsidRPr="006F2B6C">
        <w:rPr>
          <w:rFonts w:cs="Arial"/>
        </w:rPr>
        <w:tab/>
        <w:t>OAIC. Guide to data analytics and the Australian Privacy Principles [Internet]. OAIC. 2023 [cited 2023 Jul 13]. Available from: https://www.oaic.gov.au/privacy/privacy-</w:t>
      </w:r>
      <w:r w:rsidRPr="006F2B6C">
        <w:rPr>
          <w:rFonts w:cs="Arial"/>
        </w:rPr>
        <w:lastRenderedPageBreak/>
        <w:t>guidance-for-organisations-and-government-agencies/more-guidance/guide-to-data-analytics-and-the-australian-privacy-principles</w:t>
      </w:r>
    </w:p>
    <w:p w14:paraId="153F641E" w14:textId="77777777" w:rsidR="00E86BD5" w:rsidRPr="006F2B6C" w:rsidRDefault="00E86BD5" w:rsidP="00E86BD5">
      <w:pPr>
        <w:pStyle w:val="Bibliography"/>
        <w:rPr>
          <w:rFonts w:cs="Arial"/>
        </w:rPr>
      </w:pPr>
      <w:r w:rsidRPr="006F2B6C">
        <w:rPr>
          <w:rFonts w:cs="Arial"/>
        </w:rPr>
        <w:t xml:space="preserve">16. </w:t>
      </w:r>
      <w:r w:rsidRPr="006F2B6C">
        <w:rPr>
          <w:rFonts w:cs="Arial"/>
        </w:rPr>
        <w:tab/>
        <w:t>Office of the Australian Information Commissioner. De-identification and the Privacy Act [Internet]. Australian Government; 2018 Mar. Available from: oaic.gov.au</w:t>
      </w:r>
    </w:p>
    <w:p w14:paraId="3BF09177" w14:textId="77777777" w:rsidR="00E86BD5" w:rsidRPr="006F2B6C" w:rsidRDefault="00E86BD5" w:rsidP="00E86BD5">
      <w:pPr>
        <w:pStyle w:val="Bibliography"/>
        <w:rPr>
          <w:rFonts w:cs="Arial"/>
        </w:rPr>
      </w:pPr>
      <w:r w:rsidRPr="006F2B6C">
        <w:rPr>
          <w:rFonts w:cs="Arial"/>
        </w:rPr>
        <w:t xml:space="preserve">17. </w:t>
      </w:r>
      <w:r w:rsidRPr="006F2B6C">
        <w:rPr>
          <w:rFonts w:cs="Arial"/>
        </w:rPr>
        <w:tab/>
        <w:t>Information and Privacy Commisioner of Ontario. De-identification Guidelines  for Structured Data [Internet]. [cited 2023 Jul 13]. Available from: https://www.ipc.on.ca/wp-content/uploads/2016/08/Deidentification-Guidelines-for-Structured-Data.pdf</w:t>
      </w:r>
    </w:p>
    <w:p w14:paraId="17094F69" w14:textId="77777777" w:rsidR="00E86BD5" w:rsidRPr="006F2B6C" w:rsidRDefault="00E86BD5" w:rsidP="00E86BD5">
      <w:pPr>
        <w:pStyle w:val="Bibliography"/>
        <w:rPr>
          <w:rFonts w:cs="Arial"/>
        </w:rPr>
      </w:pPr>
      <w:r w:rsidRPr="006F2B6C">
        <w:rPr>
          <w:rFonts w:cs="Arial"/>
        </w:rPr>
        <w:t xml:space="preserve">18. </w:t>
      </w:r>
      <w:r w:rsidRPr="006F2B6C">
        <w:rPr>
          <w:rFonts w:cs="Arial"/>
        </w:rPr>
        <w:tab/>
        <w:t>O’Keefe C, Otorepec S, Elliot M, Mackey E, O’Hara K. The De</w:t>
      </w:r>
      <w:r w:rsidRPr="006F2B6C">
        <w:rPr>
          <w:rFonts w:ascii="Cambria Math" w:hAnsi="Cambria Math" w:cs="Cambria Math"/>
        </w:rPr>
        <w:t>‐</w:t>
      </w:r>
      <w:r w:rsidRPr="006F2B6C">
        <w:rPr>
          <w:rFonts w:cs="Arial"/>
        </w:rPr>
        <w:t>Identification Decision</w:t>
      </w:r>
      <w:r w:rsidRPr="006F2B6C">
        <w:rPr>
          <w:rFonts w:ascii="Cambria Math" w:hAnsi="Cambria Math" w:cs="Cambria Math"/>
        </w:rPr>
        <w:t>‐</w:t>
      </w:r>
      <w:r w:rsidRPr="006F2B6C">
        <w:rPr>
          <w:rFonts w:cs="Arial"/>
        </w:rPr>
        <w:t>Making Framework. CSIRO Rep [Internet]. 2017 Sep 18 [cited 2023 Jul 13];EP173122 and EP175702. Available from: https://publications.csiro.au/publications/publication/PIcsiro:EP173122</w:t>
      </w:r>
    </w:p>
    <w:p w14:paraId="42AFF023" w14:textId="1419397D" w:rsidR="00247CEB" w:rsidRPr="006F2B6C" w:rsidRDefault="00AE55CE" w:rsidP="00247CEB">
      <w:pPr>
        <w:rPr>
          <w:rFonts w:cs="Arial"/>
        </w:rPr>
      </w:pPr>
      <w:r w:rsidRPr="006F2B6C">
        <w:rPr>
          <w:rFonts w:cs="Arial"/>
        </w:rPr>
        <w:fldChar w:fldCharType="end"/>
      </w:r>
    </w:p>
    <w:p w14:paraId="729C451B" w14:textId="77777777" w:rsidR="00247CEB" w:rsidRPr="006F2B6C" w:rsidRDefault="00247CEB" w:rsidP="00247CEB">
      <w:pPr>
        <w:rPr>
          <w:rFonts w:cs="Arial"/>
        </w:rPr>
      </w:pPr>
    </w:p>
    <w:p w14:paraId="70140734" w14:textId="77777777" w:rsidR="00247CEB" w:rsidRPr="006F2B6C" w:rsidRDefault="00247CEB" w:rsidP="00247CEB">
      <w:pPr>
        <w:rPr>
          <w:rFonts w:cs="Arial"/>
        </w:rPr>
      </w:pPr>
    </w:p>
    <w:p w14:paraId="4B655365" w14:textId="77777777" w:rsidR="00247CEB" w:rsidRPr="006F2B6C" w:rsidRDefault="00247CEB" w:rsidP="00247CEB">
      <w:pPr>
        <w:rPr>
          <w:rFonts w:cs="Arial"/>
        </w:rPr>
      </w:pPr>
    </w:p>
    <w:sectPr w:rsidR="00247CEB" w:rsidRPr="006F2B6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9594E" w14:textId="77777777" w:rsidR="00E43C2F" w:rsidRDefault="00E43C2F" w:rsidP="009B3976">
      <w:pPr>
        <w:spacing w:after="0" w:line="240" w:lineRule="auto"/>
      </w:pPr>
      <w:r>
        <w:separator/>
      </w:r>
    </w:p>
  </w:endnote>
  <w:endnote w:type="continuationSeparator" w:id="0">
    <w:p w14:paraId="27A84321" w14:textId="77777777" w:rsidR="00E43C2F" w:rsidRDefault="00E43C2F" w:rsidP="009B3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E0F1" w14:textId="66CB20AC" w:rsidR="009B3976" w:rsidRDefault="009E2A67">
    <w:pPr>
      <w:pStyle w:val="Footer"/>
    </w:pPr>
    <w:r>
      <w:t xml:space="preserve">Version </w:t>
    </w:r>
    <w:r w:rsidR="00A15C16">
      <w:t>1.1</w:t>
    </w:r>
    <w:r w:rsidR="00432C3E">
      <w:t>8</w:t>
    </w:r>
    <w:r>
      <w:ptab w:relativeTo="margin" w:alignment="center" w:leader="none"/>
    </w:r>
    <w:r w:rsidR="00A15C16">
      <w:fldChar w:fldCharType="begin"/>
    </w:r>
    <w:r w:rsidR="00A15C16">
      <w:instrText xml:space="preserve"> PAGE  \* Arabic  \* MERGEFORMAT </w:instrText>
    </w:r>
    <w:r w:rsidR="00A15C16">
      <w:fldChar w:fldCharType="separate"/>
    </w:r>
    <w:r w:rsidR="00A15C16">
      <w:rPr>
        <w:noProof/>
      </w:rPr>
      <w:t>1</w:t>
    </w:r>
    <w:r w:rsidR="00A15C16">
      <w:fldChar w:fldCharType="end"/>
    </w:r>
    <w:r>
      <w:ptab w:relativeTo="margin" w:alignment="right" w:leader="none"/>
    </w:r>
    <w:r w:rsidR="00A729FE">
      <w:fldChar w:fldCharType="begin"/>
    </w:r>
    <w:r w:rsidR="00A729FE">
      <w:instrText xml:space="preserve"> DATE \@ "d MMMM yyyy" </w:instrText>
    </w:r>
    <w:r w:rsidR="00A729FE">
      <w:fldChar w:fldCharType="separate"/>
    </w:r>
    <w:r w:rsidR="00432C3E">
      <w:rPr>
        <w:noProof/>
      </w:rPr>
      <w:t>12 January 2024</w:t>
    </w:r>
    <w:r w:rsidR="00A729F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5B9F9" w14:textId="77777777" w:rsidR="00E43C2F" w:rsidRDefault="00E43C2F" w:rsidP="009B3976">
      <w:pPr>
        <w:spacing w:after="0" w:line="240" w:lineRule="auto"/>
      </w:pPr>
      <w:r>
        <w:separator/>
      </w:r>
    </w:p>
  </w:footnote>
  <w:footnote w:type="continuationSeparator" w:id="0">
    <w:p w14:paraId="6AF5A05F" w14:textId="77777777" w:rsidR="00E43C2F" w:rsidRDefault="00E43C2F" w:rsidP="009B3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9545D"/>
    <w:multiLevelType w:val="multilevel"/>
    <w:tmpl w:val="6098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E4EB9"/>
    <w:multiLevelType w:val="hybridMultilevel"/>
    <w:tmpl w:val="B6B26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DF0D88"/>
    <w:multiLevelType w:val="multilevel"/>
    <w:tmpl w:val="73A05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8130C"/>
    <w:multiLevelType w:val="hybridMultilevel"/>
    <w:tmpl w:val="BB5C5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142189"/>
    <w:multiLevelType w:val="hybridMultilevel"/>
    <w:tmpl w:val="6D1411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3714ACE"/>
    <w:multiLevelType w:val="hybridMultilevel"/>
    <w:tmpl w:val="E49A8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017486"/>
    <w:multiLevelType w:val="hybridMultilevel"/>
    <w:tmpl w:val="221AC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CB20A3D"/>
    <w:multiLevelType w:val="hybridMultilevel"/>
    <w:tmpl w:val="F752A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3179B9"/>
    <w:multiLevelType w:val="hybridMultilevel"/>
    <w:tmpl w:val="EBB2B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8107349">
    <w:abstractNumId w:val="0"/>
  </w:num>
  <w:num w:numId="2" w16cid:durableId="45186206">
    <w:abstractNumId w:val="7"/>
  </w:num>
  <w:num w:numId="3" w16cid:durableId="637958864">
    <w:abstractNumId w:val="5"/>
  </w:num>
  <w:num w:numId="4" w16cid:durableId="1433208002">
    <w:abstractNumId w:val="2"/>
  </w:num>
  <w:num w:numId="5" w16cid:durableId="1923561508">
    <w:abstractNumId w:val="1"/>
  </w:num>
  <w:num w:numId="6" w16cid:durableId="1801655456">
    <w:abstractNumId w:val="8"/>
  </w:num>
  <w:num w:numId="7" w16cid:durableId="1848327647">
    <w:abstractNumId w:val="6"/>
  </w:num>
  <w:num w:numId="8" w16cid:durableId="1152940119">
    <w:abstractNumId w:val="3"/>
  </w:num>
  <w:num w:numId="9" w16cid:durableId="15589735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4C1"/>
    <w:rsid w:val="00003F33"/>
    <w:rsid w:val="00014928"/>
    <w:rsid w:val="00022632"/>
    <w:rsid w:val="000251CB"/>
    <w:rsid w:val="00025CEC"/>
    <w:rsid w:val="00027E01"/>
    <w:rsid w:val="00030B92"/>
    <w:rsid w:val="00035C65"/>
    <w:rsid w:val="000360DC"/>
    <w:rsid w:val="00040C23"/>
    <w:rsid w:val="0004443E"/>
    <w:rsid w:val="00052163"/>
    <w:rsid w:val="000560B8"/>
    <w:rsid w:val="000563EB"/>
    <w:rsid w:val="000608EF"/>
    <w:rsid w:val="0006316E"/>
    <w:rsid w:val="00064B6F"/>
    <w:rsid w:val="00086748"/>
    <w:rsid w:val="00094FB5"/>
    <w:rsid w:val="000951A3"/>
    <w:rsid w:val="0009685F"/>
    <w:rsid w:val="000A3137"/>
    <w:rsid w:val="000A3687"/>
    <w:rsid w:val="000A3AB6"/>
    <w:rsid w:val="000A6B2C"/>
    <w:rsid w:val="000A74F4"/>
    <w:rsid w:val="000A7FEE"/>
    <w:rsid w:val="000B25C5"/>
    <w:rsid w:val="000B59F7"/>
    <w:rsid w:val="000B5A42"/>
    <w:rsid w:val="000C2639"/>
    <w:rsid w:val="000C2873"/>
    <w:rsid w:val="000D37E4"/>
    <w:rsid w:val="000D58D1"/>
    <w:rsid w:val="000E4C6E"/>
    <w:rsid w:val="000E5115"/>
    <w:rsid w:val="000E5FF4"/>
    <w:rsid w:val="00106D87"/>
    <w:rsid w:val="00111E52"/>
    <w:rsid w:val="00112962"/>
    <w:rsid w:val="0011726C"/>
    <w:rsid w:val="001210B8"/>
    <w:rsid w:val="0012473C"/>
    <w:rsid w:val="00124ED6"/>
    <w:rsid w:val="001315E5"/>
    <w:rsid w:val="001422C5"/>
    <w:rsid w:val="00153316"/>
    <w:rsid w:val="001608A0"/>
    <w:rsid w:val="00170726"/>
    <w:rsid w:val="0017541C"/>
    <w:rsid w:val="00180398"/>
    <w:rsid w:val="00183F4A"/>
    <w:rsid w:val="00184C1B"/>
    <w:rsid w:val="00191AC2"/>
    <w:rsid w:val="001A0C2D"/>
    <w:rsid w:val="001A12D8"/>
    <w:rsid w:val="001A30CD"/>
    <w:rsid w:val="001A637B"/>
    <w:rsid w:val="001B1CD2"/>
    <w:rsid w:val="001B4FAA"/>
    <w:rsid w:val="001B7058"/>
    <w:rsid w:val="001C1956"/>
    <w:rsid w:val="001C22B7"/>
    <w:rsid w:val="001D13B8"/>
    <w:rsid w:val="001D6311"/>
    <w:rsid w:val="001D6494"/>
    <w:rsid w:val="001E2E9E"/>
    <w:rsid w:val="001E4164"/>
    <w:rsid w:val="001E437D"/>
    <w:rsid w:val="001F0673"/>
    <w:rsid w:val="001F0978"/>
    <w:rsid w:val="001F0A3D"/>
    <w:rsid w:val="001F39D2"/>
    <w:rsid w:val="001F7027"/>
    <w:rsid w:val="00211FA8"/>
    <w:rsid w:val="00212BEA"/>
    <w:rsid w:val="002200FF"/>
    <w:rsid w:val="002206B5"/>
    <w:rsid w:val="00220F37"/>
    <w:rsid w:val="002221EA"/>
    <w:rsid w:val="002238E0"/>
    <w:rsid w:val="00225039"/>
    <w:rsid w:val="00230043"/>
    <w:rsid w:val="00235F10"/>
    <w:rsid w:val="002403EC"/>
    <w:rsid w:val="0024652A"/>
    <w:rsid w:val="00247CEB"/>
    <w:rsid w:val="00250A40"/>
    <w:rsid w:val="00251C5E"/>
    <w:rsid w:val="002563A2"/>
    <w:rsid w:val="00277C06"/>
    <w:rsid w:val="00277E63"/>
    <w:rsid w:val="00280481"/>
    <w:rsid w:val="00280F22"/>
    <w:rsid w:val="0028117B"/>
    <w:rsid w:val="002814C5"/>
    <w:rsid w:val="00291D3B"/>
    <w:rsid w:val="00296688"/>
    <w:rsid w:val="002A0464"/>
    <w:rsid w:val="002A12ED"/>
    <w:rsid w:val="002B11A6"/>
    <w:rsid w:val="002B11E5"/>
    <w:rsid w:val="002B2C34"/>
    <w:rsid w:val="002B3456"/>
    <w:rsid w:val="002B4C6E"/>
    <w:rsid w:val="002B7BC7"/>
    <w:rsid w:val="002C09F5"/>
    <w:rsid w:val="002C113F"/>
    <w:rsid w:val="002D128C"/>
    <w:rsid w:val="002D5035"/>
    <w:rsid w:val="002D5332"/>
    <w:rsid w:val="002E1B84"/>
    <w:rsid w:val="002E4DFE"/>
    <w:rsid w:val="002F00F8"/>
    <w:rsid w:val="002F09CF"/>
    <w:rsid w:val="002F0CD4"/>
    <w:rsid w:val="00303CF6"/>
    <w:rsid w:val="0030426A"/>
    <w:rsid w:val="003069FF"/>
    <w:rsid w:val="00311EC3"/>
    <w:rsid w:val="0031377A"/>
    <w:rsid w:val="00315055"/>
    <w:rsid w:val="00317A88"/>
    <w:rsid w:val="00322C56"/>
    <w:rsid w:val="00323B85"/>
    <w:rsid w:val="00340EC7"/>
    <w:rsid w:val="00346E9A"/>
    <w:rsid w:val="00352BD9"/>
    <w:rsid w:val="00352EF1"/>
    <w:rsid w:val="003549D4"/>
    <w:rsid w:val="00354C03"/>
    <w:rsid w:val="00356BA1"/>
    <w:rsid w:val="003635E1"/>
    <w:rsid w:val="00366528"/>
    <w:rsid w:val="00367629"/>
    <w:rsid w:val="00371666"/>
    <w:rsid w:val="00374ADA"/>
    <w:rsid w:val="0038148F"/>
    <w:rsid w:val="003852D8"/>
    <w:rsid w:val="00385D31"/>
    <w:rsid w:val="003907A4"/>
    <w:rsid w:val="0039134B"/>
    <w:rsid w:val="00391628"/>
    <w:rsid w:val="0039331E"/>
    <w:rsid w:val="00394567"/>
    <w:rsid w:val="003A1118"/>
    <w:rsid w:val="003B1B55"/>
    <w:rsid w:val="003B4337"/>
    <w:rsid w:val="003C3D4A"/>
    <w:rsid w:val="003D27C4"/>
    <w:rsid w:val="003D375B"/>
    <w:rsid w:val="003D4392"/>
    <w:rsid w:val="003D6835"/>
    <w:rsid w:val="003E097E"/>
    <w:rsid w:val="003F0CB6"/>
    <w:rsid w:val="00400051"/>
    <w:rsid w:val="00401BCE"/>
    <w:rsid w:val="00406019"/>
    <w:rsid w:val="00407553"/>
    <w:rsid w:val="00412176"/>
    <w:rsid w:val="0041510B"/>
    <w:rsid w:val="004228AE"/>
    <w:rsid w:val="00422FFD"/>
    <w:rsid w:val="00432C3E"/>
    <w:rsid w:val="00435CA2"/>
    <w:rsid w:val="00436A45"/>
    <w:rsid w:val="0043715E"/>
    <w:rsid w:val="00437760"/>
    <w:rsid w:val="004400C1"/>
    <w:rsid w:val="0044192B"/>
    <w:rsid w:val="004429E6"/>
    <w:rsid w:val="00445FEB"/>
    <w:rsid w:val="00453332"/>
    <w:rsid w:val="004612B6"/>
    <w:rsid w:val="00462301"/>
    <w:rsid w:val="0046507C"/>
    <w:rsid w:val="00465304"/>
    <w:rsid w:val="00472D95"/>
    <w:rsid w:val="00473FF2"/>
    <w:rsid w:val="00474542"/>
    <w:rsid w:val="0048582C"/>
    <w:rsid w:val="00495BB2"/>
    <w:rsid w:val="004A3250"/>
    <w:rsid w:val="004A44E7"/>
    <w:rsid w:val="004B6255"/>
    <w:rsid w:val="004C1CB7"/>
    <w:rsid w:val="004C21D6"/>
    <w:rsid w:val="004C6E09"/>
    <w:rsid w:val="004D13B4"/>
    <w:rsid w:val="004D52BF"/>
    <w:rsid w:val="004D7D21"/>
    <w:rsid w:val="004F0BCF"/>
    <w:rsid w:val="004F3A5B"/>
    <w:rsid w:val="004F4400"/>
    <w:rsid w:val="005012D9"/>
    <w:rsid w:val="00501C2E"/>
    <w:rsid w:val="00504DBB"/>
    <w:rsid w:val="005127D3"/>
    <w:rsid w:val="005145C4"/>
    <w:rsid w:val="00516C5B"/>
    <w:rsid w:val="00521BC9"/>
    <w:rsid w:val="005236A6"/>
    <w:rsid w:val="00524CA5"/>
    <w:rsid w:val="00525891"/>
    <w:rsid w:val="005370BC"/>
    <w:rsid w:val="00540E29"/>
    <w:rsid w:val="005448BE"/>
    <w:rsid w:val="0055037B"/>
    <w:rsid w:val="005558E8"/>
    <w:rsid w:val="00556284"/>
    <w:rsid w:val="005632E7"/>
    <w:rsid w:val="00567AB5"/>
    <w:rsid w:val="00570C68"/>
    <w:rsid w:val="0057651E"/>
    <w:rsid w:val="005803CF"/>
    <w:rsid w:val="005921A9"/>
    <w:rsid w:val="005A3C72"/>
    <w:rsid w:val="005A76CA"/>
    <w:rsid w:val="005C1549"/>
    <w:rsid w:val="005C1DBD"/>
    <w:rsid w:val="005C3643"/>
    <w:rsid w:val="005C538C"/>
    <w:rsid w:val="005C5C83"/>
    <w:rsid w:val="005D0A07"/>
    <w:rsid w:val="005D4478"/>
    <w:rsid w:val="005D7277"/>
    <w:rsid w:val="005E1181"/>
    <w:rsid w:val="005E4CC1"/>
    <w:rsid w:val="005E504E"/>
    <w:rsid w:val="005F0F09"/>
    <w:rsid w:val="005F7D56"/>
    <w:rsid w:val="00603034"/>
    <w:rsid w:val="00607966"/>
    <w:rsid w:val="0061729A"/>
    <w:rsid w:val="00617E56"/>
    <w:rsid w:val="006210C1"/>
    <w:rsid w:val="006323A6"/>
    <w:rsid w:val="0063300E"/>
    <w:rsid w:val="006342BB"/>
    <w:rsid w:val="00636AE0"/>
    <w:rsid w:val="00641597"/>
    <w:rsid w:val="00645394"/>
    <w:rsid w:val="00653EC7"/>
    <w:rsid w:val="00655900"/>
    <w:rsid w:val="0065766F"/>
    <w:rsid w:val="00660845"/>
    <w:rsid w:val="00671ED5"/>
    <w:rsid w:val="00672108"/>
    <w:rsid w:val="0067350A"/>
    <w:rsid w:val="00681AE8"/>
    <w:rsid w:val="00682A15"/>
    <w:rsid w:val="006877A8"/>
    <w:rsid w:val="00693169"/>
    <w:rsid w:val="006A0938"/>
    <w:rsid w:val="006A0B64"/>
    <w:rsid w:val="006A0C26"/>
    <w:rsid w:val="006A0EDC"/>
    <w:rsid w:val="006A21BB"/>
    <w:rsid w:val="006B07FC"/>
    <w:rsid w:val="006C1831"/>
    <w:rsid w:val="006C466B"/>
    <w:rsid w:val="006D190D"/>
    <w:rsid w:val="006D363B"/>
    <w:rsid w:val="006D3800"/>
    <w:rsid w:val="006D50C0"/>
    <w:rsid w:val="006E4864"/>
    <w:rsid w:val="006E4AA6"/>
    <w:rsid w:val="006E4C72"/>
    <w:rsid w:val="006E538A"/>
    <w:rsid w:val="006E67D3"/>
    <w:rsid w:val="006E7067"/>
    <w:rsid w:val="006E7E79"/>
    <w:rsid w:val="006F2818"/>
    <w:rsid w:val="006F2B6C"/>
    <w:rsid w:val="0070004F"/>
    <w:rsid w:val="0070531A"/>
    <w:rsid w:val="00707478"/>
    <w:rsid w:val="00707AA0"/>
    <w:rsid w:val="00713EE9"/>
    <w:rsid w:val="00732C3F"/>
    <w:rsid w:val="00737566"/>
    <w:rsid w:val="00743C0E"/>
    <w:rsid w:val="00747526"/>
    <w:rsid w:val="00763974"/>
    <w:rsid w:val="00763D24"/>
    <w:rsid w:val="00764E89"/>
    <w:rsid w:val="00765726"/>
    <w:rsid w:val="00782322"/>
    <w:rsid w:val="007964C9"/>
    <w:rsid w:val="007A6F93"/>
    <w:rsid w:val="007A7B31"/>
    <w:rsid w:val="007B3470"/>
    <w:rsid w:val="007B3A5A"/>
    <w:rsid w:val="007B449D"/>
    <w:rsid w:val="007C0086"/>
    <w:rsid w:val="007C0C7A"/>
    <w:rsid w:val="007D633D"/>
    <w:rsid w:val="007E0C73"/>
    <w:rsid w:val="007F0C90"/>
    <w:rsid w:val="007F63DF"/>
    <w:rsid w:val="008028C3"/>
    <w:rsid w:val="0080664F"/>
    <w:rsid w:val="00811A76"/>
    <w:rsid w:val="00811D66"/>
    <w:rsid w:val="0081267A"/>
    <w:rsid w:val="0081506D"/>
    <w:rsid w:val="0081595D"/>
    <w:rsid w:val="00817FC6"/>
    <w:rsid w:val="00822C08"/>
    <w:rsid w:val="008277BB"/>
    <w:rsid w:val="00831361"/>
    <w:rsid w:val="00853547"/>
    <w:rsid w:val="00853841"/>
    <w:rsid w:val="00872EB7"/>
    <w:rsid w:val="008774C6"/>
    <w:rsid w:val="00877653"/>
    <w:rsid w:val="008805AC"/>
    <w:rsid w:val="008839FD"/>
    <w:rsid w:val="00884648"/>
    <w:rsid w:val="00884B93"/>
    <w:rsid w:val="00895601"/>
    <w:rsid w:val="00895957"/>
    <w:rsid w:val="008970F3"/>
    <w:rsid w:val="008A7DEA"/>
    <w:rsid w:val="008B1ACE"/>
    <w:rsid w:val="008B2D4C"/>
    <w:rsid w:val="008B4299"/>
    <w:rsid w:val="008B6DE0"/>
    <w:rsid w:val="008D3B20"/>
    <w:rsid w:val="008E1B4D"/>
    <w:rsid w:val="008E32CB"/>
    <w:rsid w:val="008F3051"/>
    <w:rsid w:val="008F3DF5"/>
    <w:rsid w:val="008F441D"/>
    <w:rsid w:val="008F5067"/>
    <w:rsid w:val="009018B9"/>
    <w:rsid w:val="009121C4"/>
    <w:rsid w:val="00915F98"/>
    <w:rsid w:val="009165BB"/>
    <w:rsid w:val="009213A4"/>
    <w:rsid w:val="009217DF"/>
    <w:rsid w:val="00921E46"/>
    <w:rsid w:val="009221A8"/>
    <w:rsid w:val="00932C77"/>
    <w:rsid w:val="009336C3"/>
    <w:rsid w:val="00936A63"/>
    <w:rsid w:val="009500D4"/>
    <w:rsid w:val="00960EA4"/>
    <w:rsid w:val="00963106"/>
    <w:rsid w:val="00963AA1"/>
    <w:rsid w:val="00971E65"/>
    <w:rsid w:val="00973D38"/>
    <w:rsid w:val="00975EE7"/>
    <w:rsid w:val="0098075F"/>
    <w:rsid w:val="00983A53"/>
    <w:rsid w:val="009843A8"/>
    <w:rsid w:val="00985ABA"/>
    <w:rsid w:val="009864CA"/>
    <w:rsid w:val="009A0A37"/>
    <w:rsid w:val="009A135B"/>
    <w:rsid w:val="009A287C"/>
    <w:rsid w:val="009A669F"/>
    <w:rsid w:val="009A6AA9"/>
    <w:rsid w:val="009A6C76"/>
    <w:rsid w:val="009A6E62"/>
    <w:rsid w:val="009B3976"/>
    <w:rsid w:val="009B4CBD"/>
    <w:rsid w:val="009D2567"/>
    <w:rsid w:val="009D5789"/>
    <w:rsid w:val="009D5B6A"/>
    <w:rsid w:val="009E220C"/>
    <w:rsid w:val="009E254E"/>
    <w:rsid w:val="009E2A5C"/>
    <w:rsid w:val="009E2A67"/>
    <w:rsid w:val="009E5A5D"/>
    <w:rsid w:val="009F03FA"/>
    <w:rsid w:val="00A00C6F"/>
    <w:rsid w:val="00A043D1"/>
    <w:rsid w:val="00A078AE"/>
    <w:rsid w:val="00A1541E"/>
    <w:rsid w:val="00A15C16"/>
    <w:rsid w:val="00A175B0"/>
    <w:rsid w:val="00A22538"/>
    <w:rsid w:val="00A273E2"/>
    <w:rsid w:val="00A323BB"/>
    <w:rsid w:val="00A40607"/>
    <w:rsid w:val="00A415BB"/>
    <w:rsid w:val="00A41664"/>
    <w:rsid w:val="00A47C69"/>
    <w:rsid w:val="00A5182C"/>
    <w:rsid w:val="00A54466"/>
    <w:rsid w:val="00A54532"/>
    <w:rsid w:val="00A55592"/>
    <w:rsid w:val="00A6140F"/>
    <w:rsid w:val="00A6434D"/>
    <w:rsid w:val="00A65D55"/>
    <w:rsid w:val="00A729FE"/>
    <w:rsid w:val="00A82C3A"/>
    <w:rsid w:val="00A9073B"/>
    <w:rsid w:val="00A93E39"/>
    <w:rsid w:val="00A9587F"/>
    <w:rsid w:val="00A971C0"/>
    <w:rsid w:val="00AA263D"/>
    <w:rsid w:val="00AB7057"/>
    <w:rsid w:val="00AC6237"/>
    <w:rsid w:val="00AD20AE"/>
    <w:rsid w:val="00AD79F7"/>
    <w:rsid w:val="00AE0771"/>
    <w:rsid w:val="00AE3D5C"/>
    <w:rsid w:val="00AE55CE"/>
    <w:rsid w:val="00AF649E"/>
    <w:rsid w:val="00AF7CDE"/>
    <w:rsid w:val="00B00E46"/>
    <w:rsid w:val="00B01691"/>
    <w:rsid w:val="00B016B4"/>
    <w:rsid w:val="00B05A31"/>
    <w:rsid w:val="00B13E39"/>
    <w:rsid w:val="00B252C5"/>
    <w:rsid w:val="00B272CC"/>
    <w:rsid w:val="00B30CE7"/>
    <w:rsid w:val="00B35B2C"/>
    <w:rsid w:val="00B4089C"/>
    <w:rsid w:val="00B422F7"/>
    <w:rsid w:val="00B4564A"/>
    <w:rsid w:val="00B5372B"/>
    <w:rsid w:val="00B5525F"/>
    <w:rsid w:val="00B57A8D"/>
    <w:rsid w:val="00B636FE"/>
    <w:rsid w:val="00B6758A"/>
    <w:rsid w:val="00B71461"/>
    <w:rsid w:val="00B87F8F"/>
    <w:rsid w:val="00B939D5"/>
    <w:rsid w:val="00BB17B1"/>
    <w:rsid w:val="00BB260B"/>
    <w:rsid w:val="00BB7C0D"/>
    <w:rsid w:val="00BC2C21"/>
    <w:rsid w:val="00BC536D"/>
    <w:rsid w:val="00BC634D"/>
    <w:rsid w:val="00BC64C1"/>
    <w:rsid w:val="00BC68CF"/>
    <w:rsid w:val="00BD00DF"/>
    <w:rsid w:val="00BD3743"/>
    <w:rsid w:val="00BD518F"/>
    <w:rsid w:val="00BE0CC2"/>
    <w:rsid w:val="00BF0E1E"/>
    <w:rsid w:val="00BF358D"/>
    <w:rsid w:val="00C00D6D"/>
    <w:rsid w:val="00C01BF1"/>
    <w:rsid w:val="00C149D6"/>
    <w:rsid w:val="00C33287"/>
    <w:rsid w:val="00C348F7"/>
    <w:rsid w:val="00C37005"/>
    <w:rsid w:val="00C44E98"/>
    <w:rsid w:val="00C45420"/>
    <w:rsid w:val="00C45FFA"/>
    <w:rsid w:val="00C63A82"/>
    <w:rsid w:val="00C65330"/>
    <w:rsid w:val="00C65F0B"/>
    <w:rsid w:val="00C74EED"/>
    <w:rsid w:val="00C76FCB"/>
    <w:rsid w:val="00C77773"/>
    <w:rsid w:val="00C803F5"/>
    <w:rsid w:val="00C80FA1"/>
    <w:rsid w:val="00C819BA"/>
    <w:rsid w:val="00C83E6B"/>
    <w:rsid w:val="00C84693"/>
    <w:rsid w:val="00C921B4"/>
    <w:rsid w:val="00CA0967"/>
    <w:rsid w:val="00CA23FC"/>
    <w:rsid w:val="00CB2594"/>
    <w:rsid w:val="00CB508D"/>
    <w:rsid w:val="00CB5A7A"/>
    <w:rsid w:val="00CC51FA"/>
    <w:rsid w:val="00CC6EE3"/>
    <w:rsid w:val="00CD0D68"/>
    <w:rsid w:val="00CD2A96"/>
    <w:rsid w:val="00CD7B11"/>
    <w:rsid w:val="00CE0680"/>
    <w:rsid w:val="00CE22D2"/>
    <w:rsid w:val="00CE2A78"/>
    <w:rsid w:val="00CE5E5A"/>
    <w:rsid w:val="00CE6AF0"/>
    <w:rsid w:val="00CF0165"/>
    <w:rsid w:val="00CF11D3"/>
    <w:rsid w:val="00CF1D2E"/>
    <w:rsid w:val="00CF209A"/>
    <w:rsid w:val="00CF5F5E"/>
    <w:rsid w:val="00D039CD"/>
    <w:rsid w:val="00D125E7"/>
    <w:rsid w:val="00D13465"/>
    <w:rsid w:val="00D14206"/>
    <w:rsid w:val="00D17D08"/>
    <w:rsid w:val="00D17D64"/>
    <w:rsid w:val="00D2284C"/>
    <w:rsid w:val="00D315FE"/>
    <w:rsid w:val="00D37B03"/>
    <w:rsid w:val="00D4179F"/>
    <w:rsid w:val="00D43522"/>
    <w:rsid w:val="00D439A7"/>
    <w:rsid w:val="00D44658"/>
    <w:rsid w:val="00D657B5"/>
    <w:rsid w:val="00D7589E"/>
    <w:rsid w:val="00D80D52"/>
    <w:rsid w:val="00D813BE"/>
    <w:rsid w:val="00D81AD4"/>
    <w:rsid w:val="00D82297"/>
    <w:rsid w:val="00D82DFC"/>
    <w:rsid w:val="00D90537"/>
    <w:rsid w:val="00D92B5B"/>
    <w:rsid w:val="00D96272"/>
    <w:rsid w:val="00D973E3"/>
    <w:rsid w:val="00DA10FE"/>
    <w:rsid w:val="00DA23E9"/>
    <w:rsid w:val="00DA62A8"/>
    <w:rsid w:val="00DB3451"/>
    <w:rsid w:val="00DB373C"/>
    <w:rsid w:val="00DC2F8C"/>
    <w:rsid w:val="00DC5000"/>
    <w:rsid w:val="00DC635B"/>
    <w:rsid w:val="00DC649C"/>
    <w:rsid w:val="00DD49F3"/>
    <w:rsid w:val="00DD4D0F"/>
    <w:rsid w:val="00DD6002"/>
    <w:rsid w:val="00DE0ADB"/>
    <w:rsid w:val="00DE1576"/>
    <w:rsid w:val="00DE6B20"/>
    <w:rsid w:val="00DE7828"/>
    <w:rsid w:val="00DF3DE8"/>
    <w:rsid w:val="00E066D0"/>
    <w:rsid w:val="00E12D15"/>
    <w:rsid w:val="00E3298D"/>
    <w:rsid w:val="00E3706A"/>
    <w:rsid w:val="00E42199"/>
    <w:rsid w:val="00E43C2F"/>
    <w:rsid w:val="00E43CBC"/>
    <w:rsid w:val="00E47FE7"/>
    <w:rsid w:val="00E54A39"/>
    <w:rsid w:val="00E54BA7"/>
    <w:rsid w:val="00E605DF"/>
    <w:rsid w:val="00E749C5"/>
    <w:rsid w:val="00E74DC1"/>
    <w:rsid w:val="00E8176E"/>
    <w:rsid w:val="00E86BD5"/>
    <w:rsid w:val="00E90F2D"/>
    <w:rsid w:val="00E938CF"/>
    <w:rsid w:val="00E975A6"/>
    <w:rsid w:val="00EB134B"/>
    <w:rsid w:val="00EB766D"/>
    <w:rsid w:val="00EB794A"/>
    <w:rsid w:val="00EC13F2"/>
    <w:rsid w:val="00ED4C3F"/>
    <w:rsid w:val="00EE0312"/>
    <w:rsid w:val="00EE2810"/>
    <w:rsid w:val="00EE30CA"/>
    <w:rsid w:val="00EE40C8"/>
    <w:rsid w:val="00EE47D5"/>
    <w:rsid w:val="00EF0F4B"/>
    <w:rsid w:val="00EF2882"/>
    <w:rsid w:val="00EF316A"/>
    <w:rsid w:val="00EF64EA"/>
    <w:rsid w:val="00F136CF"/>
    <w:rsid w:val="00F30ADF"/>
    <w:rsid w:val="00F3227E"/>
    <w:rsid w:val="00F35AD9"/>
    <w:rsid w:val="00F37C58"/>
    <w:rsid w:val="00F500DD"/>
    <w:rsid w:val="00F619B2"/>
    <w:rsid w:val="00F74CA5"/>
    <w:rsid w:val="00F8181C"/>
    <w:rsid w:val="00F8557F"/>
    <w:rsid w:val="00F872C1"/>
    <w:rsid w:val="00FA1F87"/>
    <w:rsid w:val="00FA396B"/>
    <w:rsid w:val="00FA514A"/>
    <w:rsid w:val="00FB6AFC"/>
    <w:rsid w:val="00FD1139"/>
    <w:rsid w:val="00FD7DA4"/>
    <w:rsid w:val="00FE00DC"/>
    <w:rsid w:val="00FE19B6"/>
    <w:rsid w:val="00FE2731"/>
    <w:rsid w:val="00FE4199"/>
    <w:rsid w:val="00FE4951"/>
    <w:rsid w:val="00FF04FE"/>
    <w:rsid w:val="00FF0D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8D987"/>
  <w15:chartTrackingRefBased/>
  <w15:docId w15:val="{A1979223-3C46-4974-9CC2-A1B1CFED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810"/>
    <w:rPr>
      <w:rFonts w:ascii="Arial" w:hAnsi="Arial"/>
    </w:rPr>
  </w:style>
  <w:style w:type="paragraph" w:styleId="Heading1">
    <w:name w:val="heading 1"/>
    <w:basedOn w:val="Normal"/>
    <w:next w:val="Normal"/>
    <w:link w:val="Heading1Char"/>
    <w:uiPriority w:val="9"/>
    <w:qFormat/>
    <w:rsid w:val="00A9587F"/>
    <w:pPr>
      <w:outlineLvl w:val="0"/>
    </w:pPr>
    <w:rPr>
      <w:b/>
      <w:bCs/>
      <w:sz w:val="36"/>
      <w:szCs w:val="36"/>
    </w:rPr>
  </w:style>
  <w:style w:type="paragraph" w:styleId="Heading2">
    <w:name w:val="heading 2"/>
    <w:basedOn w:val="Normal"/>
    <w:next w:val="Normal"/>
    <w:link w:val="Heading2Char"/>
    <w:uiPriority w:val="9"/>
    <w:unhideWhenUsed/>
    <w:qFormat/>
    <w:rsid w:val="00247CEB"/>
    <w:pPr>
      <w:outlineLvl w:val="1"/>
    </w:pPr>
    <w:rPr>
      <w:b/>
      <w:bCs/>
      <w:i/>
      <w:iCs/>
      <w:sz w:val="28"/>
      <w:szCs w:val="28"/>
    </w:rPr>
  </w:style>
  <w:style w:type="paragraph" w:styleId="Heading3">
    <w:name w:val="heading 3"/>
    <w:basedOn w:val="Normal"/>
    <w:next w:val="Normal"/>
    <w:link w:val="Heading3Char"/>
    <w:uiPriority w:val="9"/>
    <w:unhideWhenUsed/>
    <w:qFormat/>
    <w:rsid w:val="002D128C"/>
    <w:pPr>
      <w:outlineLvl w:val="2"/>
    </w:pPr>
    <w:rPr>
      <w:b/>
      <w:bCs/>
      <w:sz w:val="24"/>
      <w:szCs w:val="24"/>
    </w:rPr>
  </w:style>
  <w:style w:type="paragraph" w:styleId="Heading4">
    <w:name w:val="heading 4"/>
    <w:basedOn w:val="Normal"/>
    <w:next w:val="Normal"/>
    <w:link w:val="Heading4Char"/>
    <w:uiPriority w:val="9"/>
    <w:unhideWhenUsed/>
    <w:qFormat/>
    <w:rsid w:val="002D128C"/>
    <w:pPr>
      <w:outlineLvl w:val="3"/>
    </w:pPr>
    <w:rPr>
      <w:b/>
      <w:bCs/>
      <w:i/>
      <w:iCs/>
    </w:rPr>
  </w:style>
  <w:style w:type="paragraph" w:styleId="Heading5">
    <w:name w:val="heading 5"/>
    <w:basedOn w:val="Normal"/>
    <w:next w:val="Normal"/>
    <w:link w:val="Heading5Char"/>
    <w:uiPriority w:val="9"/>
    <w:unhideWhenUsed/>
    <w:rsid w:val="002D128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rsid w:val="002D128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7CEB"/>
    <w:rPr>
      <w:rFonts w:ascii="Arial" w:hAnsi="Arial"/>
      <w:b/>
      <w:bCs/>
      <w:i/>
      <w:iCs/>
      <w:sz w:val="28"/>
      <w:szCs w:val="28"/>
    </w:rPr>
  </w:style>
  <w:style w:type="character" w:customStyle="1" w:styleId="Heading1Char">
    <w:name w:val="Heading 1 Char"/>
    <w:basedOn w:val="DefaultParagraphFont"/>
    <w:link w:val="Heading1"/>
    <w:uiPriority w:val="9"/>
    <w:rsid w:val="00A9587F"/>
    <w:rPr>
      <w:rFonts w:ascii="Arial" w:hAnsi="Arial"/>
      <w:b/>
      <w:bCs/>
      <w:sz w:val="36"/>
      <w:szCs w:val="36"/>
    </w:rPr>
  </w:style>
  <w:style w:type="paragraph" w:styleId="Title">
    <w:name w:val="Title"/>
    <w:basedOn w:val="Normal"/>
    <w:next w:val="Normal"/>
    <w:link w:val="TitleChar"/>
    <w:uiPriority w:val="10"/>
    <w:qFormat/>
    <w:rsid w:val="00A9587F"/>
    <w:pPr>
      <w:spacing w:after="0" w:line="240" w:lineRule="auto"/>
      <w:contextualSpacing/>
    </w:pPr>
    <w:rPr>
      <w:rFonts w:eastAsiaTheme="majorEastAsia" w:cs="Arial"/>
      <w:b/>
      <w:bCs/>
      <w:spacing w:val="-10"/>
      <w:kern w:val="28"/>
      <w:sz w:val="56"/>
      <w:szCs w:val="56"/>
    </w:rPr>
  </w:style>
  <w:style w:type="character" w:customStyle="1" w:styleId="TitleChar">
    <w:name w:val="Title Char"/>
    <w:basedOn w:val="DefaultParagraphFont"/>
    <w:link w:val="Title"/>
    <w:uiPriority w:val="10"/>
    <w:rsid w:val="00A9587F"/>
    <w:rPr>
      <w:rFonts w:ascii="Arial" w:eastAsiaTheme="majorEastAsia" w:hAnsi="Arial" w:cs="Arial"/>
      <w:b/>
      <w:bCs/>
      <w:spacing w:val="-10"/>
      <w:kern w:val="28"/>
      <w:sz w:val="56"/>
      <w:szCs w:val="56"/>
    </w:rPr>
  </w:style>
  <w:style w:type="character" w:styleId="IntenseReference">
    <w:name w:val="Intense Reference"/>
    <w:uiPriority w:val="32"/>
    <w:qFormat/>
    <w:rsid w:val="00BE0CC2"/>
    <w:rPr>
      <w:sz w:val="48"/>
      <w:szCs w:val="48"/>
    </w:rPr>
  </w:style>
  <w:style w:type="paragraph" w:styleId="NoSpacing">
    <w:name w:val="No Spacing"/>
    <w:uiPriority w:val="1"/>
    <w:qFormat/>
    <w:rsid w:val="00BE0CC2"/>
    <w:pPr>
      <w:spacing w:after="0" w:line="240" w:lineRule="auto"/>
    </w:pPr>
    <w:rPr>
      <w:rFonts w:ascii="Arial" w:hAnsi="Arial"/>
    </w:rPr>
  </w:style>
  <w:style w:type="character" w:customStyle="1" w:styleId="Heading3Char">
    <w:name w:val="Heading 3 Char"/>
    <w:basedOn w:val="DefaultParagraphFont"/>
    <w:link w:val="Heading3"/>
    <w:uiPriority w:val="9"/>
    <w:rsid w:val="002D128C"/>
    <w:rPr>
      <w:rFonts w:ascii="Arial" w:hAnsi="Arial"/>
      <w:b/>
      <w:bCs/>
      <w:sz w:val="24"/>
      <w:szCs w:val="24"/>
    </w:rPr>
  </w:style>
  <w:style w:type="character" w:customStyle="1" w:styleId="Heading4Char">
    <w:name w:val="Heading 4 Char"/>
    <w:basedOn w:val="DefaultParagraphFont"/>
    <w:link w:val="Heading4"/>
    <w:uiPriority w:val="9"/>
    <w:rsid w:val="002D128C"/>
    <w:rPr>
      <w:rFonts w:ascii="Arial" w:hAnsi="Arial"/>
      <w:b/>
      <w:bCs/>
      <w:i/>
      <w:iCs/>
    </w:rPr>
  </w:style>
  <w:style w:type="character" w:customStyle="1" w:styleId="Heading5Char">
    <w:name w:val="Heading 5 Char"/>
    <w:basedOn w:val="DefaultParagraphFont"/>
    <w:link w:val="Heading5"/>
    <w:uiPriority w:val="9"/>
    <w:rsid w:val="002D128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2D128C"/>
    <w:rPr>
      <w:rFonts w:asciiTheme="majorHAnsi" w:eastAsiaTheme="majorEastAsia" w:hAnsiTheme="majorHAnsi" w:cstheme="majorBidi"/>
      <w:color w:val="1F3763" w:themeColor="accent1" w:themeShade="7F"/>
    </w:rPr>
  </w:style>
  <w:style w:type="paragraph" w:styleId="Bibliography">
    <w:name w:val="Bibliography"/>
    <w:basedOn w:val="Normal"/>
    <w:next w:val="Normal"/>
    <w:uiPriority w:val="37"/>
    <w:unhideWhenUsed/>
    <w:rsid w:val="00AE55CE"/>
    <w:pPr>
      <w:tabs>
        <w:tab w:val="left" w:pos="384"/>
      </w:tabs>
      <w:spacing w:after="240" w:line="240" w:lineRule="auto"/>
      <w:ind w:left="384" w:hanging="384"/>
    </w:pPr>
  </w:style>
  <w:style w:type="character" w:styleId="CommentReference">
    <w:name w:val="annotation reference"/>
    <w:basedOn w:val="DefaultParagraphFont"/>
    <w:uiPriority w:val="99"/>
    <w:semiHidden/>
    <w:unhideWhenUsed/>
    <w:rsid w:val="00CA0967"/>
    <w:rPr>
      <w:sz w:val="16"/>
      <w:szCs w:val="16"/>
    </w:rPr>
  </w:style>
  <w:style w:type="paragraph" w:styleId="CommentText">
    <w:name w:val="annotation text"/>
    <w:basedOn w:val="Normal"/>
    <w:link w:val="CommentTextChar"/>
    <w:uiPriority w:val="99"/>
    <w:semiHidden/>
    <w:unhideWhenUsed/>
    <w:rsid w:val="00CA0967"/>
    <w:pPr>
      <w:spacing w:line="240" w:lineRule="auto"/>
    </w:pPr>
    <w:rPr>
      <w:sz w:val="20"/>
      <w:szCs w:val="20"/>
    </w:rPr>
  </w:style>
  <w:style w:type="character" w:customStyle="1" w:styleId="CommentTextChar">
    <w:name w:val="Comment Text Char"/>
    <w:basedOn w:val="DefaultParagraphFont"/>
    <w:link w:val="CommentText"/>
    <w:uiPriority w:val="99"/>
    <w:semiHidden/>
    <w:rsid w:val="00CA09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A0967"/>
    <w:rPr>
      <w:b/>
      <w:bCs/>
    </w:rPr>
  </w:style>
  <w:style w:type="character" w:customStyle="1" w:styleId="CommentSubjectChar">
    <w:name w:val="Comment Subject Char"/>
    <w:basedOn w:val="CommentTextChar"/>
    <w:link w:val="CommentSubject"/>
    <w:uiPriority w:val="99"/>
    <w:semiHidden/>
    <w:rsid w:val="00CA0967"/>
    <w:rPr>
      <w:rFonts w:ascii="Arial" w:hAnsi="Arial"/>
      <w:b/>
      <w:bCs/>
      <w:sz w:val="20"/>
      <w:szCs w:val="20"/>
    </w:rPr>
  </w:style>
  <w:style w:type="paragraph" w:styleId="NormalWeb">
    <w:name w:val="Normal (Web)"/>
    <w:basedOn w:val="Normal"/>
    <w:uiPriority w:val="99"/>
    <w:semiHidden/>
    <w:unhideWhenUsed/>
    <w:rsid w:val="009A135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A135B"/>
    <w:rPr>
      <w:b/>
      <w:bCs/>
    </w:rPr>
  </w:style>
  <w:style w:type="paragraph" w:styleId="ListParagraph">
    <w:name w:val="List Paragraph"/>
    <w:basedOn w:val="Normal"/>
    <w:uiPriority w:val="34"/>
    <w:qFormat/>
    <w:rsid w:val="005127D3"/>
    <w:pPr>
      <w:ind w:left="720"/>
      <w:contextualSpacing/>
    </w:pPr>
  </w:style>
  <w:style w:type="paragraph" w:styleId="Header">
    <w:name w:val="header"/>
    <w:basedOn w:val="Normal"/>
    <w:link w:val="HeaderChar"/>
    <w:uiPriority w:val="99"/>
    <w:unhideWhenUsed/>
    <w:rsid w:val="009B39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976"/>
    <w:rPr>
      <w:rFonts w:ascii="Arial" w:hAnsi="Arial"/>
    </w:rPr>
  </w:style>
  <w:style w:type="paragraph" w:styleId="Footer">
    <w:name w:val="footer"/>
    <w:basedOn w:val="Normal"/>
    <w:link w:val="FooterChar"/>
    <w:uiPriority w:val="99"/>
    <w:unhideWhenUsed/>
    <w:rsid w:val="009B39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976"/>
    <w:rPr>
      <w:rFonts w:ascii="Arial" w:hAnsi="Arial"/>
    </w:rPr>
  </w:style>
  <w:style w:type="paragraph" w:styleId="TOCHeading">
    <w:name w:val="TOC Heading"/>
    <w:basedOn w:val="Heading1"/>
    <w:next w:val="Normal"/>
    <w:uiPriority w:val="39"/>
    <w:unhideWhenUsed/>
    <w:qFormat/>
    <w:rsid w:val="000A3AB6"/>
    <w:pPr>
      <w:keepNext/>
      <w:keepLines/>
      <w:spacing w:before="240" w:after="0"/>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0A3AB6"/>
    <w:pPr>
      <w:spacing w:after="100"/>
    </w:pPr>
  </w:style>
  <w:style w:type="paragraph" w:styleId="TOC2">
    <w:name w:val="toc 2"/>
    <w:basedOn w:val="Normal"/>
    <w:next w:val="Normal"/>
    <w:autoRedefine/>
    <w:uiPriority w:val="39"/>
    <w:unhideWhenUsed/>
    <w:rsid w:val="000A3AB6"/>
    <w:pPr>
      <w:spacing w:after="100"/>
      <w:ind w:left="220"/>
    </w:pPr>
  </w:style>
  <w:style w:type="paragraph" w:styleId="TOC3">
    <w:name w:val="toc 3"/>
    <w:basedOn w:val="Normal"/>
    <w:next w:val="Normal"/>
    <w:autoRedefine/>
    <w:uiPriority w:val="39"/>
    <w:unhideWhenUsed/>
    <w:rsid w:val="000A3AB6"/>
    <w:pPr>
      <w:spacing w:after="100"/>
      <w:ind w:left="440"/>
    </w:pPr>
  </w:style>
  <w:style w:type="character" w:styleId="Hyperlink">
    <w:name w:val="Hyperlink"/>
    <w:basedOn w:val="DefaultParagraphFont"/>
    <w:uiPriority w:val="99"/>
    <w:unhideWhenUsed/>
    <w:rsid w:val="000A3A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58733">
      <w:bodyDiv w:val="1"/>
      <w:marLeft w:val="0"/>
      <w:marRight w:val="0"/>
      <w:marTop w:val="0"/>
      <w:marBottom w:val="0"/>
      <w:divBdr>
        <w:top w:val="none" w:sz="0" w:space="0" w:color="auto"/>
        <w:left w:val="none" w:sz="0" w:space="0" w:color="auto"/>
        <w:bottom w:val="none" w:sz="0" w:space="0" w:color="auto"/>
        <w:right w:val="none" w:sz="0" w:space="0" w:color="auto"/>
      </w:divBdr>
    </w:div>
    <w:div w:id="542407177">
      <w:bodyDiv w:val="1"/>
      <w:marLeft w:val="0"/>
      <w:marRight w:val="0"/>
      <w:marTop w:val="0"/>
      <w:marBottom w:val="0"/>
      <w:divBdr>
        <w:top w:val="none" w:sz="0" w:space="0" w:color="auto"/>
        <w:left w:val="none" w:sz="0" w:space="0" w:color="auto"/>
        <w:bottom w:val="none" w:sz="0" w:space="0" w:color="auto"/>
        <w:right w:val="none" w:sz="0" w:space="0" w:color="auto"/>
      </w:divBdr>
    </w:div>
    <w:div w:id="575551154">
      <w:bodyDiv w:val="1"/>
      <w:marLeft w:val="0"/>
      <w:marRight w:val="0"/>
      <w:marTop w:val="0"/>
      <w:marBottom w:val="0"/>
      <w:divBdr>
        <w:top w:val="none" w:sz="0" w:space="0" w:color="auto"/>
        <w:left w:val="none" w:sz="0" w:space="0" w:color="auto"/>
        <w:bottom w:val="none" w:sz="0" w:space="0" w:color="auto"/>
        <w:right w:val="none" w:sz="0" w:space="0" w:color="auto"/>
      </w:divBdr>
    </w:div>
    <w:div w:id="656230723">
      <w:bodyDiv w:val="1"/>
      <w:marLeft w:val="0"/>
      <w:marRight w:val="0"/>
      <w:marTop w:val="0"/>
      <w:marBottom w:val="0"/>
      <w:divBdr>
        <w:top w:val="none" w:sz="0" w:space="0" w:color="auto"/>
        <w:left w:val="none" w:sz="0" w:space="0" w:color="auto"/>
        <w:bottom w:val="none" w:sz="0" w:space="0" w:color="auto"/>
        <w:right w:val="none" w:sz="0" w:space="0" w:color="auto"/>
      </w:divBdr>
    </w:div>
    <w:div w:id="720054649">
      <w:bodyDiv w:val="1"/>
      <w:marLeft w:val="0"/>
      <w:marRight w:val="0"/>
      <w:marTop w:val="0"/>
      <w:marBottom w:val="0"/>
      <w:divBdr>
        <w:top w:val="none" w:sz="0" w:space="0" w:color="auto"/>
        <w:left w:val="none" w:sz="0" w:space="0" w:color="auto"/>
        <w:bottom w:val="none" w:sz="0" w:space="0" w:color="auto"/>
        <w:right w:val="none" w:sz="0" w:space="0" w:color="auto"/>
      </w:divBdr>
    </w:div>
    <w:div w:id="722214095">
      <w:bodyDiv w:val="1"/>
      <w:marLeft w:val="0"/>
      <w:marRight w:val="0"/>
      <w:marTop w:val="0"/>
      <w:marBottom w:val="0"/>
      <w:divBdr>
        <w:top w:val="none" w:sz="0" w:space="0" w:color="auto"/>
        <w:left w:val="none" w:sz="0" w:space="0" w:color="auto"/>
        <w:bottom w:val="none" w:sz="0" w:space="0" w:color="auto"/>
        <w:right w:val="none" w:sz="0" w:space="0" w:color="auto"/>
      </w:divBdr>
    </w:div>
    <w:div w:id="1109273472">
      <w:bodyDiv w:val="1"/>
      <w:marLeft w:val="0"/>
      <w:marRight w:val="0"/>
      <w:marTop w:val="0"/>
      <w:marBottom w:val="0"/>
      <w:divBdr>
        <w:top w:val="none" w:sz="0" w:space="0" w:color="auto"/>
        <w:left w:val="none" w:sz="0" w:space="0" w:color="auto"/>
        <w:bottom w:val="none" w:sz="0" w:space="0" w:color="auto"/>
        <w:right w:val="none" w:sz="0" w:space="0" w:color="auto"/>
      </w:divBdr>
    </w:div>
    <w:div w:id="1321807949">
      <w:bodyDiv w:val="1"/>
      <w:marLeft w:val="0"/>
      <w:marRight w:val="0"/>
      <w:marTop w:val="0"/>
      <w:marBottom w:val="0"/>
      <w:divBdr>
        <w:top w:val="none" w:sz="0" w:space="0" w:color="auto"/>
        <w:left w:val="none" w:sz="0" w:space="0" w:color="auto"/>
        <w:bottom w:val="none" w:sz="0" w:space="0" w:color="auto"/>
        <w:right w:val="none" w:sz="0" w:space="0" w:color="auto"/>
      </w:divBdr>
    </w:div>
    <w:div w:id="161875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olln\OneDrive%20-%20Queensland%20Health\Documents\Templates\Manuscript%20Template%20v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DE222-829D-40F0-A5D1-2E8854F75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Manuscript Template v01</Template>
  <TotalTime>2</TotalTime>
  <Pages>14</Pages>
  <Words>10990</Words>
  <Characters>62645</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Manuscript Template</vt:lpstr>
    </vt:vector>
  </TitlesOfParts>
  <Company/>
  <LinksUpToDate>false</LinksUpToDate>
  <CharactersWithSpaces>73489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Template</dc:title>
  <dc:subject/>
  <dc:creator>Nicolas Smoll</dc:creator>
  <cp:keywords/>
  <dc:description/>
  <cp:lastModifiedBy>Nicolas Smoll</cp:lastModifiedBy>
  <cp:revision>3</cp:revision>
  <dcterms:created xsi:type="dcterms:W3CDTF">2024-01-12T05:11:00Z</dcterms:created>
  <dcterms:modified xsi:type="dcterms:W3CDTF">2024-01-12T05:13:00Z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id="efLFS01I"/&gt;&lt;style id="http://www.zotero.org/styles/the-medical-journal-of-australia"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