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F54B" w14:textId="77777777" w:rsidR="00450484" w:rsidRPr="00540679" w:rsidRDefault="00450484" w:rsidP="00450484">
      <w:pPr>
        <w:rPr>
          <w:rFonts w:ascii="Arial" w:hAnsi="Arial" w:cs="Arial"/>
          <w:b/>
          <w:sz w:val="22"/>
          <w:szCs w:val="22"/>
        </w:rPr>
      </w:pPr>
      <w:bookmarkStart w:id="0" w:name="_Toc224114360"/>
      <w:bookmarkStart w:id="1" w:name="_Toc229297223"/>
      <w:bookmarkStart w:id="2" w:name="_Toc229297330"/>
      <w:bookmarkStart w:id="3" w:name="_Toc229298353"/>
      <w:bookmarkStart w:id="4" w:name="_Toc229307319"/>
      <w:bookmarkStart w:id="5" w:name="_Toc229308139"/>
      <w:bookmarkStart w:id="6" w:name="_Toc235338616"/>
      <w:bookmarkStart w:id="7" w:name="_Toc236472614"/>
      <w:bookmarkStart w:id="8" w:name="_Toc236473734"/>
      <w:r w:rsidRPr="00540679">
        <w:rPr>
          <w:rFonts w:ascii="Arial" w:hAnsi="Arial" w:cs="Arial"/>
          <w:b/>
          <w:sz w:val="22"/>
          <w:szCs w:val="22"/>
        </w:rPr>
        <w:t>Protocol for Ethics</w:t>
      </w:r>
    </w:p>
    <w:p w14:paraId="1B770A4D" w14:textId="77777777" w:rsidR="00450484" w:rsidRPr="00540679" w:rsidRDefault="00450484" w:rsidP="00450484">
      <w:pPr>
        <w:rPr>
          <w:rFonts w:ascii="Arial" w:hAnsi="Arial" w:cs="Arial"/>
          <w:b/>
          <w:sz w:val="22"/>
          <w:szCs w:val="22"/>
        </w:rPr>
      </w:pPr>
    </w:p>
    <w:p w14:paraId="1C5078DC" w14:textId="77777777" w:rsidR="00A25366" w:rsidRPr="00540679" w:rsidRDefault="00A25366" w:rsidP="00A25366">
      <w:pPr>
        <w:spacing w:afterLines="80" w:after="192"/>
        <w:rPr>
          <w:rFonts w:ascii="Arial" w:hAnsi="Arial" w:cs="Arial"/>
          <w:b/>
          <w:bCs/>
          <w:sz w:val="22"/>
          <w:szCs w:val="22"/>
        </w:rPr>
      </w:pPr>
      <w:r w:rsidRPr="00540679">
        <w:rPr>
          <w:rFonts w:ascii="Arial" w:hAnsi="Arial" w:cs="Arial"/>
          <w:b/>
          <w:bCs/>
          <w:sz w:val="22"/>
          <w:szCs w:val="22"/>
          <w:u w:val="single"/>
        </w:rPr>
        <w:t>T</w:t>
      </w:r>
      <w:r w:rsidRPr="00540679">
        <w:rPr>
          <w:rFonts w:ascii="Arial" w:hAnsi="Arial" w:cs="Arial"/>
          <w:b/>
          <w:bCs/>
          <w:sz w:val="22"/>
          <w:szCs w:val="22"/>
        </w:rPr>
        <w:t xml:space="preserve">imely post-discharge medication reviews to </w:t>
      </w:r>
      <w:r w:rsidRPr="00540679">
        <w:rPr>
          <w:rFonts w:ascii="Arial" w:hAnsi="Arial" w:cs="Arial"/>
          <w:b/>
          <w:bCs/>
          <w:sz w:val="22"/>
          <w:szCs w:val="22"/>
          <w:u w:val="single"/>
        </w:rPr>
        <w:t>I</w:t>
      </w:r>
      <w:r w:rsidRPr="00540679">
        <w:rPr>
          <w:rFonts w:ascii="Arial" w:hAnsi="Arial" w:cs="Arial"/>
          <w:b/>
          <w:bCs/>
          <w:sz w:val="22"/>
          <w:szCs w:val="22"/>
        </w:rPr>
        <w:t xml:space="preserve">mprove </w:t>
      </w:r>
      <w:r w:rsidRPr="00540679">
        <w:rPr>
          <w:rFonts w:ascii="Arial" w:hAnsi="Arial" w:cs="Arial"/>
          <w:b/>
          <w:bCs/>
          <w:sz w:val="22"/>
          <w:szCs w:val="22"/>
          <w:u w:val="single"/>
        </w:rPr>
        <w:t>C</w:t>
      </w:r>
      <w:r w:rsidRPr="00540679">
        <w:rPr>
          <w:rFonts w:ascii="Arial" w:hAnsi="Arial" w:cs="Arial"/>
          <w:b/>
          <w:bCs/>
          <w:sz w:val="22"/>
          <w:szCs w:val="22"/>
        </w:rPr>
        <w:t xml:space="preserve">ontinuity – the </w:t>
      </w:r>
      <w:r w:rsidRPr="00540679">
        <w:rPr>
          <w:rFonts w:ascii="Arial" w:hAnsi="Arial" w:cs="Arial"/>
          <w:b/>
          <w:bCs/>
          <w:sz w:val="22"/>
          <w:szCs w:val="22"/>
          <w:u w:val="single"/>
        </w:rPr>
        <w:t>T</w:t>
      </w:r>
      <w:r w:rsidRPr="00540679">
        <w:rPr>
          <w:rFonts w:ascii="Arial" w:hAnsi="Arial" w:cs="Arial"/>
          <w:b/>
          <w:bCs/>
          <w:sz w:val="22"/>
          <w:szCs w:val="22"/>
        </w:rPr>
        <w:t xml:space="preserve">ransitions </w:t>
      </w:r>
      <w:r w:rsidRPr="00540679">
        <w:rPr>
          <w:rFonts w:ascii="Arial" w:hAnsi="Arial" w:cs="Arial"/>
          <w:b/>
          <w:bCs/>
          <w:sz w:val="22"/>
          <w:szCs w:val="22"/>
          <w:u w:val="single"/>
        </w:rPr>
        <w:t>O</w:t>
      </w:r>
      <w:r w:rsidRPr="00540679">
        <w:rPr>
          <w:rFonts w:ascii="Arial" w:hAnsi="Arial" w:cs="Arial"/>
          <w:b/>
          <w:bCs/>
          <w:sz w:val="22"/>
          <w:szCs w:val="22"/>
        </w:rPr>
        <w:t xml:space="preserve">f </w:t>
      </w:r>
      <w:r w:rsidRPr="00540679">
        <w:rPr>
          <w:rFonts w:ascii="Arial" w:hAnsi="Arial" w:cs="Arial"/>
          <w:b/>
          <w:bCs/>
          <w:sz w:val="22"/>
          <w:szCs w:val="22"/>
          <w:u w:val="single"/>
        </w:rPr>
        <w:t>C</w:t>
      </w:r>
      <w:r w:rsidRPr="00540679">
        <w:rPr>
          <w:rFonts w:ascii="Arial" w:hAnsi="Arial" w:cs="Arial"/>
          <w:b/>
          <w:bCs/>
          <w:sz w:val="22"/>
          <w:szCs w:val="22"/>
        </w:rPr>
        <w:t>are stewardship (TIC TOC) study in rural and regional Australia</w:t>
      </w:r>
    </w:p>
    <w:p w14:paraId="0507E586" w14:textId="68BDFC38" w:rsidR="00036671" w:rsidRPr="00540679" w:rsidRDefault="00450484" w:rsidP="006F53BA">
      <w:pPr>
        <w:pStyle w:val="Header"/>
        <w:tabs>
          <w:tab w:val="clear" w:pos="4513"/>
          <w:tab w:val="clear" w:pos="9026"/>
          <w:tab w:val="right" w:pos="6804"/>
          <w:tab w:val="left" w:pos="6946"/>
        </w:tabs>
        <w:jc w:val="right"/>
        <w:rPr>
          <w:rFonts w:ascii="Arial" w:hAnsi="Arial" w:cs="Arial"/>
          <w:sz w:val="22"/>
          <w:szCs w:val="22"/>
        </w:rPr>
      </w:pPr>
      <w:r w:rsidRPr="00540679">
        <w:rPr>
          <w:rFonts w:ascii="Arial" w:hAnsi="Arial" w:cs="Arial"/>
          <w:b/>
          <w:sz w:val="22"/>
          <w:szCs w:val="22"/>
        </w:rPr>
        <w:t xml:space="preserve">Funded via: </w:t>
      </w:r>
      <w:r w:rsidRPr="00540679">
        <w:rPr>
          <w:rFonts w:ascii="Arial" w:hAnsi="Arial" w:cs="Arial"/>
          <w:bCs/>
          <w:sz w:val="22"/>
          <w:szCs w:val="22"/>
        </w:rPr>
        <w:t>Commonwealth</w:t>
      </w:r>
      <w:r w:rsidR="001E2D14" w:rsidRPr="00540679">
        <w:rPr>
          <w:rFonts w:ascii="Arial" w:hAnsi="Arial" w:cs="Arial"/>
          <w:bCs/>
          <w:sz w:val="22"/>
          <w:szCs w:val="22"/>
        </w:rPr>
        <w:t xml:space="preserve"> </w:t>
      </w:r>
      <w:r w:rsidRPr="00540679">
        <w:rPr>
          <w:rFonts w:ascii="Arial" w:hAnsi="Arial" w:cs="Arial"/>
          <w:bCs/>
          <w:sz w:val="22"/>
          <w:szCs w:val="22"/>
        </w:rPr>
        <w:t xml:space="preserve">of Australia - 2022 </w:t>
      </w:r>
      <w:r w:rsidRPr="00540679">
        <w:rPr>
          <w:rFonts w:ascii="Arial" w:hAnsi="Arial" w:cs="Arial"/>
          <w:sz w:val="22"/>
          <w:szCs w:val="22"/>
        </w:rPr>
        <w:t>MRFF</w:t>
      </w:r>
      <w:r w:rsidR="00D436B3" w:rsidRPr="00540679">
        <w:rPr>
          <w:rFonts w:ascii="Arial" w:hAnsi="Arial" w:cs="Arial"/>
          <w:sz w:val="22"/>
          <w:szCs w:val="22"/>
        </w:rPr>
        <w:t xml:space="preserve"> </w:t>
      </w:r>
      <w:hyperlink r:id="rId8" w:tooltip="2022 Quality, Safety and Effectiveness of Medicine Use and Medicine Intervention by Pharmacists" w:history="1">
        <w:r w:rsidR="00D436B3" w:rsidRPr="00540679">
          <w:rPr>
            <w:rStyle w:val="Hyperlink"/>
            <w:rFonts w:ascii="Arial" w:hAnsi="Arial" w:cs="Arial"/>
            <w:color w:val="000000"/>
            <w:sz w:val="22"/>
            <w:szCs w:val="22"/>
            <w:u w:val="none"/>
            <w:shd w:val="clear" w:color="auto" w:fill="FFFFFF"/>
          </w:rPr>
          <w:t>Quality, Safety and Effectiveness of Medicine Use and Medicine Intervention by Pharmacists</w:t>
        </w:r>
      </w:hyperlink>
      <w:r w:rsidR="00D436B3" w:rsidRPr="00540679">
        <w:rPr>
          <w:rFonts w:ascii="Arial" w:hAnsi="Arial" w:cs="Arial"/>
          <w:sz w:val="22"/>
          <w:szCs w:val="22"/>
        </w:rPr>
        <w:t xml:space="preserve"> </w:t>
      </w:r>
      <w:r w:rsidRPr="00540679">
        <w:rPr>
          <w:rFonts w:ascii="Arial" w:hAnsi="Arial" w:cs="Arial"/>
          <w:sz w:val="22"/>
          <w:szCs w:val="22"/>
        </w:rPr>
        <w:t>-</w:t>
      </w:r>
      <w:r w:rsidR="00E95C65" w:rsidRPr="00540679">
        <w:rPr>
          <w:rFonts w:ascii="Arial" w:hAnsi="Arial" w:cs="Arial"/>
          <w:sz w:val="22"/>
          <w:szCs w:val="22"/>
        </w:rPr>
        <w:t xml:space="preserve"> </w:t>
      </w:r>
      <w:r w:rsidR="00036671" w:rsidRPr="00540679">
        <w:rPr>
          <w:rFonts w:ascii="Arial" w:hAnsi="Arial" w:cs="Arial"/>
          <w:sz w:val="22"/>
          <w:szCs w:val="22"/>
        </w:rPr>
        <w:t>MRFMMIP000023</w:t>
      </w:r>
    </w:p>
    <w:p w14:paraId="516506C3" w14:textId="5FF3DF39" w:rsidR="00450484" w:rsidRPr="00540679" w:rsidRDefault="00450484" w:rsidP="00450484">
      <w:pPr>
        <w:jc w:val="center"/>
        <w:rPr>
          <w:rFonts w:ascii="Arial" w:hAnsi="Arial" w:cs="Arial"/>
          <w:sz w:val="22"/>
          <w:szCs w:val="22"/>
        </w:rPr>
      </w:pPr>
    </w:p>
    <w:p w14:paraId="2BC152AA" w14:textId="77777777" w:rsidR="00450484" w:rsidRPr="00540679" w:rsidRDefault="00450484" w:rsidP="00450484">
      <w:pPr>
        <w:rPr>
          <w:rFonts w:ascii="Arial" w:hAnsi="Arial" w:cs="Arial"/>
          <w:b/>
          <w:sz w:val="22"/>
          <w:szCs w:val="22"/>
        </w:rPr>
      </w:pPr>
      <w:r w:rsidRPr="00540679">
        <w:rPr>
          <w:rFonts w:ascii="Arial" w:hAnsi="Arial" w:cs="Arial"/>
          <w:b/>
          <w:sz w:val="22"/>
          <w:szCs w:val="22"/>
        </w:rPr>
        <w:t xml:space="preserve">Grantee/Sponsor: </w:t>
      </w:r>
      <w:r w:rsidRPr="00540679">
        <w:rPr>
          <w:rFonts w:ascii="Arial" w:hAnsi="Arial" w:cs="Arial"/>
          <w:bCs/>
          <w:sz w:val="22"/>
          <w:szCs w:val="22"/>
        </w:rPr>
        <w:t>The University of Sydney.</w:t>
      </w:r>
    </w:p>
    <w:p w14:paraId="328D05D9" w14:textId="77777777" w:rsidR="00450484" w:rsidRPr="00540679" w:rsidRDefault="00450484" w:rsidP="00450484">
      <w:pPr>
        <w:outlineLvl w:val="0"/>
        <w:rPr>
          <w:rFonts w:ascii="Arial" w:hAnsi="Arial" w:cs="Arial"/>
          <w:sz w:val="22"/>
          <w:szCs w:val="22"/>
        </w:rPr>
      </w:pPr>
    </w:p>
    <w:p w14:paraId="67261140" w14:textId="77777777" w:rsidR="00450484" w:rsidRPr="00540679" w:rsidRDefault="00450484" w:rsidP="00450484">
      <w:pPr>
        <w:rPr>
          <w:rFonts w:ascii="Arial" w:hAnsi="Arial" w:cs="Arial"/>
          <w:b/>
          <w:sz w:val="22"/>
          <w:szCs w:val="22"/>
        </w:rPr>
      </w:pPr>
      <w:r w:rsidRPr="00540679">
        <w:rPr>
          <w:rFonts w:ascii="Arial" w:hAnsi="Arial" w:cs="Arial"/>
          <w:b/>
          <w:sz w:val="22"/>
          <w:szCs w:val="22"/>
        </w:rPr>
        <w:t xml:space="preserve">Table 1. PROJECT TEAM MEMBERS - ROLES AND RESPONSIBILITIES </w:t>
      </w:r>
    </w:p>
    <w:p w14:paraId="3A709FAA" w14:textId="77777777" w:rsidR="00450484" w:rsidRPr="00540679" w:rsidRDefault="00450484" w:rsidP="00450484">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
        <w:gridCol w:w="2846"/>
        <w:gridCol w:w="2483"/>
        <w:gridCol w:w="408"/>
      </w:tblGrid>
      <w:tr w:rsidR="00450484" w:rsidRPr="00540679" w14:paraId="27724B3A" w14:textId="77777777" w:rsidTr="1F65B294">
        <w:tc>
          <w:tcPr>
            <w:tcW w:w="2790" w:type="dxa"/>
            <w:gridSpan w:val="2"/>
            <w:tcBorders>
              <w:top w:val="single" w:sz="4" w:space="0" w:color="auto"/>
              <w:left w:val="single" w:sz="4" w:space="0" w:color="auto"/>
              <w:bottom w:val="single" w:sz="4" w:space="0" w:color="auto"/>
              <w:right w:val="single" w:sz="4" w:space="0" w:color="auto"/>
            </w:tcBorders>
            <w:hideMark/>
          </w:tcPr>
          <w:p w14:paraId="0DAA0751" w14:textId="77777777" w:rsidR="00450484" w:rsidRPr="00540679" w:rsidRDefault="00450484" w:rsidP="007450AF">
            <w:pPr>
              <w:rPr>
                <w:rFonts w:ascii="Arial" w:eastAsia="Calibri" w:hAnsi="Arial" w:cs="Arial"/>
                <w:b/>
                <w:bCs/>
                <w:sz w:val="22"/>
                <w:szCs w:val="22"/>
              </w:rPr>
            </w:pPr>
            <w:r w:rsidRPr="00540679">
              <w:rPr>
                <w:rFonts w:ascii="Arial" w:eastAsia="Calibri" w:hAnsi="Arial" w:cs="Arial"/>
                <w:b/>
                <w:bCs/>
                <w:sz w:val="22"/>
                <w:szCs w:val="22"/>
              </w:rPr>
              <w:t>Name</w:t>
            </w:r>
          </w:p>
        </w:tc>
        <w:tc>
          <w:tcPr>
            <w:tcW w:w="2846" w:type="dxa"/>
            <w:tcBorders>
              <w:top w:val="single" w:sz="4" w:space="0" w:color="auto"/>
              <w:left w:val="single" w:sz="4" w:space="0" w:color="auto"/>
              <w:bottom w:val="single" w:sz="4" w:space="0" w:color="auto"/>
              <w:right w:val="single" w:sz="4" w:space="0" w:color="auto"/>
            </w:tcBorders>
            <w:hideMark/>
          </w:tcPr>
          <w:p w14:paraId="4EE757A3" w14:textId="77777777" w:rsidR="00450484" w:rsidRPr="00540679" w:rsidRDefault="00450484" w:rsidP="007450AF">
            <w:pPr>
              <w:rPr>
                <w:rFonts w:ascii="Arial" w:eastAsia="Calibri" w:hAnsi="Arial" w:cs="Arial"/>
                <w:b/>
                <w:bCs/>
                <w:sz w:val="22"/>
                <w:szCs w:val="22"/>
              </w:rPr>
            </w:pPr>
            <w:r w:rsidRPr="00540679">
              <w:rPr>
                <w:rFonts w:ascii="Arial" w:eastAsia="Calibri" w:hAnsi="Arial" w:cs="Arial"/>
                <w:b/>
                <w:bCs/>
                <w:sz w:val="22"/>
                <w:szCs w:val="22"/>
              </w:rPr>
              <w:t>Position</w:t>
            </w:r>
          </w:p>
        </w:tc>
        <w:tc>
          <w:tcPr>
            <w:tcW w:w="2891" w:type="dxa"/>
            <w:gridSpan w:val="2"/>
            <w:tcBorders>
              <w:top w:val="single" w:sz="4" w:space="0" w:color="auto"/>
              <w:left w:val="single" w:sz="4" w:space="0" w:color="auto"/>
              <w:bottom w:val="single" w:sz="4" w:space="0" w:color="auto"/>
              <w:right w:val="single" w:sz="4" w:space="0" w:color="auto"/>
            </w:tcBorders>
            <w:hideMark/>
          </w:tcPr>
          <w:p w14:paraId="1C19DE4F" w14:textId="77777777" w:rsidR="00450484" w:rsidRPr="00540679" w:rsidRDefault="00450484" w:rsidP="007450AF">
            <w:pPr>
              <w:rPr>
                <w:rFonts w:ascii="Arial" w:eastAsia="Calibri" w:hAnsi="Arial" w:cs="Arial"/>
                <w:b/>
                <w:bCs/>
                <w:sz w:val="22"/>
                <w:szCs w:val="22"/>
              </w:rPr>
            </w:pPr>
            <w:r w:rsidRPr="00540679">
              <w:rPr>
                <w:rFonts w:ascii="Arial" w:eastAsia="Calibri" w:hAnsi="Arial" w:cs="Arial"/>
                <w:b/>
                <w:bCs/>
                <w:sz w:val="22"/>
                <w:szCs w:val="22"/>
              </w:rPr>
              <w:t>Project Role/Responsibility</w:t>
            </w:r>
          </w:p>
        </w:tc>
      </w:tr>
      <w:tr w:rsidR="00450484" w:rsidRPr="00540679" w14:paraId="72DF72B7" w14:textId="77777777" w:rsidTr="1F65B294">
        <w:tc>
          <w:tcPr>
            <w:tcW w:w="2790" w:type="dxa"/>
            <w:gridSpan w:val="2"/>
            <w:tcBorders>
              <w:top w:val="single" w:sz="4" w:space="0" w:color="auto"/>
              <w:left w:val="single" w:sz="4" w:space="0" w:color="auto"/>
              <w:bottom w:val="single" w:sz="4" w:space="0" w:color="auto"/>
              <w:right w:val="single" w:sz="4" w:space="0" w:color="auto"/>
            </w:tcBorders>
            <w:hideMark/>
          </w:tcPr>
          <w:p w14:paraId="66BCB155" w14:textId="77777777" w:rsidR="00450484" w:rsidRPr="00540679" w:rsidRDefault="00450484" w:rsidP="007450AF">
            <w:pPr>
              <w:rPr>
                <w:rFonts w:ascii="Arial" w:eastAsia="Calibri" w:hAnsi="Arial" w:cs="Arial"/>
                <w:sz w:val="22"/>
                <w:szCs w:val="22"/>
              </w:rPr>
            </w:pPr>
            <w:r w:rsidRPr="00540679">
              <w:rPr>
                <w:rFonts w:ascii="Arial" w:eastAsia="Calibri" w:hAnsi="Arial" w:cs="Arial"/>
                <w:sz w:val="22"/>
                <w:szCs w:val="22"/>
              </w:rPr>
              <w:t>Dr Jonathan Penm</w:t>
            </w:r>
          </w:p>
        </w:tc>
        <w:tc>
          <w:tcPr>
            <w:tcW w:w="2846" w:type="dxa"/>
            <w:tcBorders>
              <w:top w:val="single" w:sz="4" w:space="0" w:color="auto"/>
              <w:left w:val="single" w:sz="4" w:space="0" w:color="auto"/>
              <w:bottom w:val="single" w:sz="4" w:space="0" w:color="auto"/>
              <w:right w:val="single" w:sz="4" w:space="0" w:color="auto"/>
            </w:tcBorders>
            <w:hideMark/>
          </w:tcPr>
          <w:p w14:paraId="6FEBEBBC" w14:textId="77777777" w:rsidR="00450484" w:rsidRPr="00540679" w:rsidRDefault="00450484" w:rsidP="007450AF">
            <w:pPr>
              <w:rPr>
                <w:rFonts w:ascii="Arial" w:eastAsia="Calibri" w:hAnsi="Arial" w:cs="Arial"/>
                <w:sz w:val="22"/>
                <w:szCs w:val="22"/>
              </w:rPr>
            </w:pPr>
            <w:r w:rsidRPr="00540679">
              <w:rPr>
                <w:rFonts w:ascii="Arial" w:eastAsia="Calibri" w:hAnsi="Arial" w:cs="Arial"/>
                <w:sz w:val="22"/>
                <w:szCs w:val="22"/>
              </w:rPr>
              <w:t>Senior Lecturer, Sydney Pharmacy School, University of Sydney, Pharmacist</w:t>
            </w:r>
          </w:p>
        </w:tc>
        <w:tc>
          <w:tcPr>
            <w:tcW w:w="2891" w:type="dxa"/>
            <w:gridSpan w:val="2"/>
            <w:tcBorders>
              <w:top w:val="single" w:sz="4" w:space="0" w:color="auto"/>
              <w:left w:val="single" w:sz="4" w:space="0" w:color="auto"/>
              <w:bottom w:val="single" w:sz="4" w:space="0" w:color="auto"/>
              <w:right w:val="single" w:sz="4" w:space="0" w:color="auto"/>
            </w:tcBorders>
            <w:hideMark/>
          </w:tcPr>
          <w:p w14:paraId="48BF6DAD" w14:textId="073BCE3A" w:rsidR="00450484" w:rsidRPr="00540679" w:rsidRDefault="00450484" w:rsidP="007450AF">
            <w:pPr>
              <w:rPr>
                <w:rFonts w:ascii="Arial" w:eastAsia="Calibri" w:hAnsi="Arial" w:cs="Arial"/>
                <w:sz w:val="22"/>
                <w:szCs w:val="22"/>
              </w:rPr>
            </w:pPr>
            <w:r w:rsidRPr="00540679">
              <w:rPr>
                <w:rFonts w:ascii="Arial" w:eastAsia="Calibri" w:hAnsi="Arial" w:cs="Arial"/>
                <w:sz w:val="22"/>
                <w:szCs w:val="22"/>
              </w:rPr>
              <w:t xml:space="preserve">Chief Investigator Lead A, Lead </w:t>
            </w:r>
            <w:r w:rsidR="00D436B3" w:rsidRPr="00540679">
              <w:rPr>
                <w:rFonts w:ascii="Arial" w:eastAsia="Calibri" w:hAnsi="Arial" w:cs="Arial"/>
                <w:sz w:val="22"/>
                <w:szCs w:val="22"/>
              </w:rPr>
              <w:t xml:space="preserve">TIC TOC </w:t>
            </w:r>
            <w:r w:rsidRPr="00540679">
              <w:rPr>
                <w:rFonts w:ascii="Arial" w:eastAsia="Calibri" w:hAnsi="Arial" w:cs="Arial"/>
                <w:sz w:val="22"/>
                <w:szCs w:val="22"/>
              </w:rPr>
              <w:t>and medication safety expert</w:t>
            </w:r>
            <w:r w:rsidR="00823055" w:rsidRPr="00540679">
              <w:rPr>
                <w:rFonts w:ascii="Arial" w:eastAsia="Calibri" w:hAnsi="Arial" w:cs="Arial"/>
                <w:sz w:val="22"/>
                <w:szCs w:val="22"/>
              </w:rPr>
              <w:t>, Clinical Trials</w:t>
            </w:r>
          </w:p>
        </w:tc>
      </w:tr>
      <w:tr w:rsidR="00450484" w:rsidRPr="00540679" w14:paraId="29C6F89D"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0140D3C4" w14:textId="1BDCAEB6" w:rsidR="00450484" w:rsidRPr="00540679" w:rsidRDefault="00303199" w:rsidP="007450AF">
            <w:pPr>
              <w:rPr>
                <w:rFonts w:ascii="Arial" w:eastAsia="Calibri" w:hAnsi="Arial" w:cs="Arial"/>
                <w:sz w:val="22"/>
                <w:szCs w:val="22"/>
              </w:rPr>
            </w:pPr>
            <w:r w:rsidRPr="00540679">
              <w:rPr>
                <w:rFonts w:ascii="Arial" w:eastAsia="Calibri" w:hAnsi="Arial" w:cs="Arial"/>
                <w:sz w:val="22"/>
                <w:szCs w:val="22"/>
              </w:rPr>
              <w:t>Dr Manya Angley</w:t>
            </w:r>
          </w:p>
        </w:tc>
        <w:tc>
          <w:tcPr>
            <w:tcW w:w="2846" w:type="dxa"/>
            <w:tcBorders>
              <w:top w:val="single" w:sz="4" w:space="0" w:color="auto"/>
              <w:left w:val="single" w:sz="4" w:space="0" w:color="auto"/>
              <w:bottom w:val="single" w:sz="4" w:space="0" w:color="auto"/>
              <w:right w:val="single" w:sz="4" w:space="0" w:color="auto"/>
            </w:tcBorders>
          </w:tcPr>
          <w:p w14:paraId="2F08AE4B" w14:textId="4A1E46D0" w:rsidR="00450484" w:rsidRPr="00540679" w:rsidRDefault="00512B81" w:rsidP="007450AF">
            <w:pPr>
              <w:rPr>
                <w:rFonts w:ascii="Arial" w:eastAsia="Calibri" w:hAnsi="Arial" w:cs="Arial"/>
                <w:sz w:val="22"/>
                <w:szCs w:val="22"/>
              </w:rPr>
            </w:pPr>
            <w:r w:rsidRPr="00540679">
              <w:rPr>
                <w:rFonts w:ascii="Arial" w:eastAsia="Calibri" w:hAnsi="Arial" w:cs="Arial"/>
                <w:sz w:val="22"/>
                <w:szCs w:val="22"/>
              </w:rPr>
              <w:t>Director</w:t>
            </w:r>
            <w:r w:rsidR="00D67CAA" w:rsidRPr="00540679">
              <w:rPr>
                <w:rFonts w:ascii="Arial" w:eastAsia="Calibri" w:hAnsi="Arial" w:cs="Arial"/>
                <w:sz w:val="22"/>
                <w:szCs w:val="22"/>
              </w:rPr>
              <w:t xml:space="preserve"> Manya Angley Research and C</w:t>
            </w:r>
            <w:r w:rsidR="009B373D" w:rsidRPr="00540679">
              <w:rPr>
                <w:rFonts w:ascii="Arial" w:eastAsia="Calibri" w:hAnsi="Arial" w:cs="Arial"/>
                <w:sz w:val="22"/>
                <w:szCs w:val="22"/>
              </w:rPr>
              <w:t>o</w:t>
            </w:r>
            <w:r w:rsidR="00D67CAA" w:rsidRPr="00540679">
              <w:rPr>
                <w:rFonts w:ascii="Arial" w:eastAsia="Calibri" w:hAnsi="Arial" w:cs="Arial"/>
                <w:sz w:val="22"/>
                <w:szCs w:val="22"/>
              </w:rPr>
              <w:t>nsulting</w:t>
            </w:r>
          </w:p>
        </w:tc>
        <w:tc>
          <w:tcPr>
            <w:tcW w:w="2891" w:type="dxa"/>
            <w:gridSpan w:val="2"/>
            <w:tcBorders>
              <w:top w:val="single" w:sz="4" w:space="0" w:color="auto"/>
              <w:left w:val="single" w:sz="4" w:space="0" w:color="auto"/>
              <w:bottom w:val="single" w:sz="4" w:space="0" w:color="auto"/>
              <w:right w:val="single" w:sz="4" w:space="0" w:color="auto"/>
            </w:tcBorders>
          </w:tcPr>
          <w:p w14:paraId="4AD19D5B" w14:textId="77777777" w:rsidR="00666759" w:rsidRPr="00540679" w:rsidRDefault="009B373D" w:rsidP="007450AF">
            <w:pPr>
              <w:rPr>
                <w:rFonts w:ascii="Arial" w:eastAsia="Calibri" w:hAnsi="Arial" w:cs="Arial"/>
                <w:sz w:val="22"/>
                <w:szCs w:val="22"/>
              </w:rPr>
            </w:pPr>
            <w:r w:rsidRPr="00540679">
              <w:rPr>
                <w:rFonts w:ascii="Arial" w:eastAsia="Calibri" w:hAnsi="Arial" w:cs="Arial"/>
                <w:sz w:val="22"/>
                <w:szCs w:val="22"/>
              </w:rPr>
              <w:t>Chief Investiga</w:t>
            </w:r>
            <w:r w:rsidR="00455A84" w:rsidRPr="00540679">
              <w:rPr>
                <w:rFonts w:ascii="Arial" w:eastAsia="Calibri" w:hAnsi="Arial" w:cs="Arial"/>
                <w:sz w:val="22"/>
                <w:szCs w:val="22"/>
              </w:rPr>
              <w:t>tor B,</w:t>
            </w:r>
            <w:r w:rsidR="00327A53" w:rsidRPr="00540679">
              <w:rPr>
                <w:rFonts w:ascii="Arial" w:eastAsia="Calibri" w:hAnsi="Arial" w:cs="Arial"/>
                <w:sz w:val="22"/>
                <w:szCs w:val="22"/>
              </w:rPr>
              <w:t xml:space="preserve"> </w:t>
            </w:r>
          </w:p>
          <w:p w14:paraId="06C19BB2" w14:textId="0451DEA1" w:rsidR="004A58D1" w:rsidRPr="00540679" w:rsidRDefault="00666759" w:rsidP="007450AF">
            <w:pPr>
              <w:rPr>
                <w:rFonts w:ascii="Arial" w:hAnsi="Arial" w:cs="Arial"/>
                <w:color w:val="000000"/>
                <w:sz w:val="22"/>
                <w:szCs w:val="22"/>
              </w:rPr>
            </w:pPr>
            <w:r w:rsidRPr="00540679">
              <w:rPr>
                <w:rFonts w:ascii="Arial" w:hAnsi="Arial" w:cs="Arial"/>
                <w:color w:val="000000"/>
                <w:sz w:val="22"/>
                <w:szCs w:val="22"/>
              </w:rPr>
              <w:t>Q</w:t>
            </w:r>
            <w:r w:rsidR="004A58D1" w:rsidRPr="00540679">
              <w:rPr>
                <w:rFonts w:ascii="Arial" w:hAnsi="Arial" w:cs="Arial"/>
                <w:color w:val="000000"/>
                <w:sz w:val="22"/>
                <w:szCs w:val="22"/>
              </w:rPr>
              <w:t>uality use of medicines, medication management</w:t>
            </w:r>
            <w:r w:rsidR="00327A53" w:rsidRPr="00540679">
              <w:rPr>
                <w:rFonts w:ascii="Arial" w:hAnsi="Arial" w:cs="Arial"/>
                <w:color w:val="000000"/>
                <w:sz w:val="22"/>
                <w:szCs w:val="22"/>
              </w:rPr>
              <w:t xml:space="preserve"> expert </w:t>
            </w:r>
          </w:p>
          <w:p w14:paraId="7B132D8A" w14:textId="2450D5AD" w:rsidR="00450484" w:rsidRPr="00540679" w:rsidRDefault="00450484" w:rsidP="007450AF">
            <w:pPr>
              <w:rPr>
                <w:rFonts w:ascii="Arial" w:eastAsia="Calibri" w:hAnsi="Arial" w:cs="Arial"/>
                <w:sz w:val="22"/>
                <w:szCs w:val="22"/>
              </w:rPr>
            </w:pPr>
          </w:p>
        </w:tc>
      </w:tr>
      <w:tr w:rsidR="00450484" w:rsidRPr="00540679" w14:paraId="0AE28A8E"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4B68B33A" w14:textId="7B247893" w:rsidR="00450484" w:rsidRPr="00540679" w:rsidRDefault="00450484" w:rsidP="007450AF">
            <w:pPr>
              <w:autoSpaceDE w:val="0"/>
              <w:autoSpaceDN w:val="0"/>
              <w:adjustRightInd w:val="0"/>
              <w:rPr>
                <w:rFonts w:ascii="Arial" w:hAnsi="Arial" w:cs="Arial"/>
                <w:sz w:val="22"/>
                <w:szCs w:val="22"/>
              </w:rPr>
            </w:pPr>
            <w:r w:rsidRPr="00540679">
              <w:rPr>
                <w:rFonts w:ascii="Arial" w:eastAsia="Arial" w:hAnsi="Arial" w:cs="Arial"/>
                <w:sz w:val="22"/>
                <w:szCs w:val="22"/>
              </w:rPr>
              <w:t>Professor Rebekah</w:t>
            </w:r>
            <w:r w:rsidR="00A87429" w:rsidRPr="00540679">
              <w:rPr>
                <w:rFonts w:ascii="Arial" w:eastAsia="Arial" w:hAnsi="Arial" w:cs="Arial"/>
                <w:sz w:val="22"/>
                <w:szCs w:val="22"/>
              </w:rPr>
              <w:t xml:space="preserve"> Jane</w:t>
            </w:r>
            <w:r w:rsidRPr="00540679">
              <w:rPr>
                <w:rFonts w:ascii="Arial" w:eastAsia="Arial" w:hAnsi="Arial" w:cs="Arial"/>
                <w:sz w:val="22"/>
                <w:szCs w:val="22"/>
              </w:rPr>
              <w:t xml:space="preserve"> Moles</w:t>
            </w:r>
          </w:p>
          <w:p w14:paraId="0AB09CC7" w14:textId="77777777" w:rsidR="00450484" w:rsidRPr="00540679" w:rsidRDefault="00450484" w:rsidP="007450AF">
            <w:pPr>
              <w:rPr>
                <w:rFonts w:ascii="Arial" w:eastAsia="Calibri"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tcPr>
          <w:p w14:paraId="347B3691" w14:textId="77777777" w:rsidR="00450484" w:rsidRPr="00540679" w:rsidRDefault="00450484" w:rsidP="007450AF">
            <w:pPr>
              <w:rPr>
                <w:rFonts w:ascii="Arial" w:eastAsia="Calibri" w:hAnsi="Arial" w:cs="Arial"/>
                <w:sz w:val="22"/>
                <w:szCs w:val="22"/>
              </w:rPr>
            </w:pPr>
            <w:r w:rsidRPr="00540679">
              <w:rPr>
                <w:rFonts w:ascii="Arial" w:eastAsia="Calibri" w:hAnsi="Arial" w:cs="Arial"/>
                <w:sz w:val="22"/>
                <w:szCs w:val="22"/>
              </w:rPr>
              <w:t>Professor, Sydney Pharmacy School, The University of Sydney, Pharmacist</w:t>
            </w:r>
          </w:p>
        </w:tc>
        <w:tc>
          <w:tcPr>
            <w:tcW w:w="2891" w:type="dxa"/>
            <w:gridSpan w:val="2"/>
            <w:tcBorders>
              <w:top w:val="single" w:sz="4" w:space="0" w:color="auto"/>
              <w:left w:val="single" w:sz="4" w:space="0" w:color="auto"/>
              <w:bottom w:val="single" w:sz="4" w:space="0" w:color="auto"/>
              <w:right w:val="single" w:sz="4" w:space="0" w:color="auto"/>
            </w:tcBorders>
          </w:tcPr>
          <w:p w14:paraId="75E91BF5" w14:textId="056060B7" w:rsidR="00450484" w:rsidRPr="00540679" w:rsidRDefault="00105D22" w:rsidP="007450AF">
            <w:pPr>
              <w:rPr>
                <w:rFonts w:ascii="Arial" w:hAnsi="Arial" w:cs="Arial"/>
                <w:color w:val="000000"/>
                <w:sz w:val="22"/>
                <w:szCs w:val="22"/>
              </w:rPr>
            </w:pPr>
            <w:r w:rsidRPr="00540679">
              <w:rPr>
                <w:rFonts w:ascii="Arial" w:eastAsia="Calibri" w:hAnsi="Arial" w:cs="Arial"/>
                <w:sz w:val="22"/>
                <w:szCs w:val="22"/>
              </w:rPr>
              <w:t>Chief Investigator</w:t>
            </w:r>
            <w:r w:rsidR="00EB5FD8" w:rsidRPr="00540679">
              <w:rPr>
                <w:rFonts w:ascii="Arial" w:eastAsia="Calibri" w:hAnsi="Arial" w:cs="Arial"/>
                <w:sz w:val="22"/>
                <w:szCs w:val="22"/>
              </w:rPr>
              <w:t xml:space="preserve"> </w:t>
            </w:r>
            <w:r w:rsidRPr="00540679">
              <w:rPr>
                <w:rFonts w:ascii="Arial" w:eastAsia="Calibri" w:hAnsi="Arial" w:cs="Arial"/>
                <w:sz w:val="22"/>
                <w:szCs w:val="22"/>
              </w:rPr>
              <w:t xml:space="preserve">C, </w:t>
            </w:r>
            <w:r w:rsidR="00450484" w:rsidRPr="00540679">
              <w:rPr>
                <w:rFonts w:ascii="Arial" w:eastAsia="Calibri" w:hAnsi="Arial" w:cs="Arial"/>
                <w:sz w:val="22"/>
                <w:szCs w:val="22"/>
              </w:rPr>
              <w:t>Pharmacy and</w:t>
            </w:r>
            <w:r w:rsidR="005914F2" w:rsidRPr="00540679">
              <w:rPr>
                <w:rFonts w:ascii="Arial" w:eastAsia="Calibri" w:hAnsi="Arial" w:cs="Arial"/>
                <w:sz w:val="22"/>
                <w:szCs w:val="22"/>
              </w:rPr>
              <w:t xml:space="preserve"> </w:t>
            </w:r>
            <w:r w:rsidR="005914F2" w:rsidRPr="00540679">
              <w:rPr>
                <w:rFonts w:ascii="Arial" w:hAnsi="Arial" w:cs="Arial"/>
                <w:color w:val="000000"/>
                <w:sz w:val="22"/>
                <w:szCs w:val="22"/>
              </w:rPr>
              <w:t>Transitions of care, Medication management services</w:t>
            </w:r>
            <w:r w:rsidR="006B582A" w:rsidRPr="00540679">
              <w:rPr>
                <w:rFonts w:ascii="Arial" w:hAnsi="Arial" w:cs="Arial"/>
                <w:color w:val="000000"/>
                <w:sz w:val="22"/>
                <w:szCs w:val="22"/>
              </w:rPr>
              <w:t xml:space="preserve"> and </w:t>
            </w:r>
            <w:r w:rsidR="00450484" w:rsidRPr="00540679">
              <w:rPr>
                <w:rFonts w:ascii="Arial" w:eastAsia="Calibri" w:hAnsi="Arial" w:cs="Arial"/>
                <w:sz w:val="22"/>
                <w:szCs w:val="22"/>
              </w:rPr>
              <w:t>safety expert</w:t>
            </w:r>
          </w:p>
        </w:tc>
      </w:tr>
      <w:tr w:rsidR="00FE04DD" w:rsidRPr="00540679" w14:paraId="7767C9CF"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6B8EB57B" w14:textId="53BF8E6F" w:rsidR="00FE04DD" w:rsidRPr="00540679" w:rsidRDefault="00771F4E" w:rsidP="007450AF">
            <w:pPr>
              <w:autoSpaceDE w:val="0"/>
              <w:autoSpaceDN w:val="0"/>
              <w:adjustRightInd w:val="0"/>
              <w:rPr>
                <w:rFonts w:ascii="Arial" w:eastAsia="Arial" w:hAnsi="Arial" w:cs="Arial"/>
                <w:sz w:val="22"/>
                <w:szCs w:val="22"/>
              </w:rPr>
            </w:pPr>
            <w:r w:rsidRPr="00540679">
              <w:rPr>
                <w:rFonts w:ascii="Arial" w:eastAsia="Arial" w:hAnsi="Arial" w:cs="Arial"/>
                <w:sz w:val="22"/>
                <w:szCs w:val="22"/>
              </w:rPr>
              <w:t>Ms Deird</w:t>
            </w:r>
            <w:r w:rsidR="00732072" w:rsidRPr="00540679">
              <w:rPr>
                <w:rFonts w:ascii="Arial" w:eastAsia="Arial" w:hAnsi="Arial" w:cs="Arial"/>
                <w:sz w:val="22"/>
                <w:szCs w:val="22"/>
              </w:rPr>
              <w:t>r</w:t>
            </w:r>
            <w:r w:rsidRPr="00540679">
              <w:rPr>
                <w:rFonts w:ascii="Arial" w:eastAsia="Arial" w:hAnsi="Arial" w:cs="Arial"/>
                <w:sz w:val="22"/>
                <w:szCs w:val="22"/>
              </w:rPr>
              <w:t>e</w:t>
            </w:r>
            <w:r w:rsidR="00A87429" w:rsidRPr="00540679">
              <w:rPr>
                <w:rFonts w:ascii="Arial" w:eastAsia="Arial" w:hAnsi="Arial" w:cs="Arial"/>
                <w:sz w:val="22"/>
                <w:szCs w:val="22"/>
              </w:rPr>
              <w:t xml:space="preserve"> Thelma</w:t>
            </w:r>
            <w:r w:rsidRPr="00540679">
              <w:rPr>
                <w:rFonts w:ascii="Arial" w:eastAsia="Arial" w:hAnsi="Arial" w:cs="Arial"/>
                <w:sz w:val="22"/>
                <w:szCs w:val="22"/>
              </w:rPr>
              <w:t xml:space="preserve"> Criddle</w:t>
            </w:r>
          </w:p>
          <w:p w14:paraId="39D84969" w14:textId="124F76BF" w:rsidR="00E40961" w:rsidRPr="00540679" w:rsidRDefault="00E40961" w:rsidP="007450AF">
            <w:pPr>
              <w:pStyle w:val="PlainText"/>
              <w:rPr>
                <w:rFonts w:ascii="Arial" w:hAnsi="Arial" w:cs="Arial"/>
                <w:szCs w:val="22"/>
              </w:rPr>
            </w:pPr>
          </w:p>
          <w:p w14:paraId="2B80849E" w14:textId="79AFE26F" w:rsidR="00E40961" w:rsidRPr="00540679" w:rsidRDefault="00E40961" w:rsidP="007450AF">
            <w:pPr>
              <w:autoSpaceDE w:val="0"/>
              <w:autoSpaceDN w:val="0"/>
              <w:adjustRightInd w:val="0"/>
              <w:rPr>
                <w:rFonts w:ascii="Arial" w:eastAsia="Arial"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tcPr>
          <w:p w14:paraId="7C6C5DCA" w14:textId="2A12BB4F" w:rsidR="00FE04DD" w:rsidRPr="00540679" w:rsidRDefault="16584D26" w:rsidP="007450AF">
            <w:pPr>
              <w:rPr>
                <w:rFonts w:ascii="Arial" w:eastAsia="Calibri" w:hAnsi="Arial" w:cs="Arial"/>
                <w:sz w:val="22"/>
                <w:szCs w:val="22"/>
              </w:rPr>
            </w:pPr>
            <w:r w:rsidRPr="00540679">
              <w:rPr>
                <w:rFonts w:ascii="Arial" w:eastAsia="Calibri" w:hAnsi="Arial" w:cs="Arial"/>
                <w:sz w:val="22"/>
                <w:szCs w:val="22"/>
              </w:rPr>
              <w:t>Complex Care Clinical Pharmacist, South Metropolitan Health Service Murdoch</w:t>
            </w:r>
          </w:p>
        </w:tc>
        <w:tc>
          <w:tcPr>
            <w:tcW w:w="2891" w:type="dxa"/>
            <w:gridSpan w:val="2"/>
            <w:tcBorders>
              <w:top w:val="single" w:sz="4" w:space="0" w:color="auto"/>
              <w:left w:val="single" w:sz="4" w:space="0" w:color="auto"/>
              <w:bottom w:val="single" w:sz="4" w:space="0" w:color="auto"/>
              <w:right w:val="single" w:sz="4" w:space="0" w:color="auto"/>
            </w:tcBorders>
          </w:tcPr>
          <w:p w14:paraId="3A437FE5" w14:textId="0B05D8EC" w:rsidR="000028C9" w:rsidRPr="00540679" w:rsidRDefault="000028C9" w:rsidP="007450AF">
            <w:pPr>
              <w:rPr>
                <w:rFonts w:ascii="Arial" w:hAnsi="Arial" w:cs="Arial"/>
                <w:color w:val="000000"/>
                <w:sz w:val="22"/>
                <w:szCs w:val="22"/>
              </w:rPr>
            </w:pPr>
            <w:r w:rsidRPr="00540679">
              <w:rPr>
                <w:rFonts w:ascii="Arial" w:hAnsi="Arial" w:cs="Arial"/>
                <w:color w:val="000000"/>
                <w:sz w:val="22"/>
                <w:szCs w:val="22"/>
              </w:rPr>
              <w:t>C</w:t>
            </w:r>
            <w:r w:rsidR="00ED292D" w:rsidRPr="00540679">
              <w:rPr>
                <w:rFonts w:ascii="Arial" w:hAnsi="Arial" w:cs="Arial"/>
                <w:color w:val="000000"/>
                <w:sz w:val="22"/>
                <w:szCs w:val="22"/>
              </w:rPr>
              <w:t xml:space="preserve">hief </w:t>
            </w:r>
            <w:r w:rsidR="006E2D60" w:rsidRPr="00540679">
              <w:rPr>
                <w:rFonts w:ascii="Arial" w:hAnsi="Arial" w:cs="Arial"/>
                <w:color w:val="000000"/>
                <w:sz w:val="22"/>
                <w:szCs w:val="22"/>
              </w:rPr>
              <w:t>Investigator D</w:t>
            </w:r>
            <w:r w:rsidR="009E7250" w:rsidRPr="00540679">
              <w:rPr>
                <w:rFonts w:ascii="Arial" w:hAnsi="Arial" w:cs="Arial"/>
                <w:color w:val="000000"/>
                <w:sz w:val="22"/>
                <w:szCs w:val="22"/>
              </w:rPr>
              <w:t xml:space="preserve">, predictive risk </w:t>
            </w:r>
            <w:r w:rsidR="00001B47" w:rsidRPr="00540679">
              <w:rPr>
                <w:rFonts w:ascii="Arial" w:hAnsi="Arial" w:cs="Arial"/>
                <w:color w:val="000000"/>
                <w:sz w:val="22"/>
                <w:szCs w:val="22"/>
              </w:rPr>
              <w:t>modelling, medication management</w:t>
            </w:r>
          </w:p>
          <w:p w14:paraId="6456F7A8" w14:textId="77777777" w:rsidR="00FE04DD" w:rsidRPr="00540679" w:rsidRDefault="00FE04DD" w:rsidP="007450AF">
            <w:pPr>
              <w:rPr>
                <w:rFonts w:ascii="Arial" w:eastAsia="Calibri" w:hAnsi="Arial" w:cs="Arial"/>
                <w:sz w:val="22"/>
                <w:szCs w:val="22"/>
              </w:rPr>
            </w:pPr>
          </w:p>
        </w:tc>
      </w:tr>
      <w:tr w:rsidR="00450484" w:rsidRPr="00540679" w14:paraId="66732003"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50BB897C" w14:textId="2A926971" w:rsidR="00450484" w:rsidRPr="00540679" w:rsidRDefault="00832B99" w:rsidP="007450AF">
            <w:pPr>
              <w:rPr>
                <w:rFonts w:ascii="Arial" w:eastAsia="Calibri" w:hAnsi="Arial" w:cs="Arial"/>
                <w:sz w:val="22"/>
                <w:szCs w:val="22"/>
              </w:rPr>
            </w:pPr>
            <w:r w:rsidRPr="00540679">
              <w:rPr>
                <w:rFonts w:ascii="Arial" w:eastAsia="Calibri" w:hAnsi="Arial" w:cs="Arial"/>
                <w:sz w:val="22"/>
                <w:szCs w:val="22"/>
              </w:rPr>
              <w:t xml:space="preserve">Associate Professor </w:t>
            </w:r>
            <w:r w:rsidR="00685085" w:rsidRPr="00540679">
              <w:rPr>
                <w:rFonts w:ascii="Arial" w:eastAsia="Calibri" w:hAnsi="Arial" w:cs="Arial"/>
                <w:sz w:val="22"/>
                <w:szCs w:val="22"/>
              </w:rPr>
              <w:t>Rohan Andrew Elliott</w:t>
            </w:r>
          </w:p>
          <w:p w14:paraId="4546EB04" w14:textId="42448409" w:rsidR="00450484" w:rsidRPr="00540679" w:rsidRDefault="00450484" w:rsidP="007450AF">
            <w:pPr>
              <w:rPr>
                <w:rFonts w:ascii="Arial" w:eastAsia="Calibri"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tcPr>
          <w:p w14:paraId="4CB2D849" w14:textId="33E92385" w:rsidR="00450484" w:rsidRPr="00540679" w:rsidRDefault="008D5600" w:rsidP="007450AF">
            <w:pPr>
              <w:rPr>
                <w:rFonts w:ascii="Arial" w:eastAsia="Calibri" w:hAnsi="Arial" w:cs="Arial"/>
                <w:sz w:val="22"/>
                <w:szCs w:val="22"/>
              </w:rPr>
            </w:pPr>
            <w:r w:rsidRPr="00540679">
              <w:rPr>
                <w:rFonts w:ascii="Arial" w:hAnsi="Arial" w:cs="Arial"/>
                <w:color w:val="000000"/>
                <w:sz w:val="22"/>
                <w:szCs w:val="22"/>
              </w:rPr>
              <w:t>Senior Clinician, Austin Health; Adjunct Associate Professor, Monash University</w:t>
            </w:r>
          </w:p>
        </w:tc>
        <w:tc>
          <w:tcPr>
            <w:tcW w:w="2891" w:type="dxa"/>
            <w:gridSpan w:val="2"/>
            <w:tcBorders>
              <w:top w:val="single" w:sz="4" w:space="0" w:color="auto"/>
              <w:left w:val="single" w:sz="4" w:space="0" w:color="auto"/>
              <w:bottom w:val="single" w:sz="4" w:space="0" w:color="auto"/>
              <w:right w:val="single" w:sz="4" w:space="0" w:color="auto"/>
            </w:tcBorders>
          </w:tcPr>
          <w:p w14:paraId="04204E93" w14:textId="7A5F8755" w:rsidR="00450484" w:rsidRPr="00540679" w:rsidRDefault="00DA4DE0" w:rsidP="007450AF">
            <w:pPr>
              <w:rPr>
                <w:rFonts w:ascii="Arial" w:eastAsia="Calibri" w:hAnsi="Arial" w:cs="Arial"/>
                <w:sz w:val="22"/>
                <w:szCs w:val="22"/>
              </w:rPr>
            </w:pPr>
            <w:r w:rsidRPr="00540679">
              <w:rPr>
                <w:rFonts w:ascii="Arial" w:eastAsia="Calibri" w:hAnsi="Arial" w:cs="Arial"/>
                <w:sz w:val="22"/>
                <w:szCs w:val="22"/>
              </w:rPr>
              <w:t>Chief Investigator E</w:t>
            </w:r>
            <w:r w:rsidR="006E2D60" w:rsidRPr="00540679">
              <w:rPr>
                <w:rFonts w:ascii="Arial" w:eastAsia="Calibri" w:hAnsi="Arial" w:cs="Arial"/>
                <w:sz w:val="22"/>
                <w:szCs w:val="22"/>
              </w:rPr>
              <w:t>,</w:t>
            </w:r>
            <w:r w:rsidRPr="00540679">
              <w:rPr>
                <w:rFonts w:ascii="Arial" w:eastAsia="Calibri" w:hAnsi="Arial" w:cs="Arial"/>
                <w:sz w:val="22"/>
                <w:szCs w:val="22"/>
              </w:rPr>
              <w:t xml:space="preserve"> </w:t>
            </w:r>
            <w:r w:rsidR="00545403" w:rsidRPr="00540679">
              <w:rPr>
                <w:rFonts w:ascii="Arial" w:hAnsi="Arial" w:cs="Arial"/>
                <w:color w:val="000000"/>
                <w:sz w:val="22"/>
                <w:szCs w:val="22"/>
              </w:rPr>
              <w:t>M</w:t>
            </w:r>
            <w:r w:rsidR="00BE3CDF" w:rsidRPr="00540679">
              <w:rPr>
                <w:rFonts w:ascii="Arial" w:hAnsi="Arial" w:cs="Arial"/>
                <w:color w:val="000000"/>
                <w:sz w:val="22"/>
                <w:szCs w:val="22"/>
              </w:rPr>
              <w:t>edication safety, transitions of care, geriatric medicine</w:t>
            </w:r>
            <w:r w:rsidR="00545403" w:rsidRPr="00540679">
              <w:rPr>
                <w:rFonts w:ascii="Arial" w:hAnsi="Arial" w:cs="Arial"/>
                <w:color w:val="000000"/>
                <w:sz w:val="22"/>
                <w:szCs w:val="22"/>
              </w:rPr>
              <w:t xml:space="preserve"> expert</w:t>
            </w:r>
          </w:p>
        </w:tc>
      </w:tr>
      <w:tr w:rsidR="00450484" w:rsidRPr="00540679" w14:paraId="6F998DEC"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699FFF49" w14:textId="643E25E6" w:rsidR="00450484" w:rsidRPr="00540679" w:rsidRDefault="00090E42" w:rsidP="007450AF">
            <w:pPr>
              <w:autoSpaceDE w:val="0"/>
              <w:autoSpaceDN w:val="0"/>
              <w:adjustRightInd w:val="0"/>
              <w:rPr>
                <w:rFonts w:ascii="Arial" w:eastAsia="Arial" w:hAnsi="Arial" w:cs="Arial"/>
                <w:sz w:val="22"/>
                <w:szCs w:val="22"/>
              </w:rPr>
            </w:pPr>
            <w:r w:rsidRPr="00540679">
              <w:rPr>
                <w:rFonts w:ascii="Arial" w:hAnsi="Arial" w:cs="Arial"/>
                <w:color w:val="000000"/>
                <w:sz w:val="22"/>
                <w:szCs w:val="22"/>
              </w:rPr>
              <w:t>Ms Deborah Rigby</w:t>
            </w:r>
          </w:p>
        </w:tc>
        <w:tc>
          <w:tcPr>
            <w:tcW w:w="2846" w:type="dxa"/>
            <w:tcBorders>
              <w:top w:val="single" w:sz="4" w:space="0" w:color="auto"/>
              <w:left w:val="single" w:sz="4" w:space="0" w:color="auto"/>
              <w:bottom w:val="single" w:sz="4" w:space="0" w:color="auto"/>
              <w:right w:val="single" w:sz="4" w:space="0" w:color="auto"/>
            </w:tcBorders>
          </w:tcPr>
          <w:p w14:paraId="3A117873" w14:textId="7935AE54" w:rsidR="00450484" w:rsidRPr="00540679" w:rsidRDefault="00070B98" w:rsidP="007450AF">
            <w:pPr>
              <w:rPr>
                <w:rFonts w:ascii="Arial" w:eastAsia="Calibri" w:hAnsi="Arial" w:cs="Arial"/>
                <w:sz w:val="22"/>
                <w:szCs w:val="22"/>
              </w:rPr>
            </w:pPr>
            <w:r w:rsidRPr="00540679">
              <w:rPr>
                <w:rFonts w:ascii="Arial" w:eastAsia="Calibri" w:hAnsi="Arial" w:cs="Arial"/>
                <w:sz w:val="22"/>
                <w:szCs w:val="22"/>
              </w:rPr>
              <w:t>Adjunct Associate Professor</w:t>
            </w:r>
            <w:r w:rsidR="00F34387" w:rsidRPr="00540679">
              <w:rPr>
                <w:rFonts w:ascii="Arial" w:eastAsia="Calibri" w:hAnsi="Arial" w:cs="Arial"/>
                <w:sz w:val="22"/>
                <w:szCs w:val="22"/>
              </w:rPr>
              <w:t>, School of Pharmacy</w:t>
            </w:r>
            <w:r w:rsidR="00BF0DE4" w:rsidRPr="00540679">
              <w:rPr>
                <w:rFonts w:ascii="Arial" w:eastAsia="Calibri" w:hAnsi="Arial" w:cs="Arial"/>
                <w:sz w:val="22"/>
                <w:szCs w:val="22"/>
              </w:rPr>
              <w:t>, University of Queensland</w:t>
            </w:r>
          </w:p>
        </w:tc>
        <w:tc>
          <w:tcPr>
            <w:tcW w:w="2891" w:type="dxa"/>
            <w:gridSpan w:val="2"/>
            <w:tcBorders>
              <w:top w:val="single" w:sz="4" w:space="0" w:color="auto"/>
              <w:left w:val="single" w:sz="4" w:space="0" w:color="auto"/>
              <w:bottom w:val="single" w:sz="4" w:space="0" w:color="auto"/>
              <w:right w:val="single" w:sz="4" w:space="0" w:color="auto"/>
            </w:tcBorders>
          </w:tcPr>
          <w:p w14:paraId="4B46A0F4" w14:textId="7D7B8B9F" w:rsidR="00450484" w:rsidRPr="00540679" w:rsidRDefault="00DA4DE0" w:rsidP="007450AF">
            <w:pPr>
              <w:rPr>
                <w:rFonts w:ascii="Arial" w:eastAsia="Calibri" w:hAnsi="Arial" w:cs="Arial"/>
                <w:sz w:val="22"/>
                <w:szCs w:val="22"/>
              </w:rPr>
            </w:pPr>
            <w:r w:rsidRPr="00540679">
              <w:rPr>
                <w:rFonts w:ascii="Arial" w:eastAsia="Calibri" w:hAnsi="Arial" w:cs="Arial"/>
                <w:sz w:val="22"/>
                <w:szCs w:val="22"/>
              </w:rPr>
              <w:t>Chief Investigator F</w:t>
            </w:r>
            <w:r w:rsidR="001B0D8A" w:rsidRPr="00540679">
              <w:rPr>
                <w:rFonts w:ascii="Arial" w:eastAsia="Calibri" w:hAnsi="Arial" w:cs="Arial"/>
                <w:sz w:val="22"/>
                <w:szCs w:val="22"/>
              </w:rPr>
              <w:t>,</w:t>
            </w:r>
            <w:r w:rsidRPr="00540679">
              <w:rPr>
                <w:rFonts w:ascii="Arial" w:eastAsia="Calibri" w:hAnsi="Arial" w:cs="Arial"/>
                <w:sz w:val="22"/>
                <w:szCs w:val="22"/>
              </w:rPr>
              <w:t xml:space="preserve"> </w:t>
            </w:r>
            <w:r w:rsidR="006E4132" w:rsidRPr="00540679">
              <w:rPr>
                <w:rFonts w:ascii="Arial" w:hAnsi="Arial" w:cs="Arial"/>
                <w:color w:val="000000"/>
                <w:sz w:val="22"/>
                <w:szCs w:val="22"/>
              </w:rPr>
              <w:t>Medication safety, transitions of care, geriatric medicine expert</w:t>
            </w:r>
          </w:p>
        </w:tc>
      </w:tr>
      <w:tr w:rsidR="00450484" w:rsidRPr="00540679" w14:paraId="3B73EC9D"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5A0B1D6B" w14:textId="51D01A32" w:rsidR="00450484" w:rsidRPr="00540679" w:rsidRDefault="00723B3B" w:rsidP="007450AF">
            <w:pPr>
              <w:rPr>
                <w:rFonts w:ascii="Arial" w:eastAsia="Calibri" w:hAnsi="Arial" w:cs="Arial"/>
                <w:sz w:val="22"/>
                <w:szCs w:val="22"/>
                <w:highlight w:val="yellow"/>
              </w:rPr>
            </w:pPr>
            <w:r w:rsidRPr="00540679">
              <w:rPr>
                <w:rFonts w:ascii="Arial" w:hAnsi="Arial" w:cs="Arial"/>
                <w:color w:val="000000"/>
                <w:sz w:val="22"/>
                <w:szCs w:val="22"/>
              </w:rPr>
              <w:t>Prof Sepehr Shakib</w:t>
            </w:r>
          </w:p>
        </w:tc>
        <w:tc>
          <w:tcPr>
            <w:tcW w:w="2846" w:type="dxa"/>
            <w:tcBorders>
              <w:top w:val="single" w:sz="4" w:space="0" w:color="auto"/>
              <w:left w:val="single" w:sz="4" w:space="0" w:color="auto"/>
              <w:bottom w:val="single" w:sz="4" w:space="0" w:color="auto"/>
              <w:right w:val="single" w:sz="4" w:space="0" w:color="auto"/>
            </w:tcBorders>
          </w:tcPr>
          <w:p w14:paraId="77747167" w14:textId="0DC1E1C7" w:rsidR="00450484" w:rsidRPr="00540679" w:rsidRDefault="00070B98" w:rsidP="007450AF">
            <w:pPr>
              <w:rPr>
                <w:rFonts w:ascii="Arial" w:hAnsi="Arial" w:cs="Arial"/>
                <w:sz w:val="22"/>
                <w:szCs w:val="22"/>
              </w:rPr>
            </w:pPr>
            <w:r w:rsidRPr="00540679">
              <w:rPr>
                <w:rFonts w:ascii="Arial" w:hAnsi="Arial" w:cs="Arial"/>
                <w:sz w:val="22"/>
                <w:szCs w:val="22"/>
              </w:rPr>
              <w:t xml:space="preserve">Professor </w:t>
            </w:r>
            <w:r w:rsidR="00A04C9A" w:rsidRPr="00540679">
              <w:rPr>
                <w:rFonts w:ascii="Arial" w:hAnsi="Arial" w:cs="Arial"/>
                <w:sz w:val="22"/>
                <w:szCs w:val="22"/>
              </w:rPr>
              <w:t>Clinical Pharmacology</w:t>
            </w:r>
            <w:r w:rsidR="00F5734B" w:rsidRPr="00540679">
              <w:rPr>
                <w:rFonts w:ascii="Arial" w:hAnsi="Arial" w:cs="Arial"/>
                <w:sz w:val="22"/>
                <w:szCs w:val="22"/>
              </w:rPr>
              <w:t>, University of Ade</w:t>
            </w:r>
            <w:r w:rsidR="00D23958" w:rsidRPr="00540679">
              <w:rPr>
                <w:rFonts w:ascii="Arial" w:hAnsi="Arial" w:cs="Arial"/>
                <w:sz w:val="22"/>
                <w:szCs w:val="22"/>
              </w:rPr>
              <w:t>laide</w:t>
            </w:r>
          </w:p>
        </w:tc>
        <w:tc>
          <w:tcPr>
            <w:tcW w:w="2891" w:type="dxa"/>
            <w:gridSpan w:val="2"/>
            <w:tcBorders>
              <w:top w:val="single" w:sz="4" w:space="0" w:color="auto"/>
              <w:left w:val="single" w:sz="4" w:space="0" w:color="auto"/>
              <w:bottom w:val="single" w:sz="4" w:space="0" w:color="auto"/>
              <w:right w:val="single" w:sz="4" w:space="0" w:color="auto"/>
            </w:tcBorders>
          </w:tcPr>
          <w:p w14:paraId="492F6CF6" w14:textId="5D83F67F" w:rsidR="00450484" w:rsidRPr="00540679" w:rsidRDefault="00DA4DE0" w:rsidP="007450AF">
            <w:pPr>
              <w:rPr>
                <w:rFonts w:ascii="Arial" w:eastAsia="Calibri" w:hAnsi="Arial" w:cs="Arial"/>
                <w:sz w:val="22"/>
                <w:szCs w:val="22"/>
              </w:rPr>
            </w:pPr>
            <w:r w:rsidRPr="00540679">
              <w:rPr>
                <w:rFonts w:ascii="Arial" w:eastAsia="Calibri" w:hAnsi="Arial" w:cs="Arial"/>
                <w:sz w:val="22"/>
                <w:szCs w:val="22"/>
              </w:rPr>
              <w:t>Chief Investigator G</w:t>
            </w:r>
            <w:r w:rsidR="001B0D8A" w:rsidRPr="00540679">
              <w:rPr>
                <w:rFonts w:ascii="Arial" w:eastAsia="Calibri" w:hAnsi="Arial" w:cs="Arial"/>
                <w:sz w:val="22"/>
                <w:szCs w:val="22"/>
              </w:rPr>
              <w:t>,</w:t>
            </w:r>
            <w:r w:rsidRPr="00540679">
              <w:rPr>
                <w:rFonts w:ascii="Arial" w:eastAsia="Calibri" w:hAnsi="Arial" w:cs="Arial"/>
                <w:sz w:val="22"/>
                <w:szCs w:val="22"/>
              </w:rPr>
              <w:t xml:space="preserve"> </w:t>
            </w:r>
            <w:r w:rsidR="003C66CA" w:rsidRPr="00540679">
              <w:rPr>
                <w:rFonts w:ascii="Arial" w:hAnsi="Arial" w:cs="Arial"/>
                <w:color w:val="000000"/>
                <w:sz w:val="22"/>
                <w:szCs w:val="22"/>
              </w:rPr>
              <w:t>Medication safety, transitions of care, geriatric medicine expert</w:t>
            </w:r>
          </w:p>
        </w:tc>
      </w:tr>
      <w:tr w:rsidR="00450484" w:rsidRPr="00540679" w14:paraId="6E2E094D"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33C33C1C" w14:textId="68BBC298" w:rsidR="00450484" w:rsidRPr="00540679" w:rsidRDefault="00450484" w:rsidP="007450AF">
            <w:pPr>
              <w:autoSpaceDE w:val="0"/>
              <w:autoSpaceDN w:val="0"/>
              <w:adjustRightInd w:val="0"/>
              <w:rPr>
                <w:rFonts w:ascii="Arial" w:eastAsia="Arial" w:hAnsi="Arial" w:cs="Arial"/>
                <w:sz w:val="22"/>
                <w:szCs w:val="22"/>
              </w:rPr>
            </w:pPr>
            <w:r w:rsidRPr="00540679">
              <w:rPr>
                <w:rFonts w:ascii="Arial" w:eastAsia="Arial" w:hAnsi="Arial" w:cs="Arial"/>
                <w:sz w:val="22"/>
                <w:szCs w:val="22"/>
              </w:rPr>
              <w:t xml:space="preserve">Associate Professor </w:t>
            </w:r>
            <w:r w:rsidR="00161AFD" w:rsidRPr="00540679">
              <w:rPr>
                <w:rFonts w:ascii="Arial" w:hAnsi="Arial" w:cs="Arial"/>
                <w:color w:val="000000"/>
                <w:sz w:val="22"/>
                <w:szCs w:val="22"/>
              </w:rPr>
              <w:t>Frank Mario Sanfilippo</w:t>
            </w:r>
          </w:p>
        </w:tc>
        <w:tc>
          <w:tcPr>
            <w:tcW w:w="2846" w:type="dxa"/>
            <w:tcBorders>
              <w:top w:val="single" w:sz="4" w:space="0" w:color="auto"/>
              <w:left w:val="single" w:sz="4" w:space="0" w:color="auto"/>
              <w:bottom w:val="single" w:sz="4" w:space="0" w:color="auto"/>
              <w:right w:val="single" w:sz="4" w:space="0" w:color="auto"/>
            </w:tcBorders>
          </w:tcPr>
          <w:p w14:paraId="63E5D1CA" w14:textId="4C851669" w:rsidR="00450484" w:rsidRPr="00540679" w:rsidRDefault="00B9328D" w:rsidP="007450AF">
            <w:pPr>
              <w:rPr>
                <w:rFonts w:ascii="Arial" w:hAnsi="Arial" w:cs="Arial"/>
                <w:sz w:val="22"/>
                <w:szCs w:val="22"/>
              </w:rPr>
            </w:pPr>
            <w:r w:rsidRPr="00540679">
              <w:rPr>
                <w:rFonts w:ascii="Arial" w:hAnsi="Arial" w:cs="Arial"/>
                <w:sz w:val="22"/>
                <w:szCs w:val="22"/>
              </w:rPr>
              <w:t>Principal Research Fellow</w:t>
            </w:r>
            <w:r w:rsidR="00DD24AC" w:rsidRPr="00540679">
              <w:rPr>
                <w:rFonts w:ascii="Arial" w:hAnsi="Arial" w:cs="Arial"/>
                <w:sz w:val="22"/>
                <w:szCs w:val="22"/>
              </w:rPr>
              <w:t>, School of Population and Global Health</w:t>
            </w:r>
            <w:r w:rsidR="002B4AD6" w:rsidRPr="00540679">
              <w:rPr>
                <w:rFonts w:ascii="Arial" w:hAnsi="Arial" w:cs="Arial"/>
                <w:sz w:val="22"/>
                <w:szCs w:val="22"/>
              </w:rPr>
              <w:t>, University of Western Australia</w:t>
            </w:r>
          </w:p>
        </w:tc>
        <w:tc>
          <w:tcPr>
            <w:tcW w:w="2891" w:type="dxa"/>
            <w:gridSpan w:val="2"/>
            <w:tcBorders>
              <w:top w:val="single" w:sz="4" w:space="0" w:color="auto"/>
              <w:left w:val="single" w:sz="4" w:space="0" w:color="auto"/>
              <w:bottom w:val="single" w:sz="4" w:space="0" w:color="auto"/>
              <w:right w:val="single" w:sz="4" w:space="0" w:color="auto"/>
            </w:tcBorders>
          </w:tcPr>
          <w:p w14:paraId="02AE2780" w14:textId="1613783A" w:rsidR="00450484" w:rsidRPr="00540679" w:rsidRDefault="00DA4DE0" w:rsidP="007450AF">
            <w:pPr>
              <w:spacing w:line="276" w:lineRule="auto"/>
              <w:rPr>
                <w:rFonts w:ascii="Arial" w:eastAsia="Calibri" w:hAnsi="Arial" w:cs="Arial"/>
                <w:sz w:val="22"/>
                <w:szCs w:val="22"/>
              </w:rPr>
            </w:pPr>
            <w:r w:rsidRPr="00540679">
              <w:rPr>
                <w:rFonts w:ascii="Arial" w:eastAsia="Calibri" w:hAnsi="Arial" w:cs="Arial"/>
                <w:sz w:val="22"/>
                <w:szCs w:val="22"/>
              </w:rPr>
              <w:t>Chief Investigator H</w:t>
            </w:r>
            <w:r w:rsidR="001B0D8A" w:rsidRPr="00540679">
              <w:rPr>
                <w:rFonts w:ascii="Arial" w:eastAsia="Calibri" w:hAnsi="Arial" w:cs="Arial"/>
                <w:sz w:val="22"/>
                <w:szCs w:val="22"/>
              </w:rPr>
              <w:t>,</w:t>
            </w:r>
            <w:r w:rsidRPr="00540679">
              <w:rPr>
                <w:rFonts w:ascii="Arial" w:eastAsia="Calibri" w:hAnsi="Arial" w:cs="Arial"/>
                <w:sz w:val="22"/>
                <w:szCs w:val="22"/>
              </w:rPr>
              <w:t xml:space="preserve"> </w:t>
            </w:r>
            <w:r w:rsidR="00463E70" w:rsidRPr="00540679">
              <w:rPr>
                <w:rFonts w:ascii="Arial" w:hAnsi="Arial" w:cs="Arial"/>
                <w:color w:val="000000"/>
                <w:sz w:val="22"/>
                <w:szCs w:val="22"/>
              </w:rPr>
              <w:t>Medication safety, transitions of care, geriatric medicine expert</w:t>
            </w:r>
          </w:p>
        </w:tc>
      </w:tr>
      <w:tr w:rsidR="00450484" w:rsidRPr="00540679" w14:paraId="02A95A2E"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4C9D2186" w14:textId="2EFB244E" w:rsidR="00450484" w:rsidRPr="00540679" w:rsidRDefault="009311B0" w:rsidP="007450AF">
            <w:pPr>
              <w:autoSpaceDE w:val="0"/>
              <w:autoSpaceDN w:val="0"/>
              <w:adjustRightInd w:val="0"/>
              <w:rPr>
                <w:rFonts w:ascii="Arial" w:eastAsia="Calibri" w:hAnsi="Arial" w:cs="Arial"/>
                <w:sz w:val="22"/>
                <w:szCs w:val="22"/>
                <w:highlight w:val="yellow"/>
              </w:rPr>
            </w:pPr>
            <w:r w:rsidRPr="00540679">
              <w:rPr>
                <w:rFonts w:ascii="Arial" w:hAnsi="Arial" w:cs="Arial"/>
                <w:color w:val="000000"/>
                <w:sz w:val="22"/>
                <w:szCs w:val="22"/>
              </w:rPr>
              <w:t>Dr Stephen Carter</w:t>
            </w:r>
          </w:p>
        </w:tc>
        <w:tc>
          <w:tcPr>
            <w:tcW w:w="2846" w:type="dxa"/>
            <w:tcBorders>
              <w:top w:val="single" w:sz="4" w:space="0" w:color="auto"/>
              <w:left w:val="single" w:sz="4" w:space="0" w:color="auto"/>
              <w:bottom w:val="single" w:sz="4" w:space="0" w:color="auto"/>
              <w:right w:val="single" w:sz="4" w:space="0" w:color="auto"/>
            </w:tcBorders>
          </w:tcPr>
          <w:p w14:paraId="431BEAEB" w14:textId="537CC6D6" w:rsidR="00450484" w:rsidRPr="00540679" w:rsidRDefault="00B9328D" w:rsidP="007450AF">
            <w:pPr>
              <w:rPr>
                <w:rFonts w:ascii="Arial" w:hAnsi="Arial" w:cs="Arial"/>
                <w:sz w:val="22"/>
                <w:szCs w:val="22"/>
              </w:rPr>
            </w:pPr>
            <w:r w:rsidRPr="00540679">
              <w:rPr>
                <w:rFonts w:ascii="Arial" w:eastAsia="Calibri" w:hAnsi="Arial" w:cs="Arial"/>
                <w:sz w:val="22"/>
                <w:szCs w:val="22"/>
              </w:rPr>
              <w:t>Senior Lecturer, Sydney Pharmacy School, University of Sydney, Pharmacist</w:t>
            </w:r>
          </w:p>
        </w:tc>
        <w:tc>
          <w:tcPr>
            <w:tcW w:w="2891" w:type="dxa"/>
            <w:gridSpan w:val="2"/>
            <w:tcBorders>
              <w:top w:val="single" w:sz="4" w:space="0" w:color="auto"/>
              <w:left w:val="single" w:sz="4" w:space="0" w:color="auto"/>
              <w:bottom w:val="single" w:sz="4" w:space="0" w:color="auto"/>
              <w:right w:val="single" w:sz="4" w:space="0" w:color="auto"/>
            </w:tcBorders>
          </w:tcPr>
          <w:p w14:paraId="21102006" w14:textId="5B8679B2" w:rsidR="00450484" w:rsidRPr="00540679" w:rsidRDefault="007E0004" w:rsidP="007450AF">
            <w:pPr>
              <w:rPr>
                <w:rFonts w:ascii="Arial" w:eastAsia="Calibri" w:hAnsi="Arial" w:cs="Arial"/>
                <w:sz w:val="22"/>
                <w:szCs w:val="22"/>
              </w:rPr>
            </w:pPr>
            <w:r w:rsidRPr="00540679">
              <w:rPr>
                <w:rFonts w:ascii="Arial" w:eastAsia="Calibri" w:hAnsi="Arial" w:cs="Arial"/>
                <w:sz w:val="22"/>
                <w:szCs w:val="22"/>
              </w:rPr>
              <w:t>Chief Investigator I</w:t>
            </w:r>
            <w:r w:rsidR="001B0D8A" w:rsidRPr="00540679">
              <w:rPr>
                <w:rFonts w:ascii="Arial" w:eastAsia="Calibri" w:hAnsi="Arial" w:cs="Arial"/>
                <w:sz w:val="22"/>
                <w:szCs w:val="22"/>
              </w:rPr>
              <w:t>,</w:t>
            </w:r>
            <w:r w:rsidRPr="00540679">
              <w:rPr>
                <w:rFonts w:ascii="Arial" w:eastAsia="Calibri" w:hAnsi="Arial" w:cs="Arial"/>
                <w:sz w:val="22"/>
                <w:szCs w:val="22"/>
              </w:rPr>
              <w:t xml:space="preserve"> </w:t>
            </w:r>
            <w:r w:rsidR="00463E70" w:rsidRPr="00540679">
              <w:rPr>
                <w:rFonts w:ascii="Arial" w:hAnsi="Arial" w:cs="Arial"/>
                <w:color w:val="000000"/>
                <w:sz w:val="22"/>
                <w:szCs w:val="22"/>
              </w:rPr>
              <w:t>Medication safety, transitions of care, geriatric medicine expert</w:t>
            </w:r>
          </w:p>
        </w:tc>
      </w:tr>
      <w:tr w:rsidR="00A75DE2" w:rsidRPr="00540679" w14:paraId="3608250C"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6C4CD45F" w14:textId="48F10D00" w:rsidR="00A75DE2" w:rsidRPr="00540679" w:rsidRDefault="00A75DE2" w:rsidP="007450AF">
            <w:pPr>
              <w:rPr>
                <w:rFonts w:ascii="Arial" w:eastAsia="Calibri" w:hAnsi="Arial" w:cs="Arial"/>
                <w:sz w:val="22"/>
                <w:szCs w:val="22"/>
              </w:rPr>
            </w:pPr>
            <w:r w:rsidRPr="00540679">
              <w:rPr>
                <w:rFonts w:ascii="Arial" w:hAnsi="Arial" w:cs="Arial"/>
                <w:color w:val="000000"/>
                <w:sz w:val="22"/>
                <w:szCs w:val="22"/>
              </w:rPr>
              <w:t>Dr Charley Ann Budgeon</w:t>
            </w:r>
          </w:p>
        </w:tc>
        <w:tc>
          <w:tcPr>
            <w:tcW w:w="2846" w:type="dxa"/>
            <w:tcBorders>
              <w:top w:val="single" w:sz="4" w:space="0" w:color="auto"/>
              <w:left w:val="single" w:sz="4" w:space="0" w:color="auto"/>
              <w:bottom w:val="single" w:sz="4" w:space="0" w:color="auto"/>
              <w:right w:val="single" w:sz="4" w:space="0" w:color="auto"/>
            </w:tcBorders>
          </w:tcPr>
          <w:p w14:paraId="6878A481" w14:textId="3EC8FDB3" w:rsidR="00A75DE2" w:rsidRPr="00540679" w:rsidRDefault="16584D26" w:rsidP="007450AF">
            <w:pPr>
              <w:rPr>
                <w:rFonts w:ascii="Arial" w:eastAsia="Calibri" w:hAnsi="Arial" w:cs="Arial"/>
                <w:sz w:val="22"/>
                <w:szCs w:val="22"/>
              </w:rPr>
            </w:pPr>
            <w:r w:rsidRPr="00540679">
              <w:rPr>
                <w:rFonts w:ascii="Arial" w:eastAsia="Calibri" w:hAnsi="Arial" w:cs="Arial"/>
                <w:sz w:val="22"/>
                <w:szCs w:val="22"/>
              </w:rPr>
              <w:t xml:space="preserve">Lecturer, Biostatistician, School of Population and </w:t>
            </w:r>
            <w:r w:rsidRPr="00540679">
              <w:rPr>
                <w:rFonts w:ascii="Arial" w:eastAsia="Calibri" w:hAnsi="Arial" w:cs="Arial"/>
                <w:sz w:val="22"/>
                <w:szCs w:val="22"/>
              </w:rPr>
              <w:lastRenderedPageBreak/>
              <w:t xml:space="preserve">Global Health, University of Western Australia  </w:t>
            </w:r>
          </w:p>
        </w:tc>
        <w:tc>
          <w:tcPr>
            <w:tcW w:w="2891" w:type="dxa"/>
            <w:gridSpan w:val="2"/>
            <w:tcBorders>
              <w:top w:val="single" w:sz="4" w:space="0" w:color="auto"/>
              <w:left w:val="single" w:sz="4" w:space="0" w:color="auto"/>
              <w:bottom w:val="single" w:sz="4" w:space="0" w:color="auto"/>
              <w:right w:val="single" w:sz="4" w:space="0" w:color="auto"/>
            </w:tcBorders>
          </w:tcPr>
          <w:p w14:paraId="774BE7CA" w14:textId="250F6675" w:rsidR="00A75DE2" w:rsidRPr="00540679" w:rsidRDefault="007E0004" w:rsidP="007450AF">
            <w:pPr>
              <w:rPr>
                <w:rFonts w:ascii="Arial" w:eastAsia="Calibri" w:hAnsi="Arial" w:cs="Arial"/>
                <w:sz w:val="22"/>
                <w:szCs w:val="22"/>
              </w:rPr>
            </w:pPr>
            <w:r w:rsidRPr="00540679">
              <w:rPr>
                <w:rFonts w:ascii="Arial" w:eastAsia="Calibri" w:hAnsi="Arial" w:cs="Arial"/>
                <w:sz w:val="22"/>
                <w:szCs w:val="22"/>
              </w:rPr>
              <w:lastRenderedPageBreak/>
              <w:t xml:space="preserve">Chief Investigator </w:t>
            </w:r>
            <w:r w:rsidR="00B3037C" w:rsidRPr="00540679">
              <w:rPr>
                <w:rFonts w:ascii="Arial" w:eastAsia="Calibri" w:hAnsi="Arial" w:cs="Arial"/>
                <w:sz w:val="22"/>
                <w:szCs w:val="22"/>
              </w:rPr>
              <w:t>J</w:t>
            </w:r>
            <w:r w:rsidR="004703FD" w:rsidRPr="00540679">
              <w:rPr>
                <w:rFonts w:ascii="Arial" w:eastAsia="Calibri" w:hAnsi="Arial" w:cs="Arial"/>
                <w:sz w:val="22"/>
                <w:szCs w:val="22"/>
              </w:rPr>
              <w:t>,</w:t>
            </w:r>
            <w:r w:rsidRPr="00540679">
              <w:rPr>
                <w:rFonts w:ascii="Arial" w:eastAsia="Calibri" w:hAnsi="Arial" w:cs="Arial"/>
                <w:sz w:val="22"/>
                <w:szCs w:val="22"/>
              </w:rPr>
              <w:t xml:space="preserve"> </w:t>
            </w:r>
            <w:r w:rsidR="00BC3D45" w:rsidRPr="00540679">
              <w:rPr>
                <w:rFonts w:ascii="Arial" w:hAnsi="Arial" w:cs="Arial"/>
                <w:sz w:val="22"/>
                <w:szCs w:val="22"/>
                <w:lang w:val="en-GB"/>
              </w:rPr>
              <w:t xml:space="preserve">Statistical Expert, </w:t>
            </w:r>
            <w:r w:rsidR="00BC3D45" w:rsidRPr="00540679">
              <w:rPr>
                <w:rFonts w:ascii="Arial" w:hAnsi="Arial" w:cs="Arial"/>
                <w:sz w:val="22"/>
                <w:szCs w:val="22"/>
                <w:lang w:val="en-GB"/>
              </w:rPr>
              <w:lastRenderedPageBreak/>
              <w:t>proficiency in SAS, R, and M-Plus programs.</w:t>
            </w:r>
          </w:p>
        </w:tc>
      </w:tr>
      <w:tr w:rsidR="00A75DE2" w:rsidRPr="00540679" w14:paraId="7CDB1488"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71821027" w14:textId="5A151A49" w:rsidR="00A75DE2" w:rsidRPr="00540679" w:rsidRDefault="009E7342" w:rsidP="007450AF">
            <w:pPr>
              <w:tabs>
                <w:tab w:val="left" w:pos="436"/>
                <w:tab w:val="center" w:pos="1287"/>
              </w:tabs>
              <w:autoSpaceDE w:val="0"/>
              <w:autoSpaceDN w:val="0"/>
              <w:adjustRightInd w:val="0"/>
              <w:rPr>
                <w:rFonts w:ascii="Arial" w:eastAsia="Arial" w:hAnsi="Arial" w:cs="Arial"/>
                <w:sz w:val="22"/>
                <w:szCs w:val="22"/>
              </w:rPr>
            </w:pPr>
            <w:r w:rsidRPr="00540679">
              <w:rPr>
                <w:rFonts w:ascii="Arial" w:hAnsi="Arial" w:cs="Arial"/>
                <w:color w:val="000000"/>
                <w:sz w:val="22"/>
                <w:szCs w:val="22"/>
              </w:rPr>
              <w:lastRenderedPageBreak/>
              <w:t>Dr Kim-Huong Nguyen</w:t>
            </w:r>
          </w:p>
        </w:tc>
        <w:tc>
          <w:tcPr>
            <w:tcW w:w="2846" w:type="dxa"/>
            <w:tcBorders>
              <w:top w:val="single" w:sz="4" w:space="0" w:color="auto"/>
              <w:left w:val="single" w:sz="4" w:space="0" w:color="auto"/>
              <w:bottom w:val="single" w:sz="4" w:space="0" w:color="auto"/>
              <w:right w:val="single" w:sz="4" w:space="0" w:color="auto"/>
            </w:tcBorders>
          </w:tcPr>
          <w:p w14:paraId="25B29D5C" w14:textId="098B8B35" w:rsidR="00A75DE2" w:rsidRPr="00540679" w:rsidRDefault="00D86F82" w:rsidP="007450AF">
            <w:pPr>
              <w:spacing w:line="276" w:lineRule="auto"/>
              <w:rPr>
                <w:rFonts w:ascii="Arial" w:hAnsi="Arial" w:cs="Arial"/>
                <w:sz w:val="22"/>
                <w:szCs w:val="22"/>
              </w:rPr>
            </w:pPr>
            <w:r w:rsidRPr="00540679">
              <w:rPr>
                <w:rFonts w:ascii="Arial" w:hAnsi="Arial" w:cs="Arial"/>
                <w:sz w:val="22"/>
                <w:szCs w:val="22"/>
              </w:rPr>
              <w:t>Senior Research Fellow</w:t>
            </w:r>
            <w:r w:rsidR="007A5741" w:rsidRPr="00540679">
              <w:rPr>
                <w:rFonts w:ascii="Arial" w:hAnsi="Arial" w:cs="Arial"/>
                <w:sz w:val="22"/>
                <w:szCs w:val="22"/>
              </w:rPr>
              <w:t>, Faculty of Medicine, University of Queensland</w:t>
            </w:r>
          </w:p>
        </w:tc>
        <w:tc>
          <w:tcPr>
            <w:tcW w:w="2891" w:type="dxa"/>
            <w:gridSpan w:val="2"/>
            <w:tcBorders>
              <w:top w:val="single" w:sz="4" w:space="0" w:color="auto"/>
              <w:left w:val="single" w:sz="4" w:space="0" w:color="auto"/>
              <w:bottom w:val="single" w:sz="4" w:space="0" w:color="auto"/>
              <w:right w:val="single" w:sz="4" w:space="0" w:color="auto"/>
            </w:tcBorders>
          </w:tcPr>
          <w:p w14:paraId="504B8932" w14:textId="0811FD49" w:rsidR="00A75DE2" w:rsidRPr="00540679" w:rsidRDefault="00B3037C" w:rsidP="007450AF">
            <w:pPr>
              <w:rPr>
                <w:rFonts w:ascii="Arial" w:eastAsia="Calibri" w:hAnsi="Arial" w:cs="Arial"/>
                <w:sz w:val="22"/>
                <w:szCs w:val="22"/>
              </w:rPr>
            </w:pPr>
            <w:r w:rsidRPr="00540679">
              <w:rPr>
                <w:rFonts w:ascii="Arial" w:eastAsia="Calibri" w:hAnsi="Arial" w:cs="Arial"/>
                <w:sz w:val="22"/>
                <w:szCs w:val="22"/>
              </w:rPr>
              <w:t>Chief Investigator K</w:t>
            </w:r>
            <w:r w:rsidR="004703FD" w:rsidRPr="00540679">
              <w:rPr>
                <w:rFonts w:ascii="Arial" w:eastAsia="Calibri" w:hAnsi="Arial" w:cs="Arial"/>
                <w:sz w:val="22"/>
                <w:szCs w:val="22"/>
              </w:rPr>
              <w:t>,</w:t>
            </w:r>
            <w:r w:rsidRPr="00540679">
              <w:rPr>
                <w:rFonts w:ascii="Arial" w:eastAsia="Calibri" w:hAnsi="Arial" w:cs="Arial"/>
                <w:sz w:val="22"/>
                <w:szCs w:val="22"/>
              </w:rPr>
              <w:t xml:space="preserve"> </w:t>
            </w:r>
            <w:r w:rsidR="00772969" w:rsidRPr="00540679">
              <w:rPr>
                <w:rFonts w:ascii="Arial" w:eastAsia="Calibri" w:hAnsi="Arial" w:cs="Arial"/>
                <w:sz w:val="22"/>
                <w:szCs w:val="22"/>
              </w:rPr>
              <w:t>Economics, Econo</w:t>
            </w:r>
            <w:r w:rsidR="00B23D9A" w:rsidRPr="00540679">
              <w:rPr>
                <w:rFonts w:ascii="Arial" w:eastAsia="Calibri" w:hAnsi="Arial" w:cs="Arial"/>
                <w:sz w:val="22"/>
                <w:szCs w:val="22"/>
              </w:rPr>
              <w:t>metrics, Economic evaluation expert</w:t>
            </w:r>
          </w:p>
        </w:tc>
      </w:tr>
      <w:tr w:rsidR="00A75DE2" w:rsidRPr="00540679" w14:paraId="71CC9C94"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7BAFAFA5" w14:textId="530D29E1" w:rsidR="00A75DE2" w:rsidRPr="00540679" w:rsidRDefault="0018761E" w:rsidP="007450AF">
            <w:pPr>
              <w:rPr>
                <w:rFonts w:ascii="Arial" w:eastAsia="Calibri" w:hAnsi="Arial" w:cs="Arial"/>
                <w:sz w:val="22"/>
                <w:szCs w:val="22"/>
              </w:rPr>
            </w:pPr>
            <w:r w:rsidRPr="00540679">
              <w:rPr>
                <w:rFonts w:ascii="Arial" w:hAnsi="Arial" w:cs="Arial"/>
                <w:color w:val="000000"/>
                <w:sz w:val="22"/>
                <w:szCs w:val="22"/>
              </w:rPr>
              <w:t>Dr Paul Andrew Yates</w:t>
            </w:r>
          </w:p>
        </w:tc>
        <w:tc>
          <w:tcPr>
            <w:tcW w:w="2846" w:type="dxa"/>
            <w:tcBorders>
              <w:top w:val="single" w:sz="4" w:space="0" w:color="auto"/>
              <w:left w:val="single" w:sz="4" w:space="0" w:color="auto"/>
              <w:bottom w:val="single" w:sz="4" w:space="0" w:color="auto"/>
              <w:right w:val="single" w:sz="4" w:space="0" w:color="auto"/>
            </w:tcBorders>
          </w:tcPr>
          <w:p w14:paraId="1DF25217" w14:textId="050366DD" w:rsidR="00A75DE2" w:rsidRPr="00540679" w:rsidRDefault="00DA3352" w:rsidP="007450AF">
            <w:pPr>
              <w:spacing w:line="276" w:lineRule="auto"/>
              <w:rPr>
                <w:rFonts w:ascii="Arial" w:hAnsi="Arial" w:cs="Arial"/>
                <w:sz w:val="22"/>
                <w:szCs w:val="22"/>
              </w:rPr>
            </w:pPr>
            <w:r w:rsidRPr="00540679">
              <w:rPr>
                <w:rFonts w:ascii="Arial" w:hAnsi="Arial" w:cs="Arial"/>
                <w:sz w:val="22"/>
                <w:szCs w:val="22"/>
              </w:rPr>
              <w:t>Ger</w:t>
            </w:r>
            <w:r w:rsidR="00953269" w:rsidRPr="00540679">
              <w:rPr>
                <w:rFonts w:ascii="Arial" w:hAnsi="Arial" w:cs="Arial"/>
                <w:sz w:val="22"/>
                <w:szCs w:val="22"/>
              </w:rPr>
              <w:t>iatrician, Austin Ho</w:t>
            </w:r>
            <w:r w:rsidR="007D62EF" w:rsidRPr="00540679">
              <w:rPr>
                <w:rFonts w:ascii="Arial" w:hAnsi="Arial" w:cs="Arial"/>
                <w:sz w:val="22"/>
                <w:szCs w:val="22"/>
              </w:rPr>
              <w:t>s</w:t>
            </w:r>
            <w:r w:rsidR="00953269" w:rsidRPr="00540679">
              <w:rPr>
                <w:rFonts w:ascii="Arial" w:hAnsi="Arial" w:cs="Arial"/>
                <w:sz w:val="22"/>
                <w:szCs w:val="22"/>
              </w:rPr>
              <w:t>pital</w:t>
            </w:r>
            <w:r w:rsidR="007D62EF" w:rsidRPr="00540679">
              <w:rPr>
                <w:rFonts w:ascii="Arial" w:hAnsi="Arial" w:cs="Arial"/>
                <w:sz w:val="22"/>
                <w:szCs w:val="22"/>
              </w:rPr>
              <w:t>, H</w:t>
            </w:r>
            <w:r w:rsidR="00A739BC" w:rsidRPr="00540679">
              <w:rPr>
                <w:rFonts w:ascii="Arial" w:hAnsi="Arial" w:cs="Arial"/>
                <w:sz w:val="22"/>
                <w:szCs w:val="22"/>
              </w:rPr>
              <w:t>eidelberg, Victoria</w:t>
            </w:r>
          </w:p>
        </w:tc>
        <w:tc>
          <w:tcPr>
            <w:tcW w:w="2891" w:type="dxa"/>
            <w:gridSpan w:val="2"/>
            <w:tcBorders>
              <w:top w:val="single" w:sz="4" w:space="0" w:color="auto"/>
              <w:left w:val="single" w:sz="4" w:space="0" w:color="auto"/>
              <w:bottom w:val="single" w:sz="4" w:space="0" w:color="auto"/>
              <w:right w:val="single" w:sz="4" w:space="0" w:color="auto"/>
            </w:tcBorders>
          </w:tcPr>
          <w:p w14:paraId="74440DA6" w14:textId="67EC03E3" w:rsidR="00A75DE2" w:rsidRPr="00540679" w:rsidRDefault="007B7998" w:rsidP="007450AF">
            <w:pPr>
              <w:rPr>
                <w:rFonts w:ascii="Arial" w:eastAsia="Calibri" w:hAnsi="Arial" w:cs="Arial"/>
                <w:sz w:val="22"/>
                <w:szCs w:val="22"/>
              </w:rPr>
            </w:pPr>
            <w:r w:rsidRPr="00540679">
              <w:rPr>
                <w:rFonts w:ascii="Arial" w:eastAsia="Calibri" w:hAnsi="Arial" w:cs="Arial"/>
                <w:sz w:val="22"/>
                <w:szCs w:val="22"/>
              </w:rPr>
              <w:t xml:space="preserve">Chief Investigator </w:t>
            </w:r>
            <w:r w:rsidR="00A9120C" w:rsidRPr="00540679">
              <w:rPr>
                <w:rFonts w:ascii="Arial" w:eastAsia="Calibri" w:hAnsi="Arial" w:cs="Arial"/>
                <w:sz w:val="22"/>
                <w:szCs w:val="22"/>
              </w:rPr>
              <w:t>L</w:t>
            </w:r>
            <w:r w:rsidR="00734CFD" w:rsidRPr="00540679">
              <w:rPr>
                <w:rFonts w:ascii="Arial" w:eastAsia="Calibri" w:hAnsi="Arial" w:cs="Arial"/>
                <w:sz w:val="22"/>
                <w:szCs w:val="22"/>
              </w:rPr>
              <w:t>,</w:t>
            </w:r>
            <w:r w:rsidR="00A9120C" w:rsidRPr="00540679">
              <w:rPr>
                <w:rFonts w:ascii="Arial" w:eastAsia="Calibri" w:hAnsi="Arial" w:cs="Arial"/>
                <w:sz w:val="22"/>
                <w:szCs w:val="22"/>
              </w:rPr>
              <w:t xml:space="preserve"> </w:t>
            </w:r>
            <w:r w:rsidR="004B3101" w:rsidRPr="00540679">
              <w:rPr>
                <w:rFonts w:ascii="Arial" w:eastAsia="Calibri" w:hAnsi="Arial" w:cs="Arial"/>
                <w:sz w:val="22"/>
                <w:szCs w:val="22"/>
              </w:rPr>
              <w:t>Medication safety and Transitions of Care expert</w:t>
            </w:r>
          </w:p>
        </w:tc>
      </w:tr>
      <w:tr w:rsidR="00C31D8A" w:rsidRPr="00540679" w14:paraId="7969D7FF"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519FBC98" w14:textId="71956ECE" w:rsidR="00C31D8A" w:rsidRPr="00540679" w:rsidRDefault="00C31D8A" w:rsidP="007450AF">
            <w:pPr>
              <w:rPr>
                <w:rFonts w:ascii="Arial" w:eastAsia="Calibri" w:hAnsi="Arial" w:cs="Arial"/>
                <w:sz w:val="22"/>
                <w:szCs w:val="22"/>
              </w:rPr>
            </w:pPr>
            <w:r w:rsidRPr="00540679">
              <w:rPr>
                <w:rFonts w:ascii="Arial" w:hAnsi="Arial" w:cs="Arial"/>
                <w:color w:val="000000"/>
                <w:sz w:val="22"/>
                <w:szCs w:val="22"/>
              </w:rPr>
              <w:t>Ms Katie Maree Phillips</w:t>
            </w:r>
          </w:p>
        </w:tc>
        <w:tc>
          <w:tcPr>
            <w:tcW w:w="2846" w:type="dxa"/>
            <w:tcBorders>
              <w:top w:val="single" w:sz="4" w:space="0" w:color="auto"/>
              <w:left w:val="single" w:sz="4" w:space="0" w:color="auto"/>
              <w:bottom w:val="single" w:sz="4" w:space="0" w:color="auto"/>
              <w:right w:val="single" w:sz="4" w:space="0" w:color="auto"/>
            </w:tcBorders>
          </w:tcPr>
          <w:p w14:paraId="78130388" w14:textId="3E5180BA" w:rsidR="00C31D8A" w:rsidRPr="00540679" w:rsidRDefault="00274BEB" w:rsidP="007450AF">
            <w:pPr>
              <w:rPr>
                <w:rFonts w:ascii="Arial" w:eastAsia="Calibri" w:hAnsi="Arial" w:cs="Arial"/>
                <w:sz w:val="22"/>
                <w:szCs w:val="22"/>
              </w:rPr>
            </w:pPr>
            <w:r w:rsidRPr="00540679">
              <w:rPr>
                <w:rFonts w:ascii="Arial" w:eastAsia="Calibri" w:hAnsi="Arial" w:cs="Arial"/>
                <w:sz w:val="22"/>
                <w:szCs w:val="22"/>
              </w:rPr>
              <w:t>Hospital Outreach Pharmacist</w:t>
            </w:r>
            <w:r w:rsidR="00DA3352" w:rsidRPr="00540679">
              <w:rPr>
                <w:rFonts w:ascii="Arial" w:eastAsia="Calibri" w:hAnsi="Arial" w:cs="Arial"/>
                <w:sz w:val="22"/>
                <w:szCs w:val="22"/>
              </w:rPr>
              <w:t xml:space="preserve">, The </w:t>
            </w:r>
            <w:r w:rsidR="007A3BCC" w:rsidRPr="00540679">
              <w:rPr>
                <w:rFonts w:ascii="Arial" w:eastAsia="Calibri" w:hAnsi="Arial" w:cs="Arial"/>
                <w:sz w:val="22"/>
                <w:szCs w:val="22"/>
              </w:rPr>
              <w:t>Royal Melbourne</w:t>
            </w:r>
            <w:r w:rsidR="00DA3352" w:rsidRPr="00540679">
              <w:rPr>
                <w:rFonts w:ascii="Arial" w:eastAsia="Calibri" w:hAnsi="Arial" w:cs="Arial"/>
                <w:sz w:val="22"/>
                <w:szCs w:val="22"/>
              </w:rPr>
              <w:t xml:space="preserve"> Hospital</w:t>
            </w:r>
          </w:p>
        </w:tc>
        <w:tc>
          <w:tcPr>
            <w:tcW w:w="2891" w:type="dxa"/>
            <w:gridSpan w:val="2"/>
            <w:tcBorders>
              <w:top w:val="single" w:sz="4" w:space="0" w:color="auto"/>
              <w:left w:val="single" w:sz="4" w:space="0" w:color="auto"/>
              <w:bottom w:val="single" w:sz="4" w:space="0" w:color="auto"/>
              <w:right w:val="single" w:sz="4" w:space="0" w:color="auto"/>
            </w:tcBorders>
          </w:tcPr>
          <w:p w14:paraId="0C7B8354" w14:textId="05BD8A4F" w:rsidR="00C31D8A" w:rsidRPr="00540679" w:rsidRDefault="00A9120C" w:rsidP="007450AF">
            <w:pPr>
              <w:rPr>
                <w:rFonts w:ascii="Arial" w:eastAsia="Calibri" w:hAnsi="Arial" w:cs="Arial"/>
                <w:sz w:val="22"/>
                <w:szCs w:val="22"/>
              </w:rPr>
            </w:pPr>
            <w:r w:rsidRPr="00540679">
              <w:rPr>
                <w:rFonts w:ascii="Arial" w:eastAsia="Calibri" w:hAnsi="Arial" w:cs="Arial"/>
                <w:sz w:val="22"/>
                <w:szCs w:val="22"/>
              </w:rPr>
              <w:t xml:space="preserve">Chief Investigator </w:t>
            </w:r>
            <w:r w:rsidR="009D6DC5" w:rsidRPr="00540679">
              <w:rPr>
                <w:rFonts w:ascii="Arial" w:eastAsia="Calibri" w:hAnsi="Arial" w:cs="Arial"/>
                <w:sz w:val="22"/>
                <w:szCs w:val="22"/>
              </w:rPr>
              <w:t>M</w:t>
            </w:r>
            <w:r w:rsidR="00734CFD" w:rsidRPr="00540679">
              <w:rPr>
                <w:rFonts w:ascii="Arial" w:eastAsia="Calibri" w:hAnsi="Arial" w:cs="Arial"/>
                <w:sz w:val="22"/>
                <w:szCs w:val="22"/>
              </w:rPr>
              <w:t>,</w:t>
            </w:r>
            <w:r w:rsidR="00B335A3" w:rsidRPr="00540679">
              <w:rPr>
                <w:rFonts w:ascii="Arial" w:eastAsia="Calibri" w:hAnsi="Arial" w:cs="Arial"/>
                <w:sz w:val="22"/>
                <w:szCs w:val="22"/>
              </w:rPr>
              <w:t xml:space="preserve"> </w:t>
            </w:r>
            <w:r w:rsidR="00F84DE5" w:rsidRPr="00540679">
              <w:rPr>
                <w:rFonts w:ascii="Arial" w:eastAsia="Calibri" w:hAnsi="Arial" w:cs="Arial"/>
                <w:sz w:val="22"/>
                <w:szCs w:val="22"/>
              </w:rPr>
              <w:t>Transition of care and medication review expert</w:t>
            </w:r>
          </w:p>
        </w:tc>
      </w:tr>
      <w:tr w:rsidR="00C31D8A" w:rsidRPr="00540679" w14:paraId="0935EF84"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6C905176" w14:textId="677177A1" w:rsidR="00C31D8A" w:rsidRPr="00540679" w:rsidRDefault="0008543B" w:rsidP="007450AF">
            <w:pPr>
              <w:rPr>
                <w:rFonts w:ascii="Arial" w:eastAsia="Calibri" w:hAnsi="Arial" w:cs="Arial"/>
                <w:sz w:val="22"/>
                <w:szCs w:val="22"/>
              </w:rPr>
            </w:pPr>
            <w:r w:rsidRPr="00540679">
              <w:rPr>
                <w:rFonts w:ascii="Arial" w:hAnsi="Arial" w:cs="Arial"/>
                <w:color w:val="000000"/>
                <w:sz w:val="22"/>
                <w:szCs w:val="22"/>
              </w:rPr>
              <w:t>Mr Jerry Yik</w:t>
            </w:r>
          </w:p>
        </w:tc>
        <w:tc>
          <w:tcPr>
            <w:tcW w:w="2846" w:type="dxa"/>
            <w:tcBorders>
              <w:top w:val="single" w:sz="4" w:space="0" w:color="auto"/>
              <w:left w:val="single" w:sz="4" w:space="0" w:color="auto"/>
              <w:bottom w:val="single" w:sz="4" w:space="0" w:color="auto"/>
              <w:right w:val="single" w:sz="4" w:space="0" w:color="auto"/>
            </w:tcBorders>
          </w:tcPr>
          <w:p w14:paraId="77921792" w14:textId="5D67424F" w:rsidR="00C31D8A" w:rsidRPr="00540679" w:rsidRDefault="00D50576" w:rsidP="007450AF">
            <w:pPr>
              <w:rPr>
                <w:rFonts w:ascii="Arial" w:eastAsia="Calibri" w:hAnsi="Arial" w:cs="Arial"/>
                <w:sz w:val="22"/>
                <w:szCs w:val="22"/>
              </w:rPr>
            </w:pPr>
            <w:r w:rsidRPr="00540679">
              <w:rPr>
                <w:rFonts w:ascii="Arial" w:eastAsia="Calibri" w:hAnsi="Arial" w:cs="Arial"/>
                <w:sz w:val="22"/>
                <w:szCs w:val="22"/>
              </w:rPr>
              <w:t xml:space="preserve">Head of </w:t>
            </w:r>
            <w:r w:rsidR="00AA6113" w:rsidRPr="00540679">
              <w:rPr>
                <w:rFonts w:ascii="Arial" w:eastAsia="Calibri" w:hAnsi="Arial" w:cs="Arial"/>
                <w:sz w:val="22"/>
                <w:szCs w:val="22"/>
              </w:rPr>
              <w:t>Policy and Advocacy,</w:t>
            </w:r>
            <w:r w:rsidR="0098038E" w:rsidRPr="00540679">
              <w:rPr>
                <w:rFonts w:ascii="Arial" w:eastAsia="Calibri" w:hAnsi="Arial" w:cs="Arial"/>
                <w:sz w:val="22"/>
                <w:szCs w:val="22"/>
              </w:rPr>
              <w:t xml:space="preserve"> </w:t>
            </w:r>
            <w:r w:rsidR="0064417A" w:rsidRPr="00540679">
              <w:rPr>
                <w:rFonts w:ascii="Arial" w:hAnsi="Arial" w:cs="Arial"/>
                <w:sz w:val="22"/>
                <w:szCs w:val="22"/>
                <w:shd w:val="clear" w:color="auto" w:fill="FFFFFF"/>
              </w:rPr>
              <w:t>The Society of Hospital Pharmacists of Australia</w:t>
            </w:r>
            <w:r w:rsidR="0064417A" w:rsidRPr="00540679">
              <w:rPr>
                <w:rFonts w:ascii="Arial" w:eastAsia="Calibri" w:hAnsi="Arial" w:cs="Arial"/>
                <w:sz w:val="22"/>
                <w:szCs w:val="22"/>
              </w:rPr>
              <w:t xml:space="preserve">, </w:t>
            </w:r>
            <w:r w:rsidR="0098038E" w:rsidRPr="00540679">
              <w:rPr>
                <w:rFonts w:ascii="Arial" w:eastAsia="Calibri" w:hAnsi="Arial" w:cs="Arial"/>
                <w:sz w:val="22"/>
                <w:szCs w:val="22"/>
              </w:rPr>
              <w:t>Collingwood,</w:t>
            </w:r>
            <w:r w:rsidR="00D71C44" w:rsidRPr="00540679">
              <w:rPr>
                <w:rFonts w:ascii="Arial" w:eastAsia="Calibri" w:hAnsi="Arial" w:cs="Arial"/>
                <w:sz w:val="22"/>
                <w:szCs w:val="22"/>
              </w:rPr>
              <w:t xml:space="preserve"> Victoria</w:t>
            </w:r>
          </w:p>
        </w:tc>
        <w:tc>
          <w:tcPr>
            <w:tcW w:w="2891" w:type="dxa"/>
            <w:gridSpan w:val="2"/>
            <w:tcBorders>
              <w:top w:val="single" w:sz="4" w:space="0" w:color="auto"/>
              <w:left w:val="single" w:sz="4" w:space="0" w:color="auto"/>
              <w:bottom w:val="single" w:sz="4" w:space="0" w:color="auto"/>
              <w:right w:val="single" w:sz="4" w:space="0" w:color="auto"/>
            </w:tcBorders>
          </w:tcPr>
          <w:p w14:paraId="3A9F380C" w14:textId="14E50647" w:rsidR="00C31D8A" w:rsidRPr="00540679" w:rsidRDefault="009D6DC5" w:rsidP="007450AF">
            <w:pPr>
              <w:rPr>
                <w:rFonts w:ascii="Arial" w:eastAsia="Calibri" w:hAnsi="Arial" w:cs="Arial"/>
                <w:sz w:val="22"/>
                <w:szCs w:val="22"/>
              </w:rPr>
            </w:pPr>
            <w:r w:rsidRPr="00540679">
              <w:rPr>
                <w:rFonts w:ascii="Arial" w:eastAsia="Calibri" w:hAnsi="Arial" w:cs="Arial"/>
                <w:sz w:val="22"/>
                <w:szCs w:val="22"/>
              </w:rPr>
              <w:t xml:space="preserve">Chief Investigator </w:t>
            </w:r>
            <w:r w:rsidR="000C6334" w:rsidRPr="00540679">
              <w:rPr>
                <w:rFonts w:ascii="Arial" w:eastAsia="Calibri" w:hAnsi="Arial" w:cs="Arial"/>
                <w:sz w:val="22"/>
                <w:szCs w:val="22"/>
              </w:rPr>
              <w:t>N</w:t>
            </w:r>
            <w:r w:rsidR="00277647" w:rsidRPr="00540679">
              <w:rPr>
                <w:rFonts w:ascii="Arial" w:eastAsia="Calibri" w:hAnsi="Arial" w:cs="Arial"/>
                <w:sz w:val="22"/>
                <w:szCs w:val="22"/>
              </w:rPr>
              <w:t>,</w:t>
            </w:r>
            <w:r w:rsidR="000C6334" w:rsidRPr="00540679">
              <w:rPr>
                <w:rFonts w:ascii="Arial" w:eastAsia="Calibri" w:hAnsi="Arial" w:cs="Arial"/>
                <w:sz w:val="22"/>
                <w:szCs w:val="22"/>
              </w:rPr>
              <w:t xml:space="preserve"> </w:t>
            </w:r>
            <w:r w:rsidR="003C60B3" w:rsidRPr="00540679">
              <w:rPr>
                <w:rFonts w:ascii="Arial" w:eastAsia="Calibri" w:hAnsi="Arial" w:cs="Arial"/>
                <w:sz w:val="22"/>
                <w:szCs w:val="22"/>
              </w:rPr>
              <w:t xml:space="preserve">Pharmacy Policy, Medication safety, quality use of medication expert </w:t>
            </w:r>
          </w:p>
        </w:tc>
      </w:tr>
      <w:tr w:rsidR="00C31D8A" w:rsidRPr="00540679" w14:paraId="736D56E1"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7532558B" w14:textId="614B0B3F" w:rsidR="00C31D8A" w:rsidRPr="00540679" w:rsidRDefault="13E27BB8" w:rsidP="007450AF">
            <w:pPr>
              <w:rPr>
                <w:rFonts w:ascii="Arial" w:eastAsia="Calibri" w:hAnsi="Arial" w:cs="Arial"/>
                <w:sz w:val="22"/>
                <w:szCs w:val="22"/>
              </w:rPr>
            </w:pPr>
            <w:r w:rsidRPr="00540679">
              <w:rPr>
                <w:rFonts w:ascii="Arial" w:hAnsi="Arial" w:cs="Arial"/>
                <w:color w:val="000000" w:themeColor="text1"/>
                <w:sz w:val="22"/>
                <w:szCs w:val="22"/>
              </w:rPr>
              <w:t>Prof Faye McMillan</w:t>
            </w:r>
          </w:p>
        </w:tc>
        <w:tc>
          <w:tcPr>
            <w:tcW w:w="2846" w:type="dxa"/>
            <w:tcBorders>
              <w:top w:val="single" w:sz="4" w:space="0" w:color="auto"/>
              <w:left w:val="single" w:sz="4" w:space="0" w:color="auto"/>
              <w:bottom w:val="single" w:sz="4" w:space="0" w:color="auto"/>
              <w:right w:val="single" w:sz="4" w:space="0" w:color="auto"/>
            </w:tcBorders>
          </w:tcPr>
          <w:p w14:paraId="2708B759" w14:textId="4F806BEF" w:rsidR="00C31D8A" w:rsidRPr="00540679" w:rsidRDefault="007570EF" w:rsidP="007450AF">
            <w:pPr>
              <w:rPr>
                <w:rFonts w:ascii="Arial" w:eastAsia="Calibri" w:hAnsi="Arial" w:cs="Arial"/>
                <w:sz w:val="22"/>
                <w:szCs w:val="22"/>
              </w:rPr>
            </w:pPr>
            <w:r w:rsidRPr="00540679">
              <w:rPr>
                <w:rFonts w:ascii="Arial" w:eastAsia="Calibri" w:hAnsi="Arial" w:cs="Arial"/>
                <w:sz w:val="22"/>
                <w:szCs w:val="22"/>
              </w:rPr>
              <w:t>Professor of Indige</w:t>
            </w:r>
            <w:r w:rsidR="009201DF" w:rsidRPr="00540679">
              <w:rPr>
                <w:rFonts w:ascii="Arial" w:eastAsia="Calibri" w:hAnsi="Arial" w:cs="Arial"/>
                <w:sz w:val="22"/>
                <w:szCs w:val="22"/>
              </w:rPr>
              <w:t>nous Health</w:t>
            </w:r>
            <w:r w:rsidR="00F0766B" w:rsidRPr="00540679">
              <w:rPr>
                <w:rFonts w:ascii="Arial" w:eastAsia="Calibri" w:hAnsi="Arial" w:cs="Arial"/>
                <w:sz w:val="22"/>
                <w:szCs w:val="22"/>
              </w:rPr>
              <w:t xml:space="preserve">, University of </w:t>
            </w:r>
            <w:r w:rsidR="008809F8" w:rsidRPr="00540679">
              <w:rPr>
                <w:rFonts w:ascii="Arial" w:eastAsia="Calibri" w:hAnsi="Arial" w:cs="Arial"/>
                <w:sz w:val="22"/>
                <w:szCs w:val="22"/>
              </w:rPr>
              <w:t xml:space="preserve">Technology Sydney; </w:t>
            </w:r>
            <w:r w:rsidR="008809F8" w:rsidRPr="00540679">
              <w:rPr>
                <w:rFonts w:ascii="Arial" w:hAnsi="Arial" w:cs="Arial"/>
                <w:sz w:val="22"/>
                <w:szCs w:val="22"/>
                <w:shd w:val="clear" w:color="auto" w:fill="FFFFFF"/>
              </w:rPr>
              <w:t>Deputy National Rural Health Commissioner.</w:t>
            </w:r>
          </w:p>
        </w:tc>
        <w:tc>
          <w:tcPr>
            <w:tcW w:w="2891" w:type="dxa"/>
            <w:gridSpan w:val="2"/>
            <w:tcBorders>
              <w:top w:val="single" w:sz="4" w:space="0" w:color="auto"/>
              <w:left w:val="single" w:sz="4" w:space="0" w:color="auto"/>
              <w:bottom w:val="single" w:sz="4" w:space="0" w:color="auto"/>
              <w:right w:val="single" w:sz="4" w:space="0" w:color="auto"/>
            </w:tcBorders>
          </w:tcPr>
          <w:p w14:paraId="2B128012" w14:textId="312E9D79" w:rsidR="006E2D60" w:rsidRPr="00540679" w:rsidRDefault="00927F02" w:rsidP="007450AF">
            <w:pPr>
              <w:rPr>
                <w:rFonts w:ascii="Arial" w:eastAsia="Calibri" w:hAnsi="Arial" w:cs="Arial"/>
                <w:sz w:val="22"/>
                <w:szCs w:val="22"/>
              </w:rPr>
            </w:pPr>
            <w:r w:rsidRPr="00540679">
              <w:rPr>
                <w:rFonts w:ascii="Arial" w:eastAsia="Calibri" w:hAnsi="Arial" w:cs="Arial"/>
                <w:sz w:val="22"/>
                <w:szCs w:val="22"/>
              </w:rPr>
              <w:t>Chief Investigator O</w:t>
            </w:r>
            <w:r w:rsidR="00277647" w:rsidRPr="00540679">
              <w:rPr>
                <w:rFonts w:ascii="Arial" w:eastAsia="Calibri" w:hAnsi="Arial" w:cs="Arial"/>
                <w:sz w:val="22"/>
                <w:szCs w:val="22"/>
              </w:rPr>
              <w:t>,</w:t>
            </w:r>
            <w:r w:rsidRPr="00540679">
              <w:rPr>
                <w:rFonts w:ascii="Arial" w:eastAsia="Calibri" w:hAnsi="Arial" w:cs="Arial"/>
                <w:sz w:val="22"/>
                <w:szCs w:val="22"/>
              </w:rPr>
              <w:t xml:space="preserve"> </w:t>
            </w:r>
          </w:p>
          <w:p w14:paraId="146EA2EF" w14:textId="457816E1" w:rsidR="00C31D8A" w:rsidRPr="00540679" w:rsidRDefault="005C0287" w:rsidP="007450AF">
            <w:pPr>
              <w:rPr>
                <w:rFonts w:ascii="Arial" w:eastAsia="Calibri" w:hAnsi="Arial" w:cs="Arial"/>
                <w:sz w:val="22"/>
                <w:szCs w:val="22"/>
              </w:rPr>
            </w:pPr>
            <w:r w:rsidRPr="00540679">
              <w:rPr>
                <w:rFonts w:ascii="Arial" w:eastAsia="Calibri" w:hAnsi="Arial" w:cs="Arial"/>
                <w:sz w:val="22"/>
                <w:szCs w:val="22"/>
              </w:rPr>
              <w:t>Strait Islander people</w:t>
            </w:r>
            <w:r w:rsidR="00CF5F72" w:rsidRPr="00540679">
              <w:rPr>
                <w:rFonts w:ascii="Arial" w:eastAsia="Calibri" w:hAnsi="Arial" w:cs="Arial"/>
                <w:sz w:val="22"/>
                <w:szCs w:val="22"/>
              </w:rPr>
              <w:t xml:space="preserve">, </w:t>
            </w:r>
            <w:r w:rsidR="007F2F44" w:rsidRPr="00540679">
              <w:rPr>
                <w:rFonts w:ascii="Arial" w:eastAsia="Calibri" w:hAnsi="Arial" w:cs="Arial"/>
                <w:sz w:val="22"/>
                <w:szCs w:val="22"/>
              </w:rPr>
              <w:t>M</w:t>
            </w:r>
            <w:r w:rsidR="00CF5F72" w:rsidRPr="00540679">
              <w:rPr>
                <w:rFonts w:ascii="Arial" w:eastAsia="Calibri" w:hAnsi="Arial" w:cs="Arial"/>
                <w:sz w:val="22"/>
                <w:szCs w:val="22"/>
              </w:rPr>
              <w:t xml:space="preserve">edication and </w:t>
            </w:r>
            <w:r w:rsidR="007F2F44" w:rsidRPr="00540679">
              <w:rPr>
                <w:rFonts w:ascii="Arial" w:eastAsia="Calibri" w:hAnsi="Arial" w:cs="Arial"/>
                <w:sz w:val="22"/>
                <w:szCs w:val="22"/>
              </w:rPr>
              <w:t>P</w:t>
            </w:r>
            <w:r w:rsidR="00CF5F72" w:rsidRPr="00540679">
              <w:rPr>
                <w:rFonts w:ascii="Arial" w:eastAsia="Calibri" w:hAnsi="Arial" w:cs="Arial"/>
                <w:sz w:val="22"/>
                <w:szCs w:val="22"/>
              </w:rPr>
              <w:t>harmacy practice expert</w:t>
            </w:r>
          </w:p>
        </w:tc>
      </w:tr>
      <w:tr w:rsidR="00C31D8A" w:rsidRPr="00540679" w14:paraId="63C26712"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44AAEE73" w14:textId="1D7A90C0" w:rsidR="00C31D8A" w:rsidRPr="00540679" w:rsidRDefault="00960F70" w:rsidP="007450AF">
            <w:pPr>
              <w:rPr>
                <w:rFonts w:ascii="Arial" w:eastAsia="Calibri" w:hAnsi="Arial" w:cs="Arial"/>
                <w:sz w:val="22"/>
                <w:szCs w:val="22"/>
              </w:rPr>
            </w:pPr>
            <w:r w:rsidRPr="00540679">
              <w:rPr>
                <w:rFonts w:ascii="Arial" w:hAnsi="Arial" w:cs="Arial"/>
                <w:color w:val="000000"/>
                <w:sz w:val="22"/>
                <w:szCs w:val="22"/>
              </w:rPr>
              <w:t>Mrs Deborah Hawthorne</w:t>
            </w:r>
          </w:p>
        </w:tc>
        <w:tc>
          <w:tcPr>
            <w:tcW w:w="2846" w:type="dxa"/>
            <w:tcBorders>
              <w:top w:val="single" w:sz="4" w:space="0" w:color="auto"/>
              <w:left w:val="single" w:sz="4" w:space="0" w:color="auto"/>
              <w:bottom w:val="single" w:sz="4" w:space="0" w:color="auto"/>
              <w:right w:val="single" w:sz="4" w:space="0" w:color="auto"/>
            </w:tcBorders>
          </w:tcPr>
          <w:p w14:paraId="6C8A7D3A" w14:textId="03E101A6" w:rsidR="00C31D8A" w:rsidRPr="00540679" w:rsidRDefault="00DE2FB6" w:rsidP="007450AF">
            <w:pPr>
              <w:rPr>
                <w:rFonts w:ascii="Arial" w:eastAsia="Calibri" w:hAnsi="Arial" w:cs="Arial"/>
                <w:sz w:val="22"/>
                <w:szCs w:val="22"/>
              </w:rPr>
            </w:pPr>
            <w:r w:rsidRPr="00540679">
              <w:rPr>
                <w:rFonts w:ascii="Arial" w:eastAsia="Calibri" w:hAnsi="Arial" w:cs="Arial"/>
                <w:sz w:val="22"/>
                <w:szCs w:val="22"/>
              </w:rPr>
              <w:t>Consultant pharmacist</w:t>
            </w:r>
            <w:r w:rsidR="00886404" w:rsidRPr="00540679">
              <w:rPr>
                <w:rFonts w:ascii="Arial" w:eastAsia="Calibri" w:hAnsi="Arial" w:cs="Arial"/>
                <w:sz w:val="22"/>
                <w:szCs w:val="22"/>
              </w:rPr>
              <w:t xml:space="preserve">, </w:t>
            </w:r>
            <w:r w:rsidR="001638CA" w:rsidRPr="00540679">
              <w:rPr>
                <w:rFonts w:ascii="Arial" w:hAnsi="Arial" w:cs="Arial"/>
                <w:sz w:val="22"/>
                <w:szCs w:val="22"/>
                <w:shd w:val="clear" w:color="auto" w:fill="FFFFFF"/>
              </w:rPr>
              <w:t>South Wangaratta Medical Clinic,</w:t>
            </w:r>
            <w:r w:rsidR="001638CA" w:rsidRPr="00540679">
              <w:rPr>
                <w:rFonts w:ascii="Arial" w:eastAsia="Calibri" w:hAnsi="Arial" w:cs="Arial"/>
                <w:sz w:val="22"/>
                <w:szCs w:val="22"/>
              </w:rPr>
              <w:t xml:space="preserve"> </w:t>
            </w:r>
            <w:r w:rsidR="00886404" w:rsidRPr="00540679">
              <w:rPr>
                <w:rFonts w:ascii="Arial" w:eastAsia="Calibri" w:hAnsi="Arial" w:cs="Arial"/>
                <w:sz w:val="22"/>
                <w:szCs w:val="22"/>
              </w:rPr>
              <w:t>Victoria</w:t>
            </w:r>
          </w:p>
        </w:tc>
        <w:tc>
          <w:tcPr>
            <w:tcW w:w="2891" w:type="dxa"/>
            <w:gridSpan w:val="2"/>
            <w:tcBorders>
              <w:top w:val="single" w:sz="4" w:space="0" w:color="auto"/>
              <w:left w:val="single" w:sz="4" w:space="0" w:color="auto"/>
              <w:bottom w:val="single" w:sz="4" w:space="0" w:color="auto"/>
              <w:right w:val="single" w:sz="4" w:space="0" w:color="auto"/>
            </w:tcBorders>
          </w:tcPr>
          <w:p w14:paraId="50EA9D59" w14:textId="2057555F" w:rsidR="00AD6BD2" w:rsidRPr="00540679" w:rsidRDefault="00927F02" w:rsidP="007450AF">
            <w:pPr>
              <w:rPr>
                <w:rFonts w:ascii="Arial" w:eastAsia="Calibri" w:hAnsi="Arial" w:cs="Arial"/>
                <w:sz w:val="22"/>
                <w:szCs w:val="22"/>
              </w:rPr>
            </w:pPr>
            <w:r w:rsidRPr="00540679">
              <w:rPr>
                <w:rFonts w:ascii="Arial" w:eastAsia="Calibri" w:hAnsi="Arial" w:cs="Arial"/>
                <w:sz w:val="22"/>
                <w:szCs w:val="22"/>
              </w:rPr>
              <w:t>Chief Investigator P</w:t>
            </w:r>
            <w:r w:rsidR="00FD375D" w:rsidRPr="00540679">
              <w:rPr>
                <w:rFonts w:ascii="Arial" w:eastAsia="Calibri" w:hAnsi="Arial" w:cs="Arial"/>
                <w:sz w:val="22"/>
                <w:szCs w:val="22"/>
              </w:rPr>
              <w:t>,</w:t>
            </w:r>
            <w:r w:rsidRPr="00540679">
              <w:rPr>
                <w:rFonts w:ascii="Arial" w:eastAsia="Calibri" w:hAnsi="Arial" w:cs="Arial"/>
                <w:sz w:val="22"/>
                <w:szCs w:val="22"/>
              </w:rPr>
              <w:t xml:space="preserve"> </w:t>
            </w:r>
          </w:p>
          <w:p w14:paraId="17F316E7" w14:textId="6AD03769" w:rsidR="00C31D8A" w:rsidRPr="00540679" w:rsidRDefault="00F820E4" w:rsidP="007450AF">
            <w:pPr>
              <w:rPr>
                <w:rFonts w:ascii="Arial" w:eastAsia="Calibri" w:hAnsi="Arial" w:cs="Arial"/>
                <w:sz w:val="22"/>
                <w:szCs w:val="22"/>
              </w:rPr>
            </w:pPr>
            <w:r w:rsidRPr="00540679">
              <w:rPr>
                <w:rFonts w:ascii="Arial" w:eastAsia="Calibri" w:hAnsi="Arial" w:cs="Arial"/>
                <w:sz w:val="22"/>
                <w:szCs w:val="22"/>
              </w:rPr>
              <w:t xml:space="preserve">Health services research, </w:t>
            </w:r>
            <w:r w:rsidR="00965474" w:rsidRPr="00540679">
              <w:rPr>
                <w:rFonts w:ascii="Arial" w:eastAsia="Calibri" w:hAnsi="Arial" w:cs="Arial"/>
                <w:sz w:val="22"/>
                <w:szCs w:val="22"/>
              </w:rPr>
              <w:t xml:space="preserve">Medication safety, </w:t>
            </w:r>
            <w:r w:rsidR="007F2F44" w:rsidRPr="00540679">
              <w:rPr>
                <w:rFonts w:ascii="Arial" w:eastAsia="Calibri" w:hAnsi="Arial" w:cs="Arial"/>
                <w:sz w:val="22"/>
                <w:szCs w:val="22"/>
              </w:rPr>
              <w:t>Pain,</w:t>
            </w:r>
            <w:r w:rsidR="00965474" w:rsidRPr="00540679">
              <w:rPr>
                <w:rFonts w:ascii="Arial" w:eastAsia="Calibri" w:hAnsi="Arial" w:cs="Arial"/>
                <w:sz w:val="22"/>
                <w:szCs w:val="22"/>
              </w:rPr>
              <w:t xml:space="preserve"> and </w:t>
            </w:r>
            <w:r w:rsidR="007F2F44" w:rsidRPr="00540679">
              <w:rPr>
                <w:rFonts w:ascii="Arial" w:eastAsia="Calibri" w:hAnsi="Arial" w:cs="Arial"/>
                <w:sz w:val="22"/>
                <w:szCs w:val="22"/>
              </w:rPr>
              <w:t>P</w:t>
            </w:r>
            <w:r w:rsidR="00965474" w:rsidRPr="00540679">
              <w:rPr>
                <w:rFonts w:ascii="Arial" w:eastAsia="Calibri" w:hAnsi="Arial" w:cs="Arial"/>
                <w:sz w:val="22"/>
                <w:szCs w:val="22"/>
              </w:rPr>
              <w:t>rimary care ex</w:t>
            </w:r>
            <w:r w:rsidR="009E01F1" w:rsidRPr="00540679">
              <w:rPr>
                <w:rFonts w:ascii="Arial" w:eastAsia="Calibri" w:hAnsi="Arial" w:cs="Arial"/>
                <w:sz w:val="22"/>
                <w:szCs w:val="22"/>
              </w:rPr>
              <w:t>pert</w:t>
            </w:r>
          </w:p>
        </w:tc>
      </w:tr>
      <w:tr w:rsidR="00C31D8A" w:rsidRPr="00540679" w14:paraId="4537DC48"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06049310" w14:textId="29B1D1B1" w:rsidR="00C31D8A" w:rsidRPr="00540679" w:rsidRDefault="007C6183" w:rsidP="007450AF">
            <w:pPr>
              <w:rPr>
                <w:rFonts w:ascii="Arial" w:eastAsia="Calibri" w:hAnsi="Arial" w:cs="Arial"/>
                <w:sz w:val="22"/>
                <w:szCs w:val="22"/>
              </w:rPr>
            </w:pPr>
            <w:r w:rsidRPr="00540679">
              <w:rPr>
                <w:rFonts w:ascii="Arial" w:hAnsi="Arial" w:cs="Arial"/>
                <w:color w:val="000000"/>
                <w:sz w:val="22"/>
                <w:szCs w:val="22"/>
              </w:rPr>
              <w:t>M</w:t>
            </w:r>
            <w:r w:rsidR="00927F02" w:rsidRPr="00540679">
              <w:rPr>
                <w:rFonts w:ascii="Arial" w:hAnsi="Arial" w:cs="Arial"/>
                <w:color w:val="000000"/>
                <w:sz w:val="22"/>
                <w:szCs w:val="22"/>
              </w:rPr>
              <w:t>s</w:t>
            </w:r>
            <w:r w:rsidRPr="00540679">
              <w:rPr>
                <w:rFonts w:ascii="Arial" w:hAnsi="Arial" w:cs="Arial"/>
                <w:color w:val="000000"/>
                <w:sz w:val="22"/>
                <w:szCs w:val="22"/>
              </w:rPr>
              <w:t xml:space="preserve"> Cristen Fleming</w:t>
            </w:r>
          </w:p>
        </w:tc>
        <w:tc>
          <w:tcPr>
            <w:tcW w:w="2846" w:type="dxa"/>
            <w:tcBorders>
              <w:top w:val="single" w:sz="4" w:space="0" w:color="auto"/>
              <w:left w:val="single" w:sz="4" w:space="0" w:color="auto"/>
              <w:bottom w:val="single" w:sz="4" w:space="0" w:color="auto"/>
              <w:right w:val="single" w:sz="4" w:space="0" w:color="auto"/>
            </w:tcBorders>
          </w:tcPr>
          <w:p w14:paraId="788A7738" w14:textId="2FADA127" w:rsidR="00C31D8A" w:rsidRPr="00540679" w:rsidRDefault="00682C0E" w:rsidP="007450AF">
            <w:pPr>
              <w:rPr>
                <w:rFonts w:ascii="Arial" w:eastAsia="Calibri" w:hAnsi="Arial" w:cs="Arial"/>
                <w:sz w:val="22"/>
                <w:szCs w:val="22"/>
              </w:rPr>
            </w:pPr>
            <w:r w:rsidRPr="00540679">
              <w:rPr>
                <w:rFonts w:ascii="Arial" w:hAnsi="Arial" w:cs="Arial"/>
                <w:sz w:val="22"/>
                <w:szCs w:val="22"/>
                <w:shd w:val="clear" w:color="auto" w:fill="FFFFFF"/>
              </w:rPr>
              <w:t>Rural Health Manager and Clinical Pharmacist at Western NSW Local Health District</w:t>
            </w:r>
            <w:r w:rsidRPr="00540679">
              <w:rPr>
                <w:rFonts w:ascii="Arial" w:eastAsia="Calibri" w:hAnsi="Arial" w:cs="Arial"/>
                <w:sz w:val="22"/>
                <w:szCs w:val="22"/>
              </w:rPr>
              <w:t xml:space="preserve"> </w:t>
            </w:r>
          </w:p>
        </w:tc>
        <w:tc>
          <w:tcPr>
            <w:tcW w:w="2891" w:type="dxa"/>
            <w:gridSpan w:val="2"/>
            <w:tcBorders>
              <w:top w:val="single" w:sz="4" w:space="0" w:color="auto"/>
              <w:left w:val="single" w:sz="4" w:space="0" w:color="auto"/>
              <w:bottom w:val="single" w:sz="4" w:space="0" w:color="auto"/>
              <w:right w:val="single" w:sz="4" w:space="0" w:color="auto"/>
            </w:tcBorders>
          </w:tcPr>
          <w:p w14:paraId="730C9833" w14:textId="5172E8BD" w:rsidR="00C31D8A" w:rsidRPr="00540679" w:rsidRDefault="00FC3D76" w:rsidP="007450AF">
            <w:pPr>
              <w:rPr>
                <w:rFonts w:ascii="Arial" w:eastAsia="Calibri" w:hAnsi="Arial" w:cs="Arial"/>
                <w:sz w:val="22"/>
                <w:szCs w:val="22"/>
              </w:rPr>
            </w:pPr>
            <w:r w:rsidRPr="00540679">
              <w:rPr>
                <w:rFonts w:ascii="Arial" w:eastAsia="Calibri" w:hAnsi="Arial" w:cs="Arial"/>
                <w:sz w:val="22"/>
                <w:szCs w:val="22"/>
              </w:rPr>
              <w:t xml:space="preserve">Chief Investigator </w:t>
            </w:r>
            <w:r w:rsidR="00567CD9" w:rsidRPr="00540679">
              <w:rPr>
                <w:rFonts w:ascii="Arial" w:eastAsia="Calibri" w:hAnsi="Arial" w:cs="Arial"/>
                <w:sz w:val="22"/>
                <w:szCs w:val="22"/>
              </w:rPr>
              <w:t>Q</w:t>
            </w:r>
            <w:r w:rsidR="00FD375D" w:rsidRPr="00540679">
              <w:rPr>
                <w:rFonts w:ascii="Arial" w:eastAsia="Calibri" w:hAnsi="Arial" w:cs="Arial"/>
                <w:sz w:val="22"/>
                <w:szCs w:val="22"/>
              </w:rPr>
              <w:t>,</w:t>
            </w:r>
            <w:r w:rsidR="00567CD9" w:rsidRPr="00540679">
              <w:rPr>
                <w:rFonts w:ascii="Arial" w:eastAsia="Calibri" w:hAnsi="Arial" w:cs="Arial"/>
                <w:sz w:val="22"/>
                <w:szCs w:val="22"/>
              </w:rPr>
              <w:t xml:space="preserve"> Principal Investigator for WNSWLHD sites, </w:t>
            </w:r>
            <w:r w:rsidR="00682C0E" w:rsidRPr="00540679">
              <w:rPr>
                <w:rFonts w:ascii="Arial" w:eastAsia="Calibri" w:hAnsi="Arial" w:cs="Arial"/>
                <w:sz w:val="22"/>
                <w:szCs w:val="22"/>
              </w:rPr>
              <w:t>Virtual Clinical Pharmacist</w:t>
            </w:r>
            <w:r w:rsidR="000D4653" w:rsidRPr="00540679">
              <w:rPr>
                <w:rFonts w:ascii="Arial" w:eastAsia="Calibri" w:hAnsi="Arial" w:cs="Arial"/>
                <w:sz w:val="22"/>
                <w:szCs w:val="22"/>
              </w:rPr>
              <w:t xml:space="preserve">, </w:t>
            </w:r>
            <w:r w:rsidR="00DB131F" w:rsidRPr="00540679">
              <w:rPr>
                <w:rFonts w:ascii="Arial" w:eastAsia="Calibri" w:hAnsi="Arial" w:cs="Arial"/>
                <w:sz w:val="22"/>
                <w:szCs w:val="22"/>
              </w:rPr>
              <w:t xml:space="preserve">Clinical </w:t>
            </w:r>
            <w:proofErr w:type="gramStart"/>
            <w:r w:rsidR="00DB131F" w:rsidRPr="00540679">
              <w:rPr>
                <w:rFonts w:ascii="Arial" w:eastAsia="Calibri" w:hAnsi="Arial" w:cs="Arial"/>
                <w:sz w:val="22"/>
                <w:szCs w:val="22"/>
              </w:rPr>
              <w:t>medication</w:t>
            </w:r>
            <w:proofErr w:type="gramEnd"/>
            <w:r w:rsidR="00DB131F" w:rsidRPr="00540679">
              <w:rPr>
                <w:rFonts w:ascii="Arial" w:eastAsia="Calibri" w:hAnsi="Arial" w:cs="Arial"/>
                <w:sz w:val="22"/>
                <w:szCs w:val="22"/>
              </w:rPr>
              <w:t xml:space="preserve"> and management expert</w:t>
            </w:r>
          </w:p>
        </w:tc>
      </w:tr>
      <w:tr w:rsidR="00C31D8A" w:rsidRPr="00540679" w14:paraId="68B0488F"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0B0A8476" w14:textId="2B23E65B" w:rsidR="00C31D8A" w:rsidRPr="00540679" w:rsidRDefault="009B5D56" w:rsidP="007450AF">
            <w:pPr>
              <w:rPr>
                <w:rFonts w:ascii="Arial" w:eastAsia="Calibri" w:hAnsi="Arial" w:cs="Arial"/>
                <w:sz w:val="22"/>
                <w:szCs w:val="22"/>
              </w:rPr>
            </w:pPr>
            <w:r w:rsidRPr="00540679">
              <w:rPr>
                <w:rFonts w:ascii="Arial" w:hAnsi="Arial" w:cs="Arial"/>
                <w:color w:val="000000"/>
                <w:sz w:val="22"/>
                <w:szCs w:val="22"/>
              </w:rPr>
              <w:t>Ms Anna Louise Packer</w:t>
            </w:r>
          </w:p>
        </w:tc>
        <w:tc>
          <w:tcPr>
            <w:tcW w:w="2846" w:type="dxa"/>
            <w:tcBorders>
              <w:top w:val="single" w:sz="4" w:space="0" w:color="auto"/>
              <w:left w:val="single" w:sz="4" w:space="0" w:color="auto"/>
              <w:bottom w:val="single" w:sz="4" w:space="0" w:color="auto"/>
              <w:right w:val="single" w:sz="4" w:space="0" w:color="auto"/>
            </w:tcBorders>
          </w:tcPr>
          <w:p w14:paraId="7526045A" w14:textId="205737BB" w:rsidR="00C31D8A" w:rsidRPr="00540679" w:rsidRDefault="00F05C63" w:rsidP="007450AF">
            <w:pPr>
              <w:rPr>
                <w:rFonts w:ascii="Arial" w:eastAsia="Calibri" w:hAnsi="Arial" w:cs="Arial"/>
                <w:sz w:val="22"/>
                <w:szCs w:val="22"/>
              </w:rPr>
            </w:pPr>
            <w:r w:rsidRPr="00540679">
              <w:rPr>
                <w:rFonts w:ascii="Arial" w:eastAsia="Calibri" w:hAnsi="Arial" w:cs="Arial"/>
                <w:sz w:val="22"/>
                <w:szCs w:val="22"/>
              </w:rPr>
              <w:t xml:space="preserve">Virtual Clinical Pharmacist </w:t>
            </w:r>
            <w:r w:rsidRPr="00540679">
              <w:rPr>
                <w:rFonts w:ascii="Arial" w:hAnsi="Arial" w:cs="Arial"/>
                <w:sz w:val="22"/>
                <w:szCs w:val="22"/>
                <w:shd w:val="clear" w:color="auto" w:fill="FFFFFF"/>
              </w:rPr>
              <w:t>at Western NSW Local Health District</w:t>
            </w:r>
          </w:p>
        </w:tc>
        <w:tc>
          <w:tcPr>
            <w:tcW w:w="2891" w:type="dxa"/>
            <w:gridSpan w:val="2"/>
            <w:tcBorders>
              <w:top w:val="single" w:sz="4" w:space="0" w:color="auto"/>
              <w:left w:val="single" w:sz="4" w:space="0" w:color="auto"/>
              <w:bottom w:val="single" w:sz="4" w:space="0" w:color="auto"/>
              <w:right w:val="single" w:sz="4" w:space="0" w:color="auto"/>
            </w:tcBorders>
          </w:tcPr>
          <w:p w14:paraId="4E81E80E" w14:textId="40578296" w:rsidR="00C31D8A" w:rsidRPr="00540679" w:rsidRDefault="00567CD9" w:rsidP="007450AF">
            <w:pPr>
              <w:rPr>
                <w:rFonts w:ascii="Arial" w:eastAsia="Calibri" w:hAnsi="Arial" w:cs="Arial"/>
                <w:sz w:val="22"/>
                <w:szCs w:val="22"/>
              </w:rPr>
            </w:pPr>
            <w:r w:rsidRPr="00540679">
              <w:rPr>
                <w:rFonts w:ascii="Arial" w:eastAsia="Calibri" w:hAnsi="Arial" w:cs="Arial"/>
                <w:sz w:val="22"/>
                <w:szCs w:val="22"/>
              </w:rPr>
              <w:t>Chief Investigator R</w:t>
            </w:r>
            <w:r w:rsidR="00FD375D" w:rsidRPr="00540679">
              <w:rPr>
                <w:rFonts w:ascii="Arial" w:eastAsia="Calibri" w:hAnsi="Arial" w:cs="Arial"/>
                <w:sz w:val="22"/>
                <w:szCs w:val="22"/>
              </w:rPr>
              <w:t>,</w:t>
            </w:r>
            <w:r w:rsidRPr="00540679">
              <w:rPr>
                <w:rFonts w:ascii="Arial" w:eastAsia="Calibri" w:hAnsi="Arial" w:cs="Arial"/>
                <w:sz w:val="22"/>
                <w:szCs w:val="22"/>
              </w:rPr>
              <w:t xml:space="preserve"> </w:t>
            </w:r>
            <w:r w:rsidR="00DB131F" w:rsidRPr="00540679">
              <w:rPr>
                <w:rFonts w:ascii="Arial" w:eastAsia="Calibri" w:hAnsi="Arial" w:cs="Arial"/>
                <w:sz w:val="22"/>
                <w:szCs w:val="22"/>
              </w:rPr>
              <w:t>Clinical medication and management</w:t>
            </w:r>
            <w:r w:rsidR="00CC3CAD" w:rsidRPr="00540679">
              <w:rPr>
                <w:rFonts w:ascii="Arial" w:eastAsia="Calibri" w:hAnsi="Arial" w:cs="Arial"/>
                <w:sz w:val="22"/>
                <w:szCs w:val="22"/>
              </w:rPr>
              <w:t>, Telehealth</w:t>
            </w:r>
            <w:r w:rsidR="00DB131F" w:rsidRPr="00540679">
              <w:rPr>
                <w:rFonts w:ascii="Arial" w:eastAsia="Calibri" w:hAnsi="Arial" w:cs="Arial"/>
                <w:sz w:val="22"/>
                <w:szCs w:val="22"/>
              </w:rPr>
              <w:t xml:space="preserve"> expert</w:t>
            </w:r>
          </w:p>
        </w:tc>
      </w:tr>
      <w:tr w:rsidR="00E7733E" w:rsidRPr="00540679" w14:paraId="18A0EE9B"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14A4D65A" w14:textId="0FDC5A39" w:rsidR="00E7733E" w:rsidRPr="00540679" w:rsidRDefault="00E7733E" w:rsidP="007450AF">
            <w:pPr>
              <w:rPr>
                <w:rFonts w:ascii="Arial" w:hAnsi="Arial" w:cs="Arial"/>
                <w:color w:val="000000"/>
                <w:sz w:val="22"/>
                <w:szCs w:val="22"/>
              </w:rPr>
            </w:pPr>
            <w:r w:rsidRPr="00540679">
              <w:rPr>
                <w:rFonts w:ascii="Arial" w:hAnsi="Arial" w:cs="Arial"/>
                <w:color w:val="000000"/>
                <w:sz w:val="22"/>
                <w:szCs w:val="22"/>
              </w:rPr>
              <w:t>Ms Linda Krogh</w:t>
            </w:r>
          </w:p>
        </w:tc>
        <w:tc>
          <w:tcPr>
            <w:tcW w:w="2846" w:type="dxa"/>
            <w:tcBorders>
              <w:top w:val="single" w:sz="4" w:space="0" w:color="auto"/>
              <w:left w:val="single" w:sz="4" w:space="0" w:color="auto"/>
              <w:bottom w:val="single" w:sz="4" w:space="0" w:color="auto"/>
              <w:right w:val="single" w:sz="4" w:space="0" w:color="auto"/>
            </w:tcBorders>
          </w:tcPr>
          <w:p w14:paraId="12BFFF2F" w14:textId="5065B960" w:rsidR="00E7733E" w:rsidRPr="00540679" w:rsidRDefault="009F0F02" w:rsidP="007450AF">
            <w:pPr>
              <w:rPr>
                <w:rFonts w:ascii="Arial" w:eastAsia="Calibri" w:hAnsi="Arial" w:cs="Arial"/>
                <w:sz w:val="22"/>
                <w:szCs w:val="22"/>
              </w:rPr>
            </w:pPr>
            <w:r w:rsidRPr="00540679">
              <w:rPr>
                <w:rFonts w:ascii="Arial" w:eastAsia="Calibri" w:hAnsi="Arial" w:cs="Arial"/>
                <w:sz w:val="22"/>
                <w:szCs w:val="22"/>
              </w:rPr>
              <w:t xml:space="preserve">Virtual Clinical Pharmacist </w:t>
            </w:r>
            <w:r w:rsidRPr="00540679">
              <w:rPr>
                <w:rFonts w:ascii="Arial" w:hAnsi="Arial" w:cs="Arial"/>
                <w:sz w:val="22"/>
                <w:szCs w:val="22"/>
                <w:shd w:val="clear" w:color="auto" w:fill="FFFFFF"/>
              </w:rPr>
              <w:t>at</w:t>
            </w:r>
            <w:r w:rsidR="009C17E7" w:rsidRPr="00540679">
              <w:rPr>
                <w:rFonts w:ascii="Arial" w:hAnsi="Arial" w:cs="Arial"/>
                <w:sz w:val="22"/>
                <w:szCs w:val="22"/>
                <w:shd w:val="clear" w:color="auto" w:fill="FFFFFF"/>
              </w:rPr>
              <w:t xml:space="preserve"> Orange Health Service</w:t>
            </w:r>
          </w:p>
        </w:tc>
        <w:tc>
          <w:tcPr>
            <w:tcW w:w="2891" w:type="dxa"/>
            <w:gridSpan w:val="2"/>
            <w:tcBorders>
              <w:top w:val="single" w:sz="4" w:space="0" w:color="auto"/>
              <w:left w:val="single" w:sz="4" w:space="0" w:color="auto"/>
              <w:bottom w:val="single" w:sz="4" w:space="0" w:color="auto"/>
              <w:right w:val="single" w:sz="4" w:space="0" w:color="auto"/>
            </w:tcBorders>
          </w:tcPr>
          <w:p w14:paraId="7C23A81C" w14:textId="78398BDB" w:rsidR="00AD6BD2" w:rsidRPr="00540679" w:rsidRDefault="00AD6BD2" w:rsidP="007450AF">
            <w:pPr>
              <w:rPr>
                <w:rFonts w:ascii="Arial" w:eastAsia="Calibri" w:hAnsi="Arial" w:cs="Arial"/>
                <w:sz w:val="22"/>
                <w:szCs w:val="22"/>
              </w:rPr>
            </w:pPr>
            <w:r w:rsidRPr="00540679">
              <w:rPr>
                <w:rFonts w:ascii="Arial" w:eastAsia="Calibri" w:hAnsi="Arial" w:cs="Arial"/>
                <w:sz w:val="22"/>
                <w:szCs w:val="22"/>
              </w:rPr>
              <w:t>Chief Investigator S</w:t>
            </w:r>
            <w:r w:rsidR="00FD375D" w:rsidRPr="00540679">
              <w:rPr>
                <w:rFonts w:ascii="Arial" w:eastAsia="Calibri" w:hAnsi="Arial" w:cs="Arial"/>
                <w:sz w:val="22"/>
                <w:szCs w:val="22"/>
              </w:rPr>
              <w:t>,</w:t>
            </w:r>
          </w:p>
          <w:p w14:paraId="6AAD624C" w14:textId="58DEF32B" w:rsidR="00E7733E" w:rsidRPr="00540679" w:rsidRDefault="004951F7" w:rsidP="007450AF">
            <w:pPr>
              <w:rPr>
                <w:rFonts w:ascii="Arial" w:eastAsia="Calibri" w:hAnsi="Arial" w:cs="Arial"/>
                <w:sz w:val="22"/>
                <w:szCs w:val="22"/>
              </w:rPr>
            </w:pPr>
            <w:r w:rsidRPr="00540679">
              <w:rPr>
                <w:rFonts w:ascii="Arial" w:eastAsia="Calibri" w:hAnsi="Arial" w:cs="Arial"/>
                <w:sz w:val="22"/>
                <w:szCs w:val="22"/>
              </w:rPr>
              <w:t>Clinical medication and management expert</w:t>
            </w:r>
          </w:p>
        </w:tc>
      </w:tr>
      <w:tr w:rsidR="00E7733E" w:rsidRPr="00540679" w14:paraId="29D89299" w14:textId="77777777" w:rsidTr="1F65B294">
        <w:tc>
          <w:tcPr>
            <w:tcW w:w="2790" w:type="dxa"/>
            <w:gridSpan w:val="2"/>
            <w:tcBorders>
              <w:top w:val="single" w:sz="4" w:space="0" w:color="auto"/>
              <w:left w:val="single" w:sz="4" w:space="0" w:color="auto"/>
              <w:bottom w:val="single" w:sz="4" w:space="0" w:color="auto"/>
              <w:right w:val="single" w:sz="4" w:space="0" w:color="auto"/>
            </w:tcBorders>
          </w:tcPr>
          <w:p w14:paraId="625D2D58" w14:textId="13845D13" w:rsidR="00E7733E" w:rsidRPr="00540679" w:rsidRDefault="00581DF7" w:rsidP="007450AF">
            <w:pPr>
              <w:rPr>
                <w:rFonts w:ascii="Arial" w:hAnsi="Arial" w:cs="Arial"/>
                <w:color w:val="000000"/>
                <w:sz w:val="22"/>
                <w:szCs w:val="22"/>
              </w:rPr>
            </w:pPr>
            <w:r w:rsidRPr="00540679">
              <w:rPr>
                <w:rFonts w:ascii="Arial" w:hAnsi="Arial" w:cs="Arial"/>
                <w:color w:val="000000"/>
                <w:sz w:val="22"/>
                <w:szCs w:val="22"/>
              </w:rPr>
              <w:t xml:space="preserve">Associate Professor </w:t>
            </w:r>
            <w:r w:rsidR="00E7733E" w:rsidRPr="00540679">
              <w:rPr>
                <w:rFonts w:ascii="Arial" w:hAnsi="Arial" w:cs="Arial"/>
                <w:color w:val="000000"/>
                <w:sz w:val="22"/>
                <w:szCs w:val="22"/>
              </w:rPr>
              <w:t>Simon Poon</w:t>
            </w:r>
          </w:p>
        </w:tc>
        <w:tc>
          <w:tcPr>
            <w:tcW w:w="2846" w:type="dxa"/>
            <w:tcBorders>
              <w:top w:val="single" w:sz="4" w:space="0" w:color="auto"/>
              <w:left w:val="single" w:sz="4" w:space="0" w:color="auto"/>
              <w:bottom w:val="single" w:sz="4" w:space="0" w:color="auto"/>
              <w:right w:val="single" w:sz="4" w:space="0" w:color="auto"/>
            </w:tcBorders>
          </w:tcPr>
          <w:p w14:paraId="2BA1747E" w14:textId="0772E34C" w:rsidR="00E7733E" w:rsidRPr="00540679" w:rsidRDefault="00581DF7" w:rsidP="007450AF">
            <w:pPr>
              <w:rPr>
                <w:rFonts w:ascii="Arial" w:eastAsia="Calibri" w:hAnsi="Arial" w:cs="Arial"/>
                <w:sz w:val="22"/>
                <w:szCs w:val="22"/>
              </w:rPr>
            </w:pPr>
            <w:r w:rsidRPr="00540679">
              <w:rPr>
                <w:rFonts w:ascii="Arial" w:eastAsia="Calibri" w:hAnsi="Arial" w:cs="Arial"/>
                <w:sz w:val="22"/>
                <w:szCs w:val="22"/>
              </w:rPr>
              <w:t>Associate Professor</w:t>
            </w:r>
            <w:r w:rsidR="00BD20CF" w:rsidRPr="00540679">
              <w:rPr>
                <w:rFonts w:ascii="Arial" w:eastAsia="Calibri" w:hAnsi="Arial" w:cs="Arial"/>
                <w:sz w:val="22"/>
                <w:szCs w:val="22"/>
              </w:rPr>
              <w:t>, School of Computer Science, Faculty of Engineering</w:t>
            </w:r>
            <w:r w:rsidR="009F0F02" w:rsidRPr="00540679">
              <w:rPr>
                <w:rFonts w:ascii="Arial" w:eastAsia="Calibri" w:hAnsi="Arial" w:cs="Arial"/>
                <w:sz w:val="22"/>
                <w:szCs w:val="22"/>
              </w:rPr>
              <w:t>, University of Sydney</w:t>
            </w:r>
          </w:p>
        </w:tc>
        <w:tc>
          <w:tcPr>
            <w:tcW w:w="2891" w:type="dxa"/>
            <w:gridSpan w:val="2"/>
            <w:tcBorders>
              <w:top w:val="single" w:sz="4" w:space="0" w:color="auto"/>
              <w:left w:val="single" w:sz="4" w:space="0" w:color="auto"/>
              <w:bottom w:val="single" w:sz="4" w:space="0" w:color="auto"/>
              <w:right w:val="single" w:sz="4" w:space="0" w:color="auto"/>
            </w:tcBorders>
          </w:tcPr>
          <w:p w14:paraId="7D5DDF44" w14:textId="4B2CAA1F" w:rsidR="00AD6BD2" w:rsidRPr="00540679" w:rsidRDefault="00AD6BD2" w:rsidP="007450AF">
            <w:pPr>
              <w:rPr>
                <w:rFonts w:ascii="Arial" w:eastAsia="Calibri" w:hAnsi="Arial" w:cs="Arial"/>
                <w:sz w:val="22"/>
                <w:szCs w:val="22"/>
              </w:rPr>
            </w:pPr>
            <w:r w:rsidRPr="00540679">
              <w:rPr>
                <w:rFonts w:ascii="Arial" w:eastAsia="Calibri" w:hAnsi="Arial" w:cs="Arial"/>
                <w:sz w:val="22"/>
                <w:szCs w:val="22"/>
              </w:rPr>
              <w:t>Chief Investigator T</w:t>
            </w:r>
            <w:r w:rsidR="009B740F" w:rsidRPr="00540679">
              <w:rPr>
                <w:rFonts w:ascii="Arial" w:eastAsia="Calibri" w:hAnsi="Arial" w:cs="Arial"/>
                <w:sz w:val="22"/>
                <w:szCs w:val="22"/>
              </w:rPr>
              <w:t>,</w:t>
            </w:r>
          </w:p>
          <w:p w14:paraId="6BFED259" w14:textId="154B2AC4" w:rsidR="00E7733E" w:rsidRPr="00540679" w:rsidRDefault="00BE40C5" w:rsidP="007450AF">
            <w:pPr>
              <w:rPr>
                <w:rFonts w:ascii="Arial" w:eastAsia="Calibri" w:hAnsi="Arial" w:cs="Arial"/>
                <w:sz w:val="22"/>
                <w:szCs w:val="22"/>
              </w:rPr>
            </w:pPr>
            <w:r w:rsidRPr="00540679">
              <w:rPr>
                <w:rFonts w:ascii="Arial" w:eastAsia="Calibri" w:hAnsi="Arial" w:cs="Arial"/>
                <w:sz w:val="22"/>
                <w:szCs w:val="22"/>
              </w:rPr>
              <w:t xml:space="preserve">Health Information and Evaluation </w:t>
            </w:r>
            <w:r w:rsidR="000466D4" w:rsidRPr="00540679">
              <w:rPr>
                <w:rFonts w:ascii="Arial" w:eastAsia="Calibri" w:hAnsi="Arial" w:cs="Arial"/>
                <w:sz w:val="22"/>
                <w:szCs w:val="22"/>
              </w:rPr>
              <w:t>expert</w:t>
            </w:r>
          </w:p>
        </w:tc>
      </w:tr>
      <w:tr w:rsidR="00E7733E" w:rsidRPr="00540679" w14:paraId="1B3915DB" w14:textId="77777777" w:rsidTr="1F65B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8" w:type="dxa"/>
          <w:trHeight w:val="288"/>
        </w:trPr>
        <w:tc>
          <w:tcPr>
            <w:tcW w:w="2660" w:type="dxa"/>
            <w:tcBorders>
              <w:top w:val="nil"/>
              <w:left w:val="nil"/>
              <w:bottom w:val="nil"/>
              <w:right w:val="nil"/>
            </w:tcBorders>
            <w:shd w:val="clear" w:color="auto" w:fill="auto"/>
            <w:noWrap/>
            <w:vAlign w:val="bottom"/>
          </w:tcPr>
          <w:p w14:paraId="4959D561" w14:textId="77777777" w:rsidR="00E7733E" w:rsidRPr="00540679" w:rsidRDefault="00E7733E" w:rsidP="00E7733E">
            <w:pPr>
              <w:shd w:val="clear" w:color="auto" w:fill="FFFFFF" w:themeFill="background1"/>
              <w:rPr>
                <w:rFonts w:ascii="Arial" w:hAnsi="Arial" w:cs="Arial"/>
                <w:color w:val="000000"/>
                <w:sz w:val="22"/>
                <w:szCs w:val="22"/>
              </w:rPr>
            </w:pPr>
          </w:p>
          <w:p w14:paraId="55405129" w14:textId="77777777" w:rsidR="001D4753" w:rsidRPr="00540679" w:rsidRDefault="001D4753" w:rsidP="00E7733E">
            <w:pPr>
              <w:shd w:val="clear" w:color="auto" w:fill="FFFFFF" w:themeFill="background1"/>
              <w:rPr>
                <w:rFonts w:ascii="Arial" w:hAnsi="Arial" w:cs="Arial"/>
                <w:color w:val="000000"/>
                <w:sz w:val="22"/>
                <w:szCs w:val="22"/>
              </w:rPr>
            </w:pPr>
          </w:p>
          <w:p w14:paraId="079D0AE9" w14:textId="77777777" w:rsidR="001D4753" w:rsidRPr="00540679" w:rsidRDefault="001D4753" w:rsidP="00E7733E">
            <w:pPr>
              <w:shd w:val="clear" w:color="auto" w:fill="FFFFFF" w:themeFill="background1"/>
              <w:rPr>
                <w:rFonts w:ascii="Arial" w:hAnsi="Arial" w:cs="Arial"/>
                <w:color w:val="000000"/>
                <w:sz w:val="22"/>
                <w:szCs w:val="22"/>
              </w:rPr>
            </w:pPr>
          </w:p>
          <w:p w14:paraId="6DD45917" w14:textId="77777777" w:rsidR="001D4753" w:rsidRPr="00540679" w:rsidRDefault="001D4753" w:rsidP="00E7733E">
            <w:pPr>
              <w:shd w:val="clear" w:color="auto" w:fill="FFFFFF" w:themeFill="background1"/>
              <w:rPr>
                <w:rFonts w:ascii="Arial" w:hAnsi="Arial" w:cs="Arial"/>
                <w:color w:val="000000"/>
                <w:sz w:val="22"/>
                <w:szCs w:val="22"/>
              </w:rPr>
            </w:pPr>
          </w:p>
          <w:p w14:paraId="14E294B0" w14:textId="77777777" w:rsidR="001D4753" w:rsidRPr="00540679" w:rsidRDefault="001D4753" w:rsidP="00E7733E">
            <w:pPr>
              <w:shd w:val="clear" w:color="auto" w:fill="FFFFFF" w:themeFill="background1"/>
              <w:rPr>
                <w:rFonts w:ascii="Arial" w:hAnsi="Arial" w:cs="Arial"/>
                <w:color w:val="000000"/>
                <w:sz w:val="22"/>
                <w:szCs w:val="22"/>
              </w:rPr>
            </w:pPr>
          </w:p>
          <w:p w14:paraId="66921F63" w14:textId="4090FA64" w:rsidR="001D4753" w:rsidRPr="00540679" w:rsidRDefault="001D4753" w:rsidP="00E7733E">
            <w:pPr>
              <w:shd w:val="clear" w:color="auto" w:fill="FFFFFF" w:themeFill="background1"/>
              <w:rPr>
                <w:rFonts w:ascii="Arial" w:hAnsi="Arial" w:cs="Arial"/>
                <w:color w:val="000000"/>
                <w:sz w:val="22"/>
                <w:szCs w:val="22"/>
              </w:rPr>
            </w:pPr>
          </w:p>
        </w:tc>
        <w:tc>
          <w:tcPr>
            <w:tcW w:w="5459" w:type="dxa"/>
            <w:gridSpan w:val="3"/>
            <w:tcBorders>
              <w:top w:val="nil"/>
              <w:left w:val="nil"/>
              <w:bottom w:val="nil"/>
              <w:right w:val="nil"/>
            </w:tcBorders>
            <w:shd w:val="clear" w:color="auto" w:fill="auto"/>
            <w:noWrap/>
            <w:vAlign w:val="bottom"/>
          </w:tcPr>
          <w:p w14:paraId="0ECAF581" w14:textId="77777777" w:rsidR="00E7733E" w:rsidRPr="00540679" w:rsidRDefault="00E7733E" w:rsidP="00E7733E">
            <w:pPr>
              <w:shd w:val="clear" w:color="auto" w:fill="FFFFFF" w:themeFill="background1"/>
              <w:rPr>
                <w:rFonts w:ascii="Arial" w:hAnsi="Arial" w:cs="Arial"/>
                <w:sz w:val="22"/>
                <w:szCs w:val="22"/>
              </w:rPr>
            </w:pPr>
          </w:p>
        </w:tc>
      </w:tr>
      <w:tr w:rsidR="00E7733E" w:rsidRPr="00540679" w14:paraId="5B39E5F4" w14:textId="77777777" w:rsidTr="1F65B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8" w:type="dxa"/>
          <w:trHeight w:val="288"/>
        </w:trPr>
        <w:tc>
          <w:tcPr>
            <w:tcW w:w="2660" w:type="dxa"/>
            <w:tcBorders>
              <w:top w:val="nil"/>
              <w:left w:val="nil"/>
              <w:bottom w:val="nil"/>
              <w:right w:val="nil"/>
            </w:tcBorders>
            <w:shd w:val="clear" w:color="auto" w:fill="auto"/>
            <w:noWrap/>
            <w:vAlign w:val="bottom"/>
          </w:tcPr>
          <w:p w14:paraId="78082AAD" w14:textId="77777777" w:rsidR="00E7733E" w:rsidRPr="00540679" w:rsidRDefault="00E7733E" w:rsidP="00E7733E">
            <w:pPr>
              <w:shd w:val="clear" w:color="auto" w:fill="FFFFFF" w:themeFill="background1"/>
              <w:rPr>
                <w:rFonts w:ascii="Arial" w:hAnsi="Arial" w:cs="Arial"/>
                <w:color w:val="000000"/>
                <w:sz w:val="22"/>
                <w:szCs w:val="22"/>
              </w:rPr>
            </w:pPr>
          </w:p>
        </w:tc>
        <w:tc>
          <w:tcPr>
            <w:tcW w:w="5459" w:type="dxa"/>
            <w:gridSpan w:val="3"/>
            <w:tcBorders>
              <w:top w:val="nil"/>
              <w:left w:val="nil"/>
              <w:bottom w:val="nil"/>
              <w:right w:val="nil"/>
            </w:tcBorders>
            <w:shd w:val="clear" w:color="auto" w:fill="auto"/>
            <w:noWrap/>
            <w:vAlign w:val="bottom"/>
          </w:tcPr>
          <w:p w14:paraId="6C5A30EC" w14:textId="77777777" w:rsidR="00E7733E" w:rsidRPr="00540679" w:rsidRDefault="00E7733E" w:rsidP="00E7733E">
            <w:pPr>
              <w:shd w:val="clear" w:color="auto" w:fill="FFFFFF" w:themeFill="background1"/>
              <w:rPr>
                <w:rFonts w:ascii="Arial" w:hAnsi="Arial" w:cs="Arial"/>
                <w:color w:val="0563C1"/>
                <w:sz w:val="22"/>
                <w:szCs w:val="22"/>
                <w:u w:val="single"/>
              </w:rPr>
            </w:pPr>
          </w:p>
          <w:p w14:paraId="5B13B429" w14:textId="77777777" w:rsidR="00E7733E" w:rsidRPr="00540679" w:rsidRDefault="00E7733E" w:rsidP="00E7733E">
            <w:pPr>
              <w:shd w:val="clear" w:color="auto" w:fill="FFFFFF" w:themeFill="background1"/>
              <w:rPr>
                <w:rFonts w:ascii="Arial" w:hAnsi="Arial" w:cs="Arial"/>
                <w:color w:val="0563C1"/>
                <w:sz w:val="22"/>
                <w:szCs w:val="22"/>
                <w:u w:val="single"/>
              </w:rPr>
            </w:pPr>
          </w:p>
          <w:p w14:paraId="1DF36E6D" w14:textId="77777777" w:rsidR="00E7733E" w:rsidRPr="00540679" w:rsidRDefault="00E7733E" w:rsidP="00E7733E">
            <w:pPr>
              <w:shd w:val="clear" w:color="auto" w:fill="FFFFFF" w:themeFill="background1"/>
              <w:rPr>
                <w:rFonts w:ascii="Arial" w:hAnsi="Arial" w:cs="Arial"/>
                <w:color w:val="0563C1"/>
                <w:sz w:val="22"/>
                <w:szCs w:val="22"/>
                <w:u w:val="single"/>
              </w:rPr>
            </w:pPr>
          </w:p>
          <w:p w14:paraId="79A56569" w14:textId="77777777" w:rsidR="00DC5B18" w:rsidRPr="00540679" w:rsidRDefault="00DC5B18" w:rsidP="00E7733E">
            <w:pPr>
              <w:shd w:val="clear" w:color="auto" w:fill="FFFFFF" w:themeFill="background1"/>
              <w:rPr>
                <w:rFonts w:ascii="Arial" w:hAnsi="Arial" w:cs="Arial"/>
                <w:color w:val="0563C1"/>
                <w:sz w:val="22"/>
                <w:szCs w:val="22"/>
                <w:u w:val="single"/>
              </w:rPr>
            </w:pPr>
          </w:p>
          <w:p w14:paraId="32725A8F" w14:textId="77777777" w:rsidR="00DC5B18" w:rsidRPr="00540679" w:rsidRDefault="00DC5B18" w:rsidP="00E7733E">
            <w:pPr>
              <w:shd w:val="clear" w:color="auto" w:fill="FFFFFF" w:themeFill="background1"/>
              <w:rPr>
                <w:rFonts w:ascii="Arial" w:hAnsi="Arial" w:cs="Arial"/>
                <w:color w:val="0563C1"/>
                <w:sz w:val="22"/>
                <w:szCs w:val="22"/>
                <w:u w:val="single"/>
              </w:rPr>
            </w:pPr>
          </w:p>
          <w:p w14:paraId="607A9F30" w14:textId="77777777" w:rsidR="00E7733E" w:rsidRPr="00540679" w:rsidRDefault="00E7733E" w:rsidP="00E7733E">
            <w:pPr>
              <w:shd w:val="clear" w:color="auto" w:fill="FFFFFF" w:themeFill="background1"/>
              <w:rPr>
                <w:rFonts w:ascii="Arial" w:hAnsi="Arial" w:cs="Arial"/>
                <w:color w:val="0563C1"/>
                <w:sz w:val="22"/>
                <w:szCs w:val="22"/>
                <w:u w:val="single"/>
              </w:rPr>
            </w:pPr>
          </w:p>
        </w:tc>
      </w:tr>
      <w:tr w:rsidR="00E7733E" w:rsidRPr="00540679" w14:paraId="322DBB10" w14:textId="77777777" w:rsidTr="1F65B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8" w:type="dxa"/>
          <w:trHeight w:val="288"/>
        </w:trPr>
        <w:tc>
          <w:tcPr>
            <w:tcW w:w="2660" w:type="dxa"/>
            <w:tcBorders>
              <w:top w:val="nil"/>
              <w:left w:val="nil"/>
              <w:bottom w:val="nil"/>
              <w:right w:val="nil"/>
            </w:tcBorders>
            <w:shd w:val="clear" w:color="auto" w:fill="auto"/>
            <w:noWrap/>
            <w:vAlign w:val="bottom"/>
          </w:tcPr>
          <w:p w14:paraId="5737A299" w14:textId="77777777" w:rsidR="00E7733E" w:rsidRPr="00540679" w:rsidRDefault="00E7733E" w:rsidP="00E7733E">
            <w:pPr>
              <w:shd w:val="clear" w:color="auto" w:fill="FFFFFF" w:themeFill="background1"/>
              <w:rPr>
                <w:rFonts w:ascii="Arial" w:hAnsi="Arial" w:cs="Arial"/>
                <w:color w:val="000000"/>
                <w:sz w:val="22"/>
                <w:szCs w:val="22"/>
              </w:rPr>
            </w:pPr>
          </w:p>
        </w:tc>
        <w:tc>
          <w:tcPr>
            <w:tcW w:w="5459" w:type="dxa"/>
            <w:gridSpan w:val="3"/>
            <w:tcBorders>
              <w:top w:val="nil"/>
              <w:left w:val="nil"/>
              <w:bottom w:val="nil"/>
              <w:right w:val="nil"/>
            </w:tcBorders>
            <w:shd w:val="clear" w:color="auto" w:fill="auto"/>
            <w:noWrap/>
            <w:vAlign w:val="bottom"/>
          </w:tcPr>
          <w:p w14:paraId="0C65A313" w14:textId="77777777" w:rsidR="00E7733E" w:rsidRPr="00540679" w:rsidRDefault="00E7733E" w:rsidP="00E7733E">
            <w:pPr>
              <w:shd w:val="clear" w:color="auto" w:fill="FFFFFF" w:themeFill="background1"/>
              <w:rPr>
                <w:rFonts w:ascii="Arial" w:hAnsi="Arial" w:cs="Arial"/>
                <w:color w:val="000000"/>
                <w:sz w:val="22"/>
                <w:szCs w:val="22"/>
              </w:rPr>
            </w:pPr>
          </w:p>
        </w:tc>
      </w:tr>
      <w:bookmarkEnd w:id="0"/>
      <w:bookmarkEnd w:id="1"/>
      <w:bookmarkEnd w:id="2"/>
      <w:bookmarkEnd w:id="3"/>
      <w:bookmarkEnd w:id="4"/>
      <w:bookmarkEnd w:id="5"/>
      <w:bookmarkEnd w:id="6"/>
      <w:bookmarkEnd w:id="7"/>
      <w:bookmarkEnd w:id="8"/>
      <w:tr w:rsidR="002F6768" w:rsidRPr="00540679" w14:paraId="7BF87552" w14:textId="77777777" w:rsidTr="1F65B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408" w:type="dxa"/>
          <w:trHeight w:val="288"/>
        </w:trPr>
        <w:tc>
          <w:tcPr>
            <w:tcW w:w="2660" w:type="dxa"/>
            <w:tcBorders>
              <w:top w:val="nil"/>
              <w:left w:val="nil"/>
              <w:bottom w:val="nil"/>
              <w:right w:val="nil"/>
            </w:tcBorders>
            <w:shd w:val="clear" w:color="auto" w:fill="FFFFFF" w:themeFill="background1"/>
            <w:noWrap/>
            <w:vAlign w:val="bottom"/>
          </w:tcPr>
          <w:p w14:paraId="5FFEB18D" w14:textId="77777777" w:rsidR="002F6768" w:rsidRPr="00540679" w:rsidRDefault="002F6768">
            <w:pPr>
              <w:shd w:val="clear" w:color="auto" w:fill="FFFFFF" w:themeFill="background1"/>
              <w:rPr>
                <w:rFonts w:ascii="Arial" w:hAnsi="Arial" w:cs="Arial"/>
                <w:color w:val="000000"/>
                <w:sz w:val="22"/>
                <w:szCs w:val="22"/>
              </w:rPr>
            </w:pPr>
          </w:p>
        </w:tc>
        <w:tc>
          <w:tcPr>
            <w:tcW w:w="5459" w:type="dxa"/>
            <w:gridSpan w:val="3"/>
            <w:tcBorders>
              <w:top w:val="nil"/>
              <w:left w:val="nil"/>
              <w:bottom w:val="nil"/>
              <w:right w:val="nil"/>
            </w:tcBorders>
            <w:shd w:val="clear" w:color="auto" w:fill="FFFFFF" w:themeFill="background1"/>
            <w:noWrap/>
            <w:vAlign w:val="bottom"/>
          </w:tcPr>
          <w:p w14:paraId="48EE607D" w14:textId="77777777" w:rsidR="002F6768" w:rsidRPr="00540679" w:rsidRDefault="002F6768">
            <w:pPr>
              <w:shd w:val="clear" w:color="auto" w:fill="FFFFFF" w:themeFill="background1"/>
              <w:rPr>
                <w:rFonts w:ascii="Arial" w:hAnsi="Arial" w:cs="Arial"/>
                <w:color w:val="000000"/>
                <w:sz w:val="22"/>
                <w:szCs w:val="22"/>
              </w:rPr>
            </w:pPr>
          </w:p>
        </w:tc>
      </w:tr>
    </w:tbl>
    <w:sdt>
      <w:sdtPr>
        <w:rPr>
          <w:rFonts w:ascii="Arial" w:hAnsi="Arial" w:cs="Arial"/>
          <w:sz w:val="22"/>
          <w:szCs w:val="22"/>
        </w:rPr>
        <w:id w:val="1389612071"/>
        <w:docPartObj>
          <w:docPartGallery w:val="Table of Contents"/>
          <w:docPartUnique/>
        </w:docPartObj>
      </w:sdtPr>
      <w:sdtEndPr/>
      <w:sdtContent>
        <w:p w14:paraId="05B9C9CC" w14:textId="77777777" w:rsidR="002F6768" w:rsidRPr="00540679" w:rsidRDefault="002F6768" w:rsidP="002F6768">
          <w:pPr>
            <w:shd w:val="clear" w:color="auto" w:fill="FFFFFF" w:themeFill="background1"/>
            <w:ind w:right="-188"/>
            <w:jc w:val="center"/>
            <w:rPr>
              <w:rFonts w:ascii="Arial" w:hAnsi="Arial" w:cs="Arial"/>
              <w:b/>
              <w:sz w:val="22"/>
              <w:szCs w:val="22"/>
            </w:rPr>
          </w:pPr>
          <w:r w:rsidRPr="00540679">
            <w:rPr>
              <w:rFonts w:ascii="Arial" w:hAnsi="Arial" w:cs="Arial"/>
              <w:b/>
              <w:sz w:val="22"/>
              <w:szCs w:val="22"/>
            </w:rPr>
            <w:t>TABLE OF CONTENTS</w:t>
          </w:r>
        </w:p>
        <w:p w14:paraId="437F4617" w14:textId="2728561D" w:rsidR="002F6768" w:rsidRPr="00540679" w:rsidRDefault="002F6768" w:rsidP="002F6768">
          <w:pPr>
            <w:pStyle w:val="TOC1"/>
            <w:rPr>
              <w:sz w:val="22"/>
              <w:szCs w:val="22"/>
            </w:rPr>
          </w:pPr>
          <w:r w:rsidRPr="00540679">
            <w:rPr>
              <w:sz w:val="22"/>
              <w:szCs w:val="22"/>
            </w:rPr>
            <w:t>PROTOCOL TITLE………………………………………………………………………...</w:t>
          </w:r>
          <w:r w:rsidR="001D1D12" w:rsidRPr="00540679">
            <w:rPr>
              <w:sz w:val="22"/>
              <w:szCs w:val="22"/>
            </w:rPr>
            <w:t>.</w:t>
          </w:r>
          <w:r w:rsidRPr="00540679">
            <w:rPr>
              <w:sz w:val="22"/>
              <w:szCs w:val="22"/>
            </w:rPr>
            <w:t>..</w:t>
          </w:r>
          <w:r w:rsidR="001D1D12" w:rsidRPr="00540679">
            <w:rPr>
              <w:sz w:val="22"/>
              <w:szCs w:val="22"/>
            </w:rPr>
            <w:t xml:space="preserve"> </w:t>
          </w:r>
          <w:r w:rsidR="005B6FF7" w:rsidRPr="00540679">
            <w:rPr>
              <w:sz w:val="22"/>
              <w:szCs w:val="22"/>
            </w:rPr>
            <w:t xml:space="preserve"> </w:t>
          </w:r>
          <w:r w:rsidRPr="00540679">
            <w:rPr>
              <w:sz w:val="22"/>
              <w:szCs w:val="22"/>
            </w:rPr>
            <w:t>1</w:t>
          </w:r>
        </w:p>
        <w:p w14:paraId="04B0B5ED" w14:textId="3D8EB7A7" w:rsidR="002F6768" w:rsidRPr="00540679" w:rsidRDefault="002F6768" w:rsidP="002F6768">
          <w:pPr>
            <w:pStyle w:val="TOC1"/>
            <w:rPr>
              <w:sz w:val="22"/>
              <w:szCs w:val="22"/>
            </w:rPr>
          </w:pPr>
          <w:r w:rsidRPr="00540679">
            <w:rPr>
              <w:sz w:val="22"/>
              <w:szCs w:val="22"/>
            </w:rPr>
            <w:t>SPONSOR…………………………………………………………………………………</w:t>
          </w:r>
          <w:proofErr w:type="gramStart"/>
          <w:r w:rsidRPr="00540679">
            <w:rPr>
              <w:sz w:val="22"/>
              <w:szCs w:val="22"/>
            </w:rPr>
            <w:t>…</w:t>
          </w:r>
          <w:r w:rsidR="001D1D12" w:rsidRPr="00540679">
            <w:rPr>
              <w:sz w:val="22"/>
              <w:szCs w:val="22"/>
            </w:rPr>
            <w:t>.</w:t>
          </w:r>
          <w:r w:rsidRPr="00540679">
            <w:rPr>
              <w:sz w:val="22"/>
              <w:szCs w:val="22"/>
            </w:rPr>
            <w:t>.</w:t>
          </w:r>
          <w:proofErr w:type="gramEnd"/>
          <w:r w:rsidR="001D1D12" w:rsidRPr="00540679">
            <w:rPr>
              <w:sz w:val="22"/>
              <w:szCs w:val="22"/>
            </w:rPr>
            <w:t xml:space="preserve"> </w:t>
          </w:r>
          <w:r w:rsidR="005B6FF7" w:rsidRPr="00540679">
            <w:rPr>
              <w:sz w:val="22"/>
              <w:szCs w:val="22"/>
            </w:rPr>
            <w:t xml:space="preserve"> </w:t>
          </w:r>
          <w:r w:rsidRPr="00540679">
            <w:rPr>
              <w:sz w:val="22"/>
              <w:szCs w:val="22"/>
            </w:rPr>
            <w:t>1</w:t>
          </w:r>
        </w:p>
        <w:p w14:paraId="0A400936" w14:textId="3F974FBB" w:rsidR="002F6768" w:rsidRPr="00540679" w:rsidRDefault="002F6768" w:rsidP="002F6768">
          <w:pPr>
            <w:pStyle w:val="TOC1"/>
            <w:rPr>
              <w:sz w:val="22"/>
              <w:szCs w:val="22"/>
            </w:rPr>
          </w:pPr>
          <w:r w:rsidRPr="00540679">
            <w:rPr>
              <w:sz w:val="22"/>
              <w:szCs w:val="22"/>
            </w:rPr>
            <w:t>PROJECT TEAM MEMBERS……………………………………………………………</w:t>
          </w:r>
          <w:proofErr w:type="gramStart"/>
          <w:r w:rsidRPr="00540679">
            <w:rPr>
              <w:sz w:val="22"/>
              <w:szCs w:val="22"/>
            </w:rPr>
            <w:t>…</w:t>
          </w:r>
          <w:r w:rsidR="00BF1341" w:rsidRPr="00540679">
            <w:rPr>
              <w:sz w:val="22"/>
              <w:szCs w:val="22"/>
            </w:rPr>
            <w:t>..</w:t>
          </w:r>
          <w:proofErr w:type="gramEnd"/>
          <w:r w:rsidR="00BF1341" w:rsidRPr="00540679">
            <w:rPr>
              <w:sz w:val="22"/>
              <w:szCs w:val="22"/>
            </w:rPr>
            <w:t xml:space="preserve"> </w:t>
          </w:r>
          <w:r w:rsidR="0095236D" w:rsidRPr="00540679">
            <w:rPr>
              <w:sz w:val="22"/>
              <w:szCs w:val="22"/>
            </w:rPr>
            <w:t>1</w:t>
          </w:r>
        </w:p>
        <w:p w14:paraId="55AE145D" w14:textId="2F747DAE" w:rsidR="002F6768" w:rsidRPr="00540679" w:rsidRDefault="002F6768" w:rsidP="002F6768">
          <w:pPr>
            <w:pStyle w:val="TOC1"/>
            <w:numPr>
              <w:ilvl w:val="0"/>
              <w:numId w:val="15"/>
            </w:numPr>
            <w:shd w:val="clear" w:color="auto" w:fill="FFFFFF" w:themeFill="background1"/>
            <w:ind w:right="-188"/>
            <w:rPr>
              <w:sz w:val="22"/>
              <w:szCs w:val="22"/>
            </w:rPr>
          </w:pPr>
          <w:r w:rsidRPr="00540679">
            <w:rPr>
              <w:sz w:val="22"/>
              <w:szCs w:val="22"/>
            </w:rPr>
            <w:t>SUMMARY…………………………………………………………………………</w:t>
          </w:r>
          <w:r w:rsidR="001D72F5" w:rsidRPr="00540679">
            <w:rPr>
              <w:sz w:val="22"/>
              <w:szCs w:val="22"/>
            </w:rPr>
            <w:t xml:space="preserve">… </w:t>
          </w:r>
          <w:r w:rsidR="00655EE5" w:rsidRPr="00540679">
            <w:rPr>
              <w:sz w:val="22"/>
              <w:szCs w:val="22"/>
            </w:rPr>
            <w:t xml:space="preserve"> </w:t>
          </w:r>
          <w:r w:rsidR="001A1A83" w:rsidRPr="00540679">
            <w:rPr>
              <w:sz w:val="22"/>
              <w:szCs w:val="22"/>
            </w:rPr>
            <w:t>5</w:t>
          </w:r>
        </w:p>
        <w:p w14:paraId="12501306" w14:textId="7E58F3CE" w:rsidR="002F6768" w:rsidRPr="00540679" w:rsidRDefault="002F6768" w:rsidP="002F6768">
          <w:pPr>
            <w:pStyle w:val="TOC1"/>
            <w:numPr>
              <w:ilvl w:val="0"/>
              <w:numId w:val="15"/>
            </w:numPr>
            <w:shd w:val="clear" w:color="auto" w:fill="FFFFFF" w:themeFill="background1"/>
            <w:ind w:right="-188"/>
            <w:rPr>
              <w:sz w:val="22"/>
              <w:szCs w:val="22"/>
            </w:rPr>
          </w:pPr>
          <w:r w:rsidRPr="00540679">
            <w:rPr>
              <w:sz w:val="22"/>
              <w:szCs w:val="22"/>
            </w:rPr>
            <w:t>BACKGROUND AND RATIONALE.……………………………………………</w:t>
          </w:r>
          <w:r w:rsidR="001D72F5" w:rsidRPr="00540679">
            <w:rPr>
              <w:sz w:val="22"/>
              <w:szCs w:val="22"/>
            </w:rPr>
            <w:t xml:space="preserve">… </w:t>
          </w:r>
          <w:r w:rsidR="00655EE5" w:rsidRPr="00540679">
            <w:rPr>
              <w:sz w:val="22"/>
              <w:szCs w:val="22"/>
            </w:rPr>
            <w:t xml:space="preserve"> 8</w:t>
          </w:r>
        </w:p>
        <w:p w14:paraId="24F67B7D" w14:textId="77777777" w:rsidR="002F6768" w:rsidRPr="00540679" w:rsidRDefault="002F6768" w:rsidP="002F6768">
          <w:pPr>
            <w:shd w:val="clear" w:color="auto" w:fill="FFFFFF" w:themeFill="background1"/>
            <w:ind w:right="-188"/>
            <w:rPr>
              <w:rFonts w:ascii="Arial" w:hAnsi="Arial" w:cs="Arial"/>
              <w:sz w:val="22"/>
              <w:szCs w:val="22"/>
            </w:rPr>
          </w:pPr>
          <w:r w:rsidRPr="00540679">
            <w:rPr>
              <w:rFonts w:ascii="Arial" w:hAnsi="Arial" w:cs="Arial"/>
              <w:sz w:val="22"/>
              <w:szCs w:val="22"/>
            </w:rPr>
            <w:t xml:space="preserve">                                                                                                                                        </w:t>
          </w:r>
        </w:p>
        <w:p w14:paraId="1EEC27A1" w14:textId="2CCDA572" w:rsidR="002F6768" w:rsidRPr="00540679" w:rsidRDefault="002F6768" w:rsidP="002F6768">
          <w:pPr>
            <w:pStyle w:val="ListParagraph"/>
            <w:numPr>
              <w:ilvl w:val="0"/>
              <w:numId w:val="15"/>
            </w:numPr>
            <w:shd w:val="clear" w:color="auto" w:fill="FFFFFF" w:themeFill="background1"/>
            <w:spacing w:after="0"/>
            <w:ind w:right="-330"/>
            <w:contextualSpacing/>
            <w:rPr>
              <w:rFonts w:ascii="Arial" w:hAnsi="Arial" w:cs="Arial"/>
              <w:b/>
              <w:bCs/>
              <w:sz w:val="22"/>
              <w:szCs w:val="22"/>
            </w:rPr>
          </w:pPr>
          <w:r w:rsidRPr="00540679">
            <w:rPr>
              <w:rFonts w:ascii="Arial" w:hAnsi="Arial" w:cs="Arial"/>
              <w:b/>
              <w:bCs/>
              <w:sz w:val="22"/>
              <w:szCs w:val="22"/>
            </w:rPr>
            <w:t>STUDY AIMS/OBJECTIVES……………………………………………………</w:t>
          </w:r>
          <w:proofErr w:type="gramStart"/>
          <w:r w:rsidRPr="00540679">
            <w:rPr>
              <w:rFonts w:ascii="Arial" w:hAnsi="Arial" w:cs="Arial"/>
              <w:b/>
              <w:bCs/>
              <w:sz w:val="22"/>
              <w:szCs w:val="22"/>
            </w:rPr>
            <w:t>…</w:t>
          </w:r>
          <w:r w:rsidR="001D72F5" w:rsidRPr="00540679">
            <w:rPr>
              <w:rFonts w:ascii="Arial" w:hAnsi="Arial" w:cs="Arial"/>
              <w:b/>
              <w:bCs/>
              <w:sz w:val="22"/>
              <w:szCs w:val="22"/>
            </w:rPr>
            <w:t>.</w:t>
          </w:r>
          <w:r w:rsidR="001E684A" w:rsidRPr="00540679">
            <w:rPr>
              <w:rFonts w:ascii="Arial" w:hAnsi="Arial" w:cs="Arial"/>
              <w:b/>
              <w:bCs/>
              <w:sz w:val="22"/>
              <w:szCs w:val="22"/>
            </w:rPr>
            <w:t>.</w:t>
          </w:r>
          <w:proofErr w:type="gramEnd"/>
          <w:r w:rsidR="001D72F5" w:rsidRPr="00540679">
            <w:rPr>
              <w:rFonts w:ascii="Arial" w:hAnsi="Arial" w:cs="Arial"/>
              <w:b/>
              <w:bCs/>
              <w:sz w:val="22"/>
              <w:szCs w:val="22"/>
            </w:rPr>
            <w:t xml:space="preserve"> </w:t>
          </w:r>
          <w:r w:rsidR="00F618D9" w:rsidRPr="00540679">
            <w:rPr>
              <w:rFonts w:ascii="Arial" w:hAnsi="Arial" w:cs="Arial"/>
              <w:b/>
              <w:bCs/>
              <w:sz w:val="22"/>
              <w:szCs w:val="22"/>
            </w:rPr>
            <w:t>10</w:t>
          </w:r>
        </w:p>
        <w:p w14:paraId="64B90E53"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2A6760E4" w14:textId="587A9723"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PARTICIPATING SITES…………………………………………………………</w:t>
          </w:r>
          <w:proofErr w:type="gramStart"/>
          <w:r w:rsidRPr="00540679">
            <w:rPr>
              <w:rFonts w:ascii="Arial" w:hAnsi="Arial" w:cs="Arial"/>
              <w:b/>
              <w:bCs/>
              <w:sz w:val="22"/>
              <w:szCs w:val="22"/>
            </w:rPr>
            <w:t>…</w:t>
          </w:r>
          <w:r w:rsidR="00DD4F66" w:rsidRPr="00540679">
            <w:rPr>
              <w:rFonts w:ascii="Arial" w:hAnsi="Arial" w:cs="Arial"/>
              <w:b/>
              <w:bCs/>
              <w:sz w:val="22"/>
              <w:szCs w:val="22"/>
            </w:rPr>
            <w:t>.</w:t>
          </w:r>
          <w:r w:rsidR="001E684A" w:rsidRPr="00540679">
            <w:rPr>
              <w:rFonts w:ascii="Arial" w:hAnsi="Arial" w:cs="Arial"/>
              <w:b/>
              <w:bCs/>
              <w:sz w:val="22"/>
              <w:szCs w:val="22"/>
            </w:rPr>
            <w:t>.</w:t>
          </w:r>
          <w:proofErr w:type="gramEnd"/>
          <w:r w:rsidR="00DD4F66" w:rsidRPr="00540679">
            <w:rPr>
              <w:rFonts w:ascii="Arial" w:hAnsi="Arial" w:cs="Arial"/>
              <w:b/>
              <w:bCs/>
              <w:sz w:val="22"/>
              <w:szCs w:val="22"/>
            </w:rPr>
            <w:t xml:space="preserve"> </w:t>
          </w:r>
          <w:r w:rsidR="001E684A" w:rsidRPr="00540679">
            <w:rPr>
              <w:rFonts w:ascii="Arial" w:hAnsi="Arial" w:cs="Arial"/>
              <w:b/>
              <w:bCs/>
              <w:sz w:val="22"/>
              <w:szCs w:val="22"/>
            </w:rPr>
            <w:t>10</w:t>
          </w:r>
        </w:p>
        <w:p w14:paraId="5AFCE364"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32AC67FE" w14:textId="6A10E881"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STUDY DESIGN…………………………………………………………………</w:t>
          </w:r>
          <w:proofErr w:type="gramStart"/>
          <w:r w:rsidRPr="00540679">
            <w:rPr>
              <w:rFonts w:ascii="Arial" w:hAnsi="Arial" w:cs="Arial"/>
              <w:b/>
              <w:bCs/>
              <w:sz w:val="22"/>
              <w:szCs w:val="22"/>
            </w:rPr>
            <w:t>…..</w:t>
          </w:r>
          <w:proofErr w:type="gramEnd"/>
          <w:r w:rsidR="00DD4F66" w:rsidRPr="00540679">
            <w:rPr>
              <w:rFonts w:ascii="Arial" w:hAnsi="Arial" w:cs="Arial"/>
              <w:b/>
              <w:bCs/>
              <w:sz w:val="22"/>
              <w:szCs w:val="22"/>
            </w:rPr>
            <w:t xml:space="preserve">  </w:t>
          </w:r>
          <w:r w:rsidRPr="00540679">
            <w:rPr>
              <w:rFonts w:ascii="Arial" w:hAnsi="Arial" w:cs="Arial"/>
              <w:b/>
              <w:bCs/>
              <w:sz w:val="22"/>
              <w:szCs w:val="22"/>
            </w:rPr>
            <w:t>1</w:t>
          </w:r>
          <w:r w:rsidR="00964B9F" w:rsidRPr="00540679">
            <w:rPr>
              <w:rFonts w:ascii="Arial" w:hAnsi="Arial" w:cs="Arial"/>
              <w:b/>
              <w:bCs/>
              <w:sz w:val="22"/>
              <w:szCs w:val="22"/>
            </w:rPr>
            <w:t>1</w:t>
          </w:r>
        </w:p>
        <w:p w14:paraId="1B1E4DFF"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74A2F77D" w14:textId="65000B4D"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DESIGN</w:t>
          </w:r>
          <w:r w:rsidR="00297797" w:rsidRPr="00540679">
            <w:rPr>
              <w:rFonts w:ascii="Arial" w:hAnsi="Arial" w:cs="Arial"/>
              <w:b/>
              <w:bCs/>
              <w:sz w:val="22"/>
              <w:szCs w:val="22"/>
            </w:rPr>
            <w:t xml:space="preserve"> AND SETTING</w:t>
          </w:r>
          <w:r w:rsidRPr="00540679">
            <w:rPr>
              <w:rFonts w:ascii="Arial" w:hAnsi="Arial" w:cs="Arial"/>
              <w:b/>
              <w:bCs/>
              <w:sz w:val="22"/>
              <w:szCs w:val="22"/>
            </w:rPr>
            <w:t>…………………………………………………………</w:t>
          </w:r>
          <w:proofErr w:type="gramStart"/>
          <w:r w:rsidRPr="00540679">
            <w:rPr>
              <w:rFonts w:ascii="Arial" w:hAnsi="Arial" w:cs="Arial"/>
              <w:b/>
              <w:bCs/>
              <w:sz w:val="22"/>
              <w:szCs w:val="22"/>
            </w:rPr>
            <w:t>…</w:t>
          </w:r>
          <w:r w:rsidR="005B6FF7" w:rsidRPr="00540679">
            <w:rPr>
              <w:rFonts w:ascii="Arial" w:hAnsi="Arial" w:cs="Arial"/>
              <w:b/>
              <w:bCs/>
              <w:sz w:val="22"/>
              <w:szCs w:val="22"/>
            </w:rPr>
            <w:t>.</w:t>
          </w:r>
          <w:r w:rsidR="00623E1D" w:rsidRPr="00540679">
            <w:rPr>
              <w:rFonts w:ascii="Arial" w:hAnsi="Arial" w:cs="Arial"/>
              <w:b/>
              <w:bCs/>
              <w:sz w:val="22"/>
              <w:szCs w:val="22"/>
            </w:rPr>
            <w:t>.</w:t>
          </w:r>
          <w:proofErr w:type="gramEnd"/>
          <w:r w:rsidR="00DD4F66" w:rsidRPr="00540679">
            <w:rPr>
              <w:rFonts w:ascii="Arial" w:hAnsi="Arial" w:cs="Arial"/>
              <w:b/>
              <w:bCs/>
              <w:sz w:val="22"/>
              <w:szCs w:val="22"/>
            </w:rPr>
            <w:t xml:space="preserve"> </w:t>
          </w:r>
          <w:r w:rsidRPr="00540679">
            <w:rPr>
              <w:rFonts w:ascii="Arial" w:hAnsi="Arial" w:cs="Arial"/>
              <w:b/>
              <w:bCs/>
              <w:sz w:val="22"/>
              <w:szCs w:val="22"/>
            </w:rPr>
            <w:t>1</w:t>
          </w:r>
          <w:r w:rsidR="007F5A94" w:rsidRPr="00540679">
            <w:rPr>
              <w:rFonts w:ascii="Arial" w:hAnsi="Arial" w:cs="Arial"/>
              <w:b/>
              <w:bCs/>
              <w:sz w:val="22"/>
              <w:szCs w:val="22"/>
            </w:rPr>
            <w:t>1</w:t>
          </w:r>
        </w:p>
        <w:p w14:paraId="6CCC4A0F"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74420C85" w14:textId="1589C11C"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C</w:t>
          </w:r>
          <w:r w:rsidR="002E58E4" w:rsidRPr="00540679">
            <w:rPr>
              <w:rFonts w:ascii="Arial" w:hAnsi="Arial" w:cs="Arial"/>
              <w:b/>
              <w:bCs/>
              <w:sz w:val="22"/>
              <w:szCs w:val="22"/>
            </w:rPr>
            <w:t>ONSUMER ENGAGEMENT……………………</w:t>
          </w:r>
          <w:r w:rsidRPr="00540679">
            <w:rPr>
              <w:rFonts w:ascii="Arial" w:hAnsi="Arial" w:cs="Arial"/>
              <w:b/>
              <w:bCs/>
              <w:sz w:val="22"/>
              <w:szCs w:val="22"/>
            </w:rPr>
            <w:t>………………………………...</w:t>
          </w:r>
          <w:r w:rsidR="00DD4F66" w:rsidRPr="00540679">
            <w:rPr>
              <w:rFonts w:ascii="Arial" w:hAnsi="Arial" w:cs="Arial"/>
              <w:b/>
              <w:bCs/>
              <w:sz w:val="22"/>
              <w:szCs w:val="22"/>
            </w:rPr>
            <w:t xml:space="preserve">  </w:t>
          </w:r>
          <w:r w:rsidRPr="00540679">
            <w:rPr>
              <w:rFonts w:ascii="Arial" w:hAnsi="Arial" w:cs="Arial"/>
              <w:b/>
              <w:bCs/>
              <w:sz w:val="22"/>
              <w:szCs w:val="22"/>
            </w:rPr>
            <w:t>1</w:t>
          </w:r>
          <w:r w:rsidR="00BE36AC" w:rsidRPr="00540679">
            <w:rPr>
              <w:rFonts w:ascii="Arial" w:hAnsi="Arial" w:cs="Arial"/>
              <w:b/>
              <w:bCs/>
              <w:sz w:val="22"/>
              <w:szCs w:val="22"/>
            </w:rPr>
            <w:t>2</w:t>
          </w:r>
        </w:p>
        <w:p w14:paraId="24E739E3"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55A47EC6" w14:textId="0E1D49C8"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INCLUSION CRITERIA…………………………………………………………</w:t>
          </w:r>
          <w:proofErr w:type="gramStart"/>
          <w:r w:rsidRPr="00540679">
            <w:rPr>
              <w:rFonts w:ascii="Arial" w:hAnsi="Arial" w:cs="Arial"/>
              <w:b/>
              <w:bCs/>
              <w:sz w:val="22"/>
              <w:szCs w:val="22"/>
            </w:rPr>
            <w:t>…..</w:t>
          </w:r>
          <w:proofErr w:type="gramEnd"/>
          <w:r w:rsidR="005B6FF7" w:rsidRPr="00540679">
            <w:rPr>
              <w:rFonts w:ascii="Arial" w:hAnsi="Arial" w:cs="Arial"/>
              <w:b/>
              <w:bCs/>
              <w:sz w:val="22"/>
              <w:szCs w:val="22"/>
            </w:rPr>
            <w:t xml:space="preserve">  </w:t>
          </w:r>
          <w:r w:rsidRPr="00540679">
            <w:rPr>
              <w:rFonts w:ascii="Arial" w:hAnsi="Arial" w:cs="Arial"/>
              <w:b/>
              <w:bCs/>
              <w:sz w:val="22"/>
              <w:szCs w:val="22"/>
            </w:rPr>
            <w:t>1</w:t>
          </w:r>
          <w:r w:rsidR="00BE36AC" w:rsidRPr="00540679">
            <w:rPr>
              <w:rFonts w:ascii="Arial" w:hAnsi="Arial" w:cs="Arial"/>
              <w:b/>
              <w:bCs/>
              <w:sz w:val="22"/>
              <w:szCs w:val="22"/>
            </w:rPr>
            <w:t>2</w:t>
          </w:r>
        </w:p>
        <w:p w14:paraId="22A04C72"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7AA17512" w14:textId="7AEC4C49"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EXCLUSION CRITERIA…………………………………………………………….</w:t>
          </w:r>
          <w:r w:rsidR="005B6FF7" w:rsidRPr="00540679">
            <w:rPr>
              <w:rFonts w:ascii="Arial" w:hAnsi="Arial" w:cs="Arial"/>
              <w:b/>
              <w:bCs/>
              <w:sz w:val="22"/>
              <w:szCs w:val="22"/>
            </w:rPr>
            <w:t xml:space="preserve"> </w:t>
          </w:r>
          <w:r w:rsidRPr="00540679">
            <w:rPr>
              <w:rFonts w:ascii="Arial" w:hAnsi="Arial" w:cs="Arial"/>
              <w:b/>
              <w:bCs/>
              <w:sz w:val="22"/>
              <w:szCs w:val="22"/>
            </w:rPr>
            <w:t>1</w:t>
          </w:r>
          <w:r w:rsidR="00BE36AC" w:rsidRPr="00540679">
            <w:rPr>
              <w:rFonts w:ascii="Arial" w:hAnsi="Arial" w:cs="Arial"/>
              <w:b/>
              <w:bCs/>
              <w:sz w:val="22"/>
              <w:szCs w:val="22"/>
            </w:rPr>
            <w:t>2</w:t>
          </w:r>
        </w:p>
        <w:p w14:paraId="1F153491"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0B8E706D" w14:textId="75BAFF71" w:rsidR="002F6768" w:rsidRPr="00540679" w:rsidRDefault="000A4C8F"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SCREENING</w:t>
          </w:r>
          <w:r w:rsidR="00235B7C">
            <w:rPr>
              <w:rFonts w:ascii="Arial" w:hAnsi="Arial" w:cs="Arial"/>
              <w:b/>
              <w:bCs/>
              <w:sz w:val="22"/>
              <w:szCs w:val="22"/>
            </w:rPr>
            <w:t xml:space="preserve">, </w:t>
          </w:r>
          <w:r w:rsidR="002F6768" w:rsidRPr="00540679">
            <w:rPr>
              <w:rFonts w:ascii="Arial" w:hAnsi="Arial" w:cs="Arial"/>
              <w:b/>
              <w:bCs/>
              <w:sz w:val="22"/>
              <w:szCs w:val="22"/>
            </w:rPr>
            <w:t>R</w:t>
          </w:r>
          <w:r w:rsidRPr="00540679">
            <w:rPr>
              <w:rFonts w:ascii="Arial" w:hAnsi="Arial" w:cs="Arial"/>
              <w:b/>
              <w:bCs/>
              <w:sz w:val="22"/>
              <w:szCs w:val="22"/>
            </w:rPr>
            <w:t>ECRUITMENT</w:t>
          </w:r>
          <w:r w:rsidR="00235B7C">
            <w:rPr>
              <w:rFonts w:ascii="Arial" w:hAnsi="Arial" w:cs="Arial"/>
              <w:b/>
              <w:bCs/>
              <w:sz w:val="22"/>
              <w:szCs w:val="22"/>
            </w:rPr>
            <w:t xml:space="preserve"> AND CONSENT</w:t>
          </w:r>
          <w:r w:rsidRPr="00540679">
            <w:rPr>
              <w:rFonts w:ascii="Arial" w:hAnsi="Arial" w:cs="Arial"/>
              <w:b/>
              <w:bCs/>
              <w:sz w:val="22"/>
              <w:szCs w:val="22"/>
            </w:rPr>
            <w:t>………………………………</w:t>
          </w:r>
          <w:r w:rsidR="00F1480E">
            <w:rPr>
              <w:rFonts w:ascii="Arial" w:hAnsi="Arial" w:cs="Arial"/>
              <w:b/>
              <w:bCs/>
              <w:sz w:val="22"/>
              <w:szCs w:val="22"/>
            </w:rPr>
            <w:t>…</w:t>
          </w:r>
          <w:r w:rsidR="005B6FF7" w:rsidRPr="00540679">
            <w:rPr>
              <w:rFonts w:ascii="Arial" w:hAnsi="Arial" w:cs="Arial"/>
              <w:b/>
              <w:bCs/>
              <w:sz w:val="22"/>
              <w:szCs w:val="22"/>
            </w:rPr>
            <w:t xml:space="preserve"> </w:t>
          </w:r>
          <w:r w:rsidR="002F6768" w:rsidRPr="00540679">
            <w:rPr>
              <w:rFonts w:ascii="Arial" w:hAnsi="Arial" w:cs="Arial"/>
              <w:b/>
              <w:bCs/>
              <w:sz w:val="22"/>
              <w:szCs w:val="22"/>
            </w:rPr>
            <w:t>1</w:t>
          </w:r>
          <w:r w:rsidR="00BE36AC" w:rsidRPr="00540679">
            <w:rPr>
              <w:rFonts w:ascii="Arial" w:hAnsi="Arial" w:cs="Arial"/>
              <w:b/>
              <w:bCs/>
              <w:sz w:val="22"/>
              <w:szCs w:val="22"/>
            </w:rPr>
            <w:t>2</w:t>
          </w:r>
        </w:p>
        <w:p w14:paraId="1B10EBE4" w14:textId="73363A3B" w:rsidR="000A4C8F" w:rsidRPr="00540679" w:rsidRDefault="000A4C8F" w:rsidP="002F6768">
          <w:pPr>
            <w:pStyle w:val="ListParagraph"/>
            <w:numPr>
              <w:ilvl w:val="0"/>
              <w:numId w:val="0"/>
            </w:numPr>
            <w:shd w:val="clear" w:color="auto" w:fill="FFFFFF" w:themeFill="background1"/>
            <w:ind w:left="720" w:right="-188"/>
            <w:rPr>
              <w:rFonts w:ascii="Arial" w:hAnsi="Arial" w:cs="Arial"/>
              <w:b/>
              <w:bCs/>
              <w:sz w:val="22"/>
              <w:szCs w:val="22"/>
            </w:rPr>
          </w:pPr>
        </w:p>
        <w:p w14:paraId="70984FAC" w14:textId="0DB61AB8" w:rsidR="000A4C8F" w:rsidRPr="00540679" w:rsidRDefault="000A4C8F" w:rsidP="000A4C8F">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RANDOMISATION………………………………………………………</w:t>
          </w:r>
          <w:proofErr w:type="gramStart"/>
          <w:r w:rsidRPr="00540679">
            <w:rPr>
              <w:rFonts w:ascii="Arial" w:hAnsi="Arial" w:cs="Arial"/>
              <w:b/>
              <w:bCs/>
              <w:sz w:val="22"/>
              <w:szCs w:val="22"/>
            </w:rPr>
            <w:t>…..</w:t>
          </w:r>
          <w:proofErr w:type="gramEnd"/>
          <w:r w:rsidRPr="00540679">
            <w:rPr>
              <w:rFonts w:ascii="Arial" w:hAnsi="Arial" w:cs="Arial"/>
              <w:b/>
              <w:bCs/>
              <w:sz w:val="22"/>
              <w:szCs w:val="22"/>
            </w:rPr>
            <w:t>………</w:t>
          </w:r>
          <w:r w:rsidR="005B6FF7" w:rsidRPr="00540679">
            <w:rPr>
              <w:rFonts w:ascii="Arial" w:hAnsi="Arial" w:cs="Arial"/>
              <w:b/>
              <w:bCs/>
              <w:sz w:val="22"/>
              <w:szCs w:val="22"/>
            </w:rPr>
            <w:t xml:space="preserve"> </w:t>
          </w:r>
          <w:r w:rsidRPr="00540679">
            <w:rPr>
              <w:rFonts w:ascii="Arial" w:hAnsi="Arial" w:cs="Arial"/>
              <w:b/>
              <w:bCs/>
              <w:sz w:val="22"/>
              <w:szCs w:val="22"/>
            </w:rPr>
            <w:t>1</w:t>
          </w:r>
          <w:r w:rsidR="00BE36AC" w:rsidRPr="00540679">
            <w:rPr>
              <w:rFonts w:ascii="Arial" w:hAnsi="Arial" w:cs="Arial"/>
              <w:b/>
              <w:bCs/>
              <w:sz w:val="22"/>
              <w:szCs w:val="22"/>
            </w:rPr>
            <w:t>2</w:t>
          </w:r>
        </w:p>
        <w:p w14:paraId="727BBF97"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48C9D27B" w14:textId="57105C62"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DES</w:t>
          </w:r>
          <w:r w:rsidR="2E7EF438" w:rsidRPr="00540679">
            <w:rPr>
              <w:rFonts w:ascii="Arial" w:hAnsi="Arial" w:cs="Arial"/>
              <w:b/>
              <w:bCs/>
              <w:sz w:val="22"/>
              <w:szCs w:val="22"/>
            </w:rPr>
            <w:t>C</w:t>
          </w:r>
          <w:r w:rsidRPr="00540679">
            <w:rPr>
              <w:rFonts w:ascii="Arial" w:hAnsi="Arial" w:cs="Arial"/>
              <w:b/>
              <w:bCs/>
              <w:sz w:val="22"/>
              <w:szCs w:val="22"/>
            </w:rPr>
            <w:t>RIPTION OF CONTROL ARM…………………………………………</w:t>
          </w:r>
          <w:r w:rsidR="00C33A23" w:rsidRPr="00540679">
            <w:rPr>
              <w:rFonts w:ascii="Arial" w:hAnsi="Arial" w:cs="Arial"/>
              <w:b/>
              <w:bCs/>
              <w:sz w:val="22"/>
              <w:szCs w:val="22"/>
            </w:rPr>
            <w:t xml:space="preserve">…... </w:t>
          </w:r>
          <w:r w:rsidRPr="00540679">
            <w:rPr>
              <w:rFonts w:ascii="Arial" w:hAnsi="Arial" w:cs="Arial"/>
              <w:b/>
              <w:bCs/>
              <w:sz w:val="22"/>
              <w:szCs w:val="22"/>
            </w:rPr>
            <w:t>1</w:t>
          </w:r>
          <w:r w:rsidR="001063CE">
            <w:rPr>
              <w:rFonts w:ascii="Arial" w:hAnsi="Arial" w:cs="Arial"/>
              <w:b/>
              <w:bCs/>
              <w:sz w:val="22"/>
              <w:szCs w:val="22"/>
            </w:rPr>
            <w:t>3</w:t>
          </w:r>
        </w:p>
        <w:p w14:paraId="6D57B94E" w14:textId="596CE670" w:rsidR="00421DF5" w:rsidRPr="00540679" w:rsidRDefault="00421DF5" w:rsidP="002F6768">
          <w:pPr>
            <w:pStyle w:val="ListParagraph"/>
            <w:numPr>
              <w:ilvl w:val="0"/>
              <w:numId w:val="0"/>
            </w:numPr>
            <w:shd w:val="clear" w:color="auto" w:fill="FFFFFF" w:themeFill="background1"/>
            <w:ind w:left="720" w:right="-188"/>
            <w:rPr>
              <w:rFonts w:ascii="Arial" w:hAnsi="Arial" w:cs="Arial"/>
              <w:b/>
              <w:bCs/>
              <w:sz w:val="22"/>
              <w:szCs w:val="22"/>
            </w:rPr>
          </w:pPr>
        </w:p>
        <w:p w14:paraId="11117ECA" w14:textId="6D21C6F4" w:rsidR="00421DF5" w:rsidRPr="00540679" w:rsidRDefault="00421DF5" w:rsidP="00421DF5">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DES</w:t>
          </w:r>
          <w:r w:rsidR="6C5F1F6B" w:rsidRPr="00540679">
            <w:rPr>
              <w:rFonts w:ascii="Arial" w:hAnsi="Arial" w:cs="Arial"/>
              <w:b/>
              <w:bCs/>
              <w:sz w:val="22"/>
              <w:szCs w:val="22"/>
            </w:rPr>
            <w:t>C</w:t>
          </w:r>
          <w:r w:rsidRPr="00540679">
            <w:rPr>
              <w:rFonts w:ascii="Arial" w:hAnsi="Arial" w:cs="Arial"/>
              <w:b/>
              <w:bCs/>
              <w:sz w:val="22"/>
              <w:szCs w:val="22"/>
            </w:rPr>
            <w:t xml:space="preserve">RIPTION OF </w:t>
          </w:r>
          <w:r w:rsidR="009A7664" w:rsidRPr="00540679">
            <w:rPr>
              <w:rFonts w:ascii="Arial" w:hAnsi="Arial" w:cs="Arial"/>
              <w:b/>
              <w:bCs/>
              <w:sz w:val="22"/>
              <w:szCs w:val="22"/>
            </w:rPr>
            <w:t>INTERVENTION</w:t>
          </w:r>
          <w:r w:rsidRPr="00540679">
            <w:rPr>
              <w:rFonts w:ascii="Arial" w:hAnsi="Arial" w:cs="Arial"/>
              <w:b/>
              <w:bCs/>
              <w:sz w:val="22"/>
              <w:szCs w:val="22"/>
            </w:rPr>
            <w:t xml:space="preserve"> ARM……………………………………</w:t>
          </w:r>
          <w:proofErr w:type="gramStart"/>
          <w:r w:rsidRPr="00540679">
            <w:rPr>
              <w:rFonts w:ascii="Arial" w:hAnsi="Arial" w:cs="Arial"/>
              <w:b/>
              <w:bCs/>
              <w:sz w:val="22"/>
              <w:szCs w:val="22"/>
            </w:rPr>
            <w:t>…</w:t>
          </w:r>
          <w:r w:rsidR="008E62F6" w:rsidRPr="00540679">
            <w:rPr>
              <w:rFonts w:ascii="Arial" w:hAnsi="Arial" w:cs="Arial"/>
              <w:b/>
              <w:bCs/>
              <w:sz w:val="22"/>
              <w:szCs w:val="22"/>
            </w:rPr>
            <w:t>..</w:t>
          </w:r>
          <w:proofErr w:type="gramEnd"/>
          <w:r w:rsidRPr="00540679">
            <w:rPr>
              <w:rFonts w:ascii="Arial" w:hAnsi="Arial" w:cs="Arial"/>
              <w:b/>
              <w:bCs/>
              <w:sz w:val="22"/>
              <w:szCs w:val="22"/>
            </w:rPr>
            <w:t>1</w:t>
          </w:r>
          <w:r w:rsidR="00186FAD">
            <w:rPr>
              <w:rFonts w:ascii="Arial" w:hAnsi="Arial" w:cs="Arial"/>
              <w:b/>
              <w:bCs/>
              <w:sz w:val="22"/>
              <w:szCs w:val="22"/>
            </w:rPr>
            <w:t>3</w:t>
          </w:r>
        </w:p>
        <w:p w14:paraId="7747F8AD" w14:textId="1F1BFFE2" w:rsidR="008E62F6" w:rsidRPr="00540679" w:rsidRDefault="008E62F6" w:rsidP="00421DF5">
          <w:pPr>
            <w:pStyle w:val="ListParagraph"/>
            <w:numPr>
              <w:ilvl w:val="0"/>
              <w:numId w:val="0"/>
            </w:numPr>
            <w:shd w:val="clear" w:color="auto" w:fill="FFFFFF" w:themeFill="background1"/>
            <w:ind w:left="720" w:right="-188"/>
            <w:rPr>
              <w:rFonts w:ascii="Arial" w:hAnsi="Arial" w:cs="Arial"/>
              <w:b/>
              <w:bCs/>
              <w:sz w:val="22"/>
              <w:szCs w:val="22"/>
            </w:rPr>
          </w:pPr>
        </w:p>
        <w:p w14:paraId="3F4D525E" w14:textId="6DCF01A1" w:rsidR="008E62F6" w:rsidRPr="00540679" w:rsidRDefault="008E62F6" w:rsidP="008E62F6">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SAFETY MONITORING…………………………………………………………….</w:t>
          </w:r>
          <w:r w:rsidR="00062CDB" w:rsidRPr="00540679">
            <w:rPr>
              <w:rFonts w:ascii="Arial" w:hAnsi="Arial" w:cs="Arial"/>
              <w:b/>
              <w:bCs/>
              <w:sz w:val="22"/>
              <w:szCs w:val="22"/>
            </w:rPr>
            <w:t xml:space="preserve"> 1</w:t>
          </w:r>
          <w:r w:rsidR="006E56D2" w:rsidRPr="00540679">
            <w:rPr>
              <w:rFonts w:ascii="Arial" w:hAnsi="Arial" w:cs="Arial"/>
              <w:b/>
              <w:bCs/>
              <w:sz w:val="22"/>
              <w:szCs w:val="22"/>
            </w:rPr>
            <w:t>4</w:t>
          </w:r>
        </w:p>
        <w:p w14:paraId="05D4AFEA"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009E4EB0" w14:textId="4341714A" w:rsidR="00E257B7" w:rsidRPr="00540679" w:rsidRDefault="00E257B7" w:rsidP="00E257B7">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OUTCOMES………………………………………………………………………….</w:t>
          </w:r>
          <w:r w:rsidR="004C38F3" w:rsidRPr="00540679">
            <w:rPr>
              <w:rFonts w:ascii="Arial" w:hAnsi="Arial" w:cs="Arial"/>
              <w:b/>
              <w:bCs/>
              <w:sz w:val="22"/>
              <w:szCs w:val="22"/>
            </w:rPr>
            <w:t xml:space="preserve"> 1</w:t>
          </w:r>
          <w:r w:rsidR="006E56D2" w:rsidRPr="00540679">
            <w:rPr>
              <w:rFonts w:ascii="Arial" w:hAnsi="Arial" w:cs="Arial"/>
              <w:b/>
              <w:bCs/>
              <w:sz w:val="22"/>
              <w:szCs w:val="22"/>
            </w:rPr>
            <w:t>4</w:t>
          </w:r>
        </w:p>
        <w:p w14:paraId="68912FF6" w14:textId="24E9E868" w:rsidR="00894D18" w:rsidRPr="00540679" w:rsidRDefault="00894D18" w:rsidP="00E257B7">
          <w:pPr>
            <w:pStyle w:val="ListParagraph"/>
            <w:numPr>
              <w:ilvl w:val="0"/>
              <w:numId w:val="0"/>
            </w:numPr>
            <w:shd w:val="clear" w:color="auto" w:fill="FFFFFF" w:themeFill="background1"/>
            <w:ind w:left="720" w:right="-188"/>
            <w:rPr>
              <w:rFonts w:ascii="Arial" w:hAnsi="Arial" w:cs="Arial"/>
              <w:b/>
              <w:bCs/>
              <w:sz w:val="22"/>
              <w:szCs w:val="22"/>
            </w:rPr>
          </w:pPr>
        </w:p>
        <w:p w14:paraId="6D390A97" w14:textId="69EA4AF3" w:rsidR="00894D18" w:rsidRPr="00540679" w:rsidRDefault="00894D18" w:rsidP="00894D1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lastRenderedPageBreak/>
            <w:t>DATA COLLECTION METHOD………………………………………………</w:t>
          </w:r>
          <w:proofErr w:type="gramStart"/>
          <w:r w:rsidRPr="00540679">
            <w:rPr>
              <w:rFonts w:ascii="Arial" w:hAnsi="Arial" w:cs="Arial"/>
              <w:b/>
              <w:bCs/>
              <w:sz w:val="22"/>
              <w:szCs w:val="22"/>
            </w:rPr>
            <w:t>…</w:t>
          </w:r>
          <w:r w:rsidR="004C38F3" w:rsidRPr="00540679">
            <w:rPr>
              <w:rFonts w:ascii="Arial" w:hAnsi="Arial" w:cs="Arial"/>
              <w:b/>
              <w:bCs/>
              <w:sz w:val="22"/>
              <w:szCs w:val="22"/>
            </w:rPr>
            <w:t>.</w:t>
          </w:r>
          <w:r w:rsidR="00C01380" w:rsidRPr="00540679">
            <w:rPr>
              <w:rFonts w:ascii="Arial" w:hAnsi="Arial" w:cs="Arial"/>
              <w:b/>
              <w:bCs/>
              <w:sz w:val="22"/>
              <w:szCs w:val="22"/>
            </w:rPr>
            <w:t>.</w:t>
          </w:r>
          <w:proofErr w:type="gramEnd"/>
          <w:r w:rsidR="00C01380" w:rsidRPr="00540679">
            <w:rPr>
              <w:rFonts w:ascii="Arial" w:hAnsi="Arial" w:cs="Arial"/>
              <w:b/>
              <w:bCs/>
              <w:sz w:val="22"/>
              <w:szCs w:val="22"/>
            </w:rPr>
            <w:t xml:space="preserve"> </w:t>
          </w:r>
          <w:r w:rsidR="004C38F3" w:rsidRPr="00540679">
            <w:rPr>
              <w:rFonts w:ascii="Arial" w:hAnsi="Arial" w:cs="Arial"/>
              <w:b/>
              <w:bCs/>
              <w:sz w:val="22"/>
              <w:szCs w:val="22"/>
            </w:rPr>
            <w:t>1</w:t>
          </w:r>
          <w:r w:rsidR="00821ADE" w:rsidRPr="00540679">
            <w:rPr>
              <w:rFonts w:ascii="Arial" w:hAnsi="Arial" w:cs="Arial"/>
              <w:b/>
              <w:bCs/>
              <w:sz w:val="22"/>
              <w:szCs w:val="22"/>
            </w:rPr>
            <w:t>5</w:t>
          </w:r>
        </w:p>
        <w:p w14:paraId="51379130" w14:textId="77777777" w:rsidR="00061ADB" w:rsidRPr="00540679" w:rsidRDefault="00061ADB" w:rsidP="002F6768">
          <w:pPr>
            <w:pStyle w:val="ListParagraph"/>
            <w:numPr>
              <w:ilvl w:val="0"/>
              <w:numId w:val="0"/>
            </w:numPr>
            <w:shd w:val="clear" w:color="auto" w:fill="FFFFFF" w:themeFill="background1"/>
            <w:ind w:left="720" w:right="-188"/>
            <w:rPr>
              <w:rFonts w:ascii="Arial" w:hAnsi="Arial" w:cs="Arial"/>
              <w:b/>
              <w:bCs/>
              <w:sz w:val="22"/>
              <w:szCs w:val="22"/>
            </w:rPr>
          </w:pPr>
        </w:p>
        <w:p w14:paraId="46E0424A" w14:textId="2853C8A5"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SAMPLE SIZE……………………………………………………………………</w:t>
          </w:r>
          <w:r w:rsidR="0042750E" w:rsidRPr="00540679">
            <w:rPr>
              <w:rFonts w:ascii="Arial" w:hAnsi="Arial" w:cs="Arial"/>
              <w:b/>
              <w:bCs/>
              <w:sz w:val="22"/>
              <w:szCs w:val="22"/>
            </w:rPr>
            <w:t>…</w:t>
          </w:r>
          <w:r w:rsidR="005B6FF7" w:rsidRPr="00540679">
            <w:rPr>
              <w:rFonts w:ascii="Arial" w:hAnsi="Arial" w:cs="Arial"/>
              <w:b/>
              <w:bCs/>
              <w:sz w:val="22"/>
              <w:szCs w:val="22"/>
            </w:rPr>
            <w:t xml:space="preserve"> </w:t>
          </w:r>
          <w:r w:rsidR="00C01380" w:rsidRPr="00540679">
            <w:rPr>
              <w:rFonts w:ascii="Arial" w:hAnsi="Arial" w:cs="Arial"/>
              <w:b/>
              <w:bCs/>
              <w:sz w:val="22"/>
              <w:szCs w:val="22"/>
            </w:rPr>
            <w:t>1</w:t>
          </w:r>
          <w:r w:rsidR="00821ADE" w:rsidRPr="00540679">
            <w:rPr>
              <w:rFonts w:ascii="Arial" w:hAnsi="Arial" w:cs="Arial"/>
              <w:b/>
              <w:bCs/>
              <w:sz w:val="22"/>
              <w:szCs w:val="22"/>
            </w:rPr>
            <w:t>5</w:t>
          </w:r>
        </w:p>
        <w:p w14:paraId="166FB278"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561E527A" w14:textId="43700EBD"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r w:rsidRPr="00540679">
            <w:rPr>
              <w:rFonts w:ascii="Arial" w:hAnsi="Arial" w:cs="Arial"/>
              <w:b/>
              <w:bCs/>
              <w:sz w:val="22"/>
              <w:szCs w:val="22"/>
            </w:rPr>
            <w:t>STATISTICAL ANALYSIS…………………………………………………………</w:t>
          </w:r>
          <w:r w:rsidR="005B6FF7" w:rsidRPr="00540679">
            <w:rPr>
              <w:rFonts w:ascii="Arial" w:hAnsi="Arial" w:cs="Arial"/>
              <w:b/>
              <w:bCs/>
              <w:sz w:val="22"/>
              <w:szCs w:val="22"/>
            </w:rPr>
            <w:t xml:space="preserve"> </w:t>
          </w:r>
          <w:r w:rsidRPr="00540679">
            <w:rPr>
              <w:rFonts w:ascii="Arial" w:hAnsi="Arial" w:cs="Arial"/>
              <w:b/>
              <w:bCs/>
              <w:sz w:val="22"/>
              <w:szCs w:val="22"/>
            </w:rPr>
            <w:t>1</w:t>
          </w:r>
          <w:r w:rsidR="00821ADE" w:rsidRPr="00540679">
            <w:rPr>
              <w:rFonts w:ascii="Arial" w:hAnsi="Arial" w:cs="Arial"/>
              <w:b/>
              <w:bCs/>
              <w:sz w:val="22"/>
              <w:szCs w:val="22"/>
            </w:rPr>
            <w:t>5</w:t>
          </w:r>
        </w:p>
        <w:p w14:paraId="4FCE0C88"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2EC39FA3" w14:textId="7C9860DE"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MILESTONES AND PERFORMANCE INDICATORS………………………</w:t>
          </w:r>
          <w:proofErr w:type="gramStart"/>
          <w:r w:rsidRPr="00540679">
            <w:rPr>
              <w:rFonts w:ascii="Arial" w:hAnsi="Arial" w:cs="Arial"/>
              <w:b/>
              <w:bCs/>
              <w:sz w:val="22"/>
              <w:szCs w:val="22"/>
            </w:rPr>
            <w:t>…..</w:t>
          </w:r>
          <w:proofErr w:type="gramEnd"/>
          <w:r w:rsidRPr="00540679">
            <w:rPr>
              <w:rFonts w:ascii="Arial" w:hAnsi="Arial" w:cs="Arial"/>
              <w:b/>
              <w:bCs/>
              <w:sz w:val="22"/>
              <w:szCs w:val="22"/>
            </w:rPr>
            <w:t>1</w:t>
          </w:r>
          <w:r w:rsidR="004F5D1F" w:rsidRPr="00540679">
            <w:rPr>
              <w:rFonts w:ascii="Arial" w:hAnsi="Arial" w:cs="Arial"/>
              <w:b/>
              <w:bCs/>
              <w:sz w:val="22"/>
              <w:szCs w:val="22"/>
            </w:rPr>
            <w:t>7</w:t>
          </w:r>
        </w:p>
        <w:p w14:paraId="02FE0A76" w14:textId="66E3FD99" w:rsidR="009A6410" w:rsidRPr="00540679" w:rsidRDefault="009A6410" w:rsidP="009A6410">
          <w:pPr>
            <w:pStyle w:val="ListParagraph"/>
            <w:numPr>
              <w:ilvl w:val="0"/>
              <w:numId w:val="0"/>
            </w:numPr>
            <w:shd w:val="clear" w:color="auto" w:fill="FFFFFF" w:themeFill="background1"/>
            <w:spacing w:after="0"/>
            <w:ind w:left="720" w:right="-188"/>
            <w:contextualSpacing/>
            <w:rPr>
              <w:rFonts w:ascii="Arial" w:hAnsi="Arial" w:cs="Arial"/>
              <w:b/>
              <w:bCs/>
              <w:sz w:val="22"/>
              <w:szCs w:val="22"/>
            </w:rPr>
          </w:pPr>
        </w:p>
        <w:p w14:paraId="45DF2418" w14:textId="4B63D345"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RISK MANAGEMENT PLAN……………………………………………………….1</w:t>
          </w:r>
          <w:r w:rsidR="004F5D1F" w:rsidRPr="00540679">
            <w:rPr>
              <w:rFonts w:ascii="Arial" w:hAnsi="Arial" w:cs="Arial"/>
              <w:b/>
              <w:bCs/>
              <w:sz w:val="22"/>
              <w:szCs w:val="22"/>
            </w:rPr>
            <w:t>8</w:t>
          </w:r>
        </w:p>
        <w:p w14:paraId="1E770EE0" w14:textId="77777777" w:rsidR="00104CFC" w:rsidRPr="00540679" w:rsidRDefault="00104CFC" w:rsidP="00104CFC">
          <w:pPr>
            <w:pStyle w:val="ListParagraph"/>
            <w:numPr>
              <w:ilvl w:val="0"/>
              <w:numId w:val="0"/>
            </w:numPr>
            <w:ind w:left="720"/>
            <w:rPr>
              <w:rFonts w:ascii="Arial" w:hAnsi="Arial" w:cs="Arial"/>
              <w:b/>
              <w:bCs/>
              <w:sz w:val="22"/>
              <w:szCs w:val="22"/>
            </w:rPr>
          </w:pPr>
        </w:p>
        <w:p w14:paraId="565F3B69" w14:textId="5388EE38" w:rsidR="00104CFC" w:rsidRPr="00540679" w:rsidRDefault="00104CFC"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ETHICAL CONSIDERATIONS…………………………………………………</w:t>
          </w:r>
          <w:proofErr w:type="gramStart"/>
          <w:r w:rsidRPr="00540679">
            <w:rPr>
              <w:rFonts w:ascii="Arial" w:hAnsi="Arial" w:cs="Arial"/>
              <w:b/>
              <w:bCs/>
              <w:sz w:val="22"/>
              <w:szCs w:val="22"/>
            </w:rPr>
            <w:t>…..</w:t>
          </w:r>
          <w:proofErr w:type="gramEnd"/>
          <w:r w:rsidR="00B63167" w:rsidRPr="00540679">
            <w:rPr>
              <w:rFonts w:ascii="Arial" w:hAnsi="Arial" w:cs="Arial"/>
              <w:b/>
              <w:bCs/>
              <w:sz w:val="22"/>
              <w:szCs w:val="22"/>
            </w:rPr>
            <w:t>1</w:t>
          </w:r>
          <w:r w:rsidR="00B400C3" w:rsidRPr="00540679">
            <w:rPr>
              <w:rFonts w:ascii="Arial" w:hAnsi="Arial" w:cs="Arial"/>
              <w:b/>
              <w:bCs/>
              <w:sz w:val="22"/>
              <w:szCs w:val="22"/>
            </w:rPr>
            <w:t>9</w:t>
          </w:r>
        </w:p>
        <w:p w14:paraId="1C787E8B" w14:textId="77777777" w:rsidR="002F6768" w:rsidRPr="00540679" w:rsidRDefault="002F6768" w:rsidP="002F6768">
          <w:pPr>
            <w:pStyle w:val="ListParagraph"/>
            <w:numPr>
              <w:ilvl w:val="0"/>
              <w:numId w:val="0"/>
            </w:numPr>
            <w:ind w:left="720"/>
            <w:rPr>
              <w:rFonts w:ascii="Arial" w:hAnsi="Arial" w:cs="Arial"/>
              <w:b/>
              <w:bCs/>
              <w:sz w:val="22"/>
              <w:szCs w:val="22"/>
            </w:rPr>
          </w:pPr>
        </w:p>
        <w:p w14:paraId="13A7C80D" w14:textId="6C058727" w:rsidR="00C81CC0" w:rsidRPr="00540679" w:rsidRDefault="00C81CC0"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sz w:val="22"/>
              <w:szCs w:val="22"/>
            </w:rPr>
            <w:t>DATA LINKAGE</w:t>
          </w:r>
          <w:r w:rsidR="00DA4A9D" w:rsidRPr="00540679">
            <w:rPr>
              <w:rFonts w:ascii="Arial" w:hAnsi="Arial" w:cs="Arial"/>
              <w:b/>
              <w:sz w:val="22"/>
              <w:szCs w:val="22"/>
            </w:rPr>
            <w:t>…………………………………………………………………</w:t>
          </w:r>
          <w:proofErr w:type="gramStart"/>
          <w:r w:rsidR="00DA4A9D" w:rsidRPr="00540679">
            <w:rPr>
              <w:rFonts w:ascii="Arial" w:hAnsi="Arial" w:cs="Arial"/>
              <w:b/>
              <w:sz w:val="22"/>
              <w:szCs w:val="22"/>
            </w:rPr>
            <w:t>…..</w:t>
          </w:r>
          <w:proofErr w:type="gramEnd"/>
          <w:r w:rsidR="00DA4A9D" w:rsidRPr="00540679">
            <w:rPr>
              <w:rFonts w:ascii="Arial" w:hAnsi="Arial" w:cs="Arial"/>
              <w:b/>
              <w:sz w:val="22"/>
              <w:szCs w:val="22"/>
            </w:rPr>
            <w:t xml:space="preserve"> </w:t>
          </w:r>
          <w:r w:rsidR="00B400C3" w:rsidRPr="00540679">
            <w:rPr>
              <w:rFonts w:ascii="Arial" w:hAnsi="Arial" w:cs="Arial"/>
              <w:b/>
              <w:sz w:val="22"/>
              <w:szCs w:val="22"/>
            </w:rPr>
            <w:t>20</w:t>
          </w:r>
        </w:p>
        <w:p w14:paraId="26B2613B" w14:textId="77777777" w:rsidR="00C81CC0" w:rsidRPr="00540679" w:rsidRDefault="00C81CC0" w:rsidP="00C81CC0">
          <w:pPr>
            <w:pStyle w:val="ListParagraph"/>
            <w:numPr>
              <w:ilvl w:val="0"/>
              <w:numId w:val="0"/>
            </w:numPr>
            <w:ind w:left="720"/>
            <w:rPr>
              <w:rFonts w:ascii="Arial" w:hAnsi="Arial" w:cs="Arial"/>
              <w:b/>
              <w:bCs/>
              <w:sz w:val="22"/>
              <w:szCs w:val="22"/>
            </w:rPr>
          </w:pPr>
        </w:p>
        <w:p w14:paraId="489F0EB2" w14:textId="7440DCDE"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DATA STORAGE AND RECORD RETENTION…………………………….......</w:t>
          </w:r>
          <w:r w:rsidR="009A7377" w:rsidRPr="00540679">
            <w:rPr>
              <w:rFonts w:ascii="Arial" w:hAnsi="Arial" w:cs="Arial"/>
              <w:b/>
              <w:bCs/>
              <w:sz w:val="22"/>
              <w:szCs w:val="22"/>
            </w:rPr>
            <w:t xml:space="preserve"> </w:t>
          </w:r>
          <w:r w:rsidR="00B400C3" w:rsidRPr="00540679">
            <w:rPr>
              <w:rFonts w:ascii="Arial" w:hAnsi="Arial" w:cs="Arial"/>
              <w:b/>
              <w:bCs/>
              <w:sz w:val="22"/>
              <w:szCs w:val="22"/>
            </w:rPr>
            <w:t>20</w:t>
          </w:r>
        </w:p>
        <w:p w14:paraId="46B57506" w14:textId="77777777" w:rsidR="00E370C1" w:rsidRPr="00540679" w:rsidRDefault="00E370C1" w:rsidP="00E370C1">
          <w:pPr>
            <w:pStyle w:val="ListParagraph"/>
            <w:numPr>
              <w:ilvl w:val="0"/>
              <w:numId w:val="0"/>
            </w:numPr>
            <w:ind w:left="720"/>
            <w:rPr>
              <w:rFonts w:ascii="Arial" w:hAnsi="Arial" w:cs="Arial"/>
              <w:b/>
              <w:bCs/>
              <w:sz w:val="22"/>
              <w:szCs w:val="22"/>
            </w:rPr>
          </w:pPr>
        </w:p>
        <w:p w14:paraId="6E920426" w14:textId="1CDD4BD4" w:rsidR="00D2282A" w:rsidRPr="00540679" w:rsidRDefault="00D2282A" w:rsidP="00965CAA">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SAFETY REPORTING</w:t>
          </w:r>
          <w:r w:rsidR="00965CAA" w:rsidRPr="00540679">
            <w:rPr>
              <w:rFonts w:ascii="Arial" w:hAnsi="Arial" w:cs="Arial"/>
              <w:b/>
              <w:bCs/>
              <w:sz w:val="22"/>
              <w:szCs w:val="22"/>
            </w:rPr>
            <w:t>………………………………………………………………</w:t>
          </w:r>
          <w:r w:rsidR="00836222" w:rsidRPr="00540679">
            <w:rPr>
              <w:rFonts w:ascii="Arial" w:hAnsi="Arial" w:cs="Arial"/>
              <w:b/>
              <w:bCs/>
              <w:sz w:val="22"/>
              <w:szCs w:val="22"/>
            </w:rPr>
            <w:t xml:space="preserve"> 20</w:t>
          </w:r>
        </w:p>
        <w:p w14:paraId="7531239E" w14:textId="77777777" w:rsidR="00A16D7C" w:rsidRPr="00540679" w:rsidRDefault="00A16D7C" w:rsidP="000222C3">
          <w:pPr>
            <w:pStyle w:val="ListParagraph"/>
            <w:numPr>
              <w:ilvl w:val="0"/>
              <w:numId w:val="0"/>
            </w:numPr>
            <w:ind w:left="720"/>
            <w:rPr>
              <w:rFonts w:ascii="Arial" w:hAnsi="Arial" w:cs="Arial"/>
              <w:b/>
              <w:bCs/>
              <w:sz w:val="22"/>
              <w:szCs w:val="22"/>
            </w:rPr>
          </w:pPr>
        </w:p>
        <w:p w14:paraId="3C29CBEE" w14:textId="48270AFC" w:rsidR="000222C3" w:rsidRPr="00540679" w:rsidRDefault="000222C3" w:rsidP="000222C3">
          <w:pPr>
            <w:pStyle w:val="ListParagraph"/>
            <w:numPr>
              <w:ilvl w:val="0"/>
              <w:numId w:val="15"/>
            </w:numPr>
            <w:spacing w:line="276" w:lineRule="auto"/>
            <w:rPr>
              <w:rFonts w:ascii="Arial" w:hAnsi="Arial" w:cs="Arial"/>
              <w:b/>
              <w:bCs/>
              <w:sz w:val="22"/>
              <w:szCs w:val="22"/>
            </w:rPr>
          </w:pPr>
          <w:r w:rsidRPr="00540679">
            <w:rPr>
              <w:rFonts w:ascii="Arial" w:hAnsi="Arial" w:cs="Arial"/>
              <w:b/>
              <w:bCs/>
              <w:sz w:val="22"/>
              <w:szCs w:val="22"/>
            </w:rPr>
            <w:t>DATA SAFETY AND MONITORING BOARD</w:t>
          </w:r>
          <w:r w:rsidR="00381AAF" w:rsidRPr="00540679">
            <w:rPr>
              <w:rFonts w:ascii="Arial" w:hAnsi="Arial" w:cs="Arial"/>
              <w:b/>
              <w:bCs/>
              <w:sz w:val="22"/>
              <w:szCs w:val="22"/>
            </w:rPr>
            <w:t>……………………………………</w:t>
          </w:r>
          <w:r w:rsidR="00D22AAB" w:rsidRPr="00540679">
            <w:rPr>
              <w:rFonts w:ascii="Arial" w:hAnsi="Arial" w:cs="Arial"/>
              <w:b/>
              <w:bCs/>
              <w:sz w:val="22"/>
              <w:szCs w:val="22"/>
            </w:rPr>
            <w:t xml:space="preserve"> 20</w:t>
          </w:r>
        </w:p>
        <w:p w14:paraId="22FF5B37" w14:textId="77777777" w:rsidR="00381AAF" w:rsidRPr="00540679" w:rsidRDefault="00381AAF" w:rsidP="0000777E">
          <w:pPr>
            <w:pStyle w:val="ListParagraph"/>
            <w:numPr>
              <w:ilvl w:val="0"/>
              <w:numId w:val="0"/>
            </w:numPr>
            <w:ind w:left="720"/>
            <w:rPr>
              <w:rFonts w:ascii="Arial" w:hAnsi="Arial" w:cs="Arial"/>
              <w:b/>
              <w:bCs/>
              <w:sz w:val="22"/>
              <w:szCs w:val="22"/>
            </w:rPr>
          </w:pPr>
        </w:p>
        <w:p w14:paraId="3D359467" w14:textId="2EFA94DA"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EARLY TERMINATION (IF APPLICABLE) ……………………………………...</w:t>
          </w:r>
          <w:r w:rsidR="009A7377" w:rsidRPr="00540679">
            <w:rPr>
              <w:rFonts w:ascii="Arial" w:hAnsi="Arial" w:cs="Arial"/>
              <w:b/>
              <w:bCs/>
              <w:sz w:val="22"/>
              <w:szCs w:val="22"/>
            </w:rPr>
            <w:t xml:space="preserve"> </w:t>
          </w:r>
          <w:r w:rsidR="00D22AAB" w:rsidRPr="00540679">
            <w:rPr>
              <w:rFonts w:ascii="Arial" w:hAnsi="Arial" w:cs="Arial"/>
              <w:b/>
              <w:bCs/>
              <w:sz w:val="22"/>
              <w:szCs w:val="22"/>
            </w:rPr>
            <w:t>2</w:t>
          </w:r>
          <w:r w:rsidR="001C08A9" w:rsidRPr="00540679">
            <w:rPr>
              <w:rFonts w:ascii="Arial" w:hAnsi="Arial" w:cs="Arial"/>
              <w:b/>
              <w:bCs/>
              <w:sz w:val="22"/>
              <w:szCs w:val="22"/>
            </w:rPr>
            <w:t>0</w:t>
          </w:r>
        </w:p>
        <w:p w14:paraId="4B8B0BAF"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304C115E" w14:textId="08DC4104"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BLIDING AND UNBLIDING………………………………………………………...</w:t>
          </w:r>
          <w:r w:rsidR="009A7377" w:rsidRPr="00540679">
            <w:rPr>
              <w:rFonts w:ascii="Arial" w:hAnsi="Arial" w:cs="Arial"/>
              <w:b/>
              <w:bCs/>
              <w:sz w:val="22"/>
              <w:szCs w:val="22"/>
            </w:rPr>
            <w:t xml:space="preserve"> </w:t>
          </w:r>
          <w:r w:rsidR="00836222" w:rsidRPr="00540679">
            <w:rPr>
              <w:rFonts w:ascii="Arial" w:hAnsi="Arial" w:cs="Arial"/>
              <w:b/>
              <w:bCs/>
              <w:sz w:val="22"/>
              <w:szCs w:val="22"/>
            </w:rPr>
            <w:t>2</w:t>
          </w:r>
          <w:r w:rsidR="001C08A9" w:rsidRPr="00540679">
            <w:rPr>
              <w:rFonts w:ascii="Arial" w:hAnsi="Arial" w:cs="Arial"/>
              <w:b/>
              <w:bCs/>
              <w:sz w:val="22"/>
              <w:szCs w:val="22"/>
            </w:rPr>
            <w:t>0</w:t>
          </w:r>
        </w:p>
        <w:p w14:paraId="7142FFFD"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326379A2" w14:textId="490AD49D"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CONFLICT OF INTEREST……………………………………………………........</w:t>
          </w:r>
          <w:r w:rsidR="00836222" w:rsidRPr="00540679">
            <w:rPr>
              <w:rFonts w:ascii="Arial" w:hAnsi="Arial" w:cs="Arial"/>
              <w:b/>
              <w:bCs/>
              <w:sz w:val="22"/>
              <w:szCs w:val="22"/>
            </w:rPr>
            <w:t xml:space="preserve"> 2</w:t>
          </w:r>
          <w:r w:rsidR="00865B5F" w:rsidRPr="00540679">
            <w:rPr>
              <w:rFonts w:ascii="Arial" w:hAnsi="Arial" w:cs="Arial"/>
              <w:b/>
              <w:bCs/>
              <w:sz w:val="22"/>
              <w:szCs w:val="22"/>
            </w:rPr>
            <w:t>1</w:t>
          </w:r>
        </w:p>
        <w:p w14:paraId="2D3E04E8"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3F4F15F1" w14:textId="6439198F"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FUNDING…………………………………………………………………………</w:t>
          </w:r>
          <w:proofErr w:type="gramStart"/>
          <w:r w:rsidRPr="00540679">
            <w:rPr>
              <w:rFonts w:ascii="Arial" w:hAnsi="Arial" w:cs="Arial"/>
              <w:b/>
              <w:bCs/>
              <w:sz w:val="22"/>
              <w:szCs w:val="22"/>
            </w:rPr>
            <w:t>…..</w:t>
          </w:r>
          <w:proofErr w:type="gramEnd"/>
          <w:r w:rsidR="005B173C" w:rsidRPr="00540679">
            <w:rPr>
              <w:rFonts w:ascii="Arial" w:hAnsi="Arial" w:cs="Arial"/>
              <w:b/>
              <w:bCs/>
              <w:sz w:val="22"/>
              <w:szCs w:val="22"/>
            </w:rPr>
            <w:t xml:space="preserve"> </w:t>
          </w:r>
          <w:r w:rsidR="00B63167" w:rsidRPr="00540679">
            <w:rPr>
              <w:rFonts w:ascii="Arial" w:hAnsi="Arial" w:cs="Arial"/>
              <w:b/>
              <w:bCs/>
              <w:sz w:val="22"/>
              <w:szCs w:val="22"/>
            </w:rPr>
            <w:t>2</w:t>
          </w:r>
          <w:r w:rsidR="00865B5F" w:rsidRPr="00540679">
            <w:rPr>
              <w:rFonts w:ascii="Arial" w:hAnsi="Arial" w:cs="Arial"/>
              <w:b/>
              <w:bCs/>
              <w:sz w:val="22"/>
              <w:szCs w:val="22"/>
            </w:rPr>
            <w:t>1</w:t>
          </w:r>
        </w:p>
        <w:p w14:paraId="58099A56"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0372C2A4" w14:textId="0F4CA236"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RESEARCH OUTCOMES………………………………………………………</w:t>
          </w:r>
          <w:proofErr w:type="gramStart"/>
          <w:r w:rsidR="005B173C" w:rsidRPr="00540679">
            <w:rPr>
              <w:rFonts w:ascii="Arial" w:hAnsi="Arial" w:cs="Arial"/>
              <w:b/>
              <w:bCs/>
              <w:sz w:val="22"/>
              <w:szCs w:val="22"/>
            </w:rPr>
            <w:t>…..</w:t>
          </w:r>
          <w:proofErr w:type="gramEnd"/>
          <w:r w:rsidR="005B173C" w:rsidRPr="00540679">
            <w:rPr>
              <w:rFonts w:ascii="Arial" w:hAnsi="Arial" w:cs="Arial"/>
              <w:b/>
              <w:bCs/>
              <w:sz w:val="22"/>
              <w:szCs w:val="22"/>
            </w:rPr>
            <w:t xml:space="preserve"> </w:t>
          </w:r>
          <w:r w:rsidR="00B63167" w:rsidRPr="00540679">
            <w:rPr>
              <w:rFonts w:ascii="Arial" w:hAnsi="Arial" w:cs="Arial"/>
              <w:b/>
              <w:bCs/>
              <w:sz w:val="22"/>
              <w:szCs w:val="22"/>
            </w:rPr>
            <w:t>2</w:t>
          </w:r>
          <w:r w:rsidR="00865B5F" w:rsidRPr="00540679">
            <w:rPr>
              <w:rFonts w:ascii="Arial" w:hAnsi="Arial" w:cs="Arial"/>
              <w:b/>
              <w:bCs/>
              <w:sz w:val="22"/>
              <w:szCs w:val="22"/>
            </w:rPr>
            <w:t>1</w:t>
          </w:r>
        </w:p>
        <w:p w14:paraId="64A1C88B" w14:textId="77777777" w:rsidR="002F6768" w:rsidRPr="00540679" w:rsidRDefault="002F6768" w:rsidP="002F6768">
          <w:pPr>
            <w:pStyle w:val="ListParagraph"/>
            <w:numPr>
              <w:ilvl w:val="0"/>
              <w:numId w:val="0"/>
            </w:numPr>
            <w:shd w:val="clear" w:color="auto" w:fill="FFFFFF" w:themeFill="background1"/>
            <w:ind w:left="720" w:right="-188"/>
            <w:rPr>
              <w:rFonts w:ascii="Arial" w:hAnsi="Arial" w:cs="Arial"/>
              <w:b/>
              <w:bCs/>
              <w:sz w:val="22"/>
              <w:szCs w:val="22"/>
            </w:rPr>
          </w:pPr>
        </w:p>
        <w:p w14:paraId="2D977AD4" w14:textId="06025FAA" w:rsidR="002F6768" w:rsidRPr="00540679" w:rsidRDefault="002F6768" w:rsidP="002F6768">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REFERENCES……………………………………………………………………….</w:t>
          </w:r>
          <w:r w:rsidR="00BC2679" w:rsidRPr="00540679">
            <w:rPr>
              <w:rFonts w:ascii="Arial" w:hAnsi="Arial" w:cs="Arial"/>
              <w:b/>
              <w:bCs/>
              <w:sz w:val="22"/>
              <w:szCs w:val="22"/>
            </w:rPr>
            <w:t xml:space="preserve"> </w:t>
          </w:r>
          <w:r w:rsidR="00B63167" w:rsidRPr="00540679">
            <w:rPr>
              <w:rFonts w:ascii="Arial" w:hAnsi="Arial" w:cs="Arial"/>
              <w:b/>
              <w:bCs/>
              <w:sz w:val="22"/>
              <w:szCs w:val="22"/>
            </w:rPr>
            <w:t>2</w:t>
          </w:r>
          <w:r w:rsidR="00C679CD" w:rsidRPr="00540679">
            <w:rPr>
              <w:rFonts w:ascii="Arial" w:hAnsi="Arial" w:cs="Arial"/>
              <w:b/>
              <w:bCs/>
              <w:sz w:val="22"/>
              <w:szCs w:val="22"/>
            </w:rPr>
            <w:t>1</w:t>
          </w:r>
        </w:p>
        <w:p w14:paraId="247CAE15" w14:textId="77777777" w:rsidR="009467CB" w:rsidRPr="00540679" w:rsidRDefault="009467CB" w:rsidP="008954CF">
          <w:pPr>
            <w:ind w:left="360"/>
            <w:rPr>
              <w:rFonts w:ascii="Arial" w:hAnsi="Arial" w:cs="Arial"/>
              <w:b/>
              <w:bCs/>
              <w:sz w:val="22"/>
              <w:szCs w:val="22"/>
            </w:rPr>
          </w:pPr>
        </w:p>
        <w:p w14:paraId="4297FABC" w14:textId="75ADA440" w:rsidR="008954CF" w:rsidRPr="00540679" w:rsidRDefault="008954CF" w:rsidP="008954CF">
          <w:pPr>
            <w:pStyle w:val="ListParagraph"/>
            <w:numPr>
              <w:ilvl w:val="0"/>
              <w:numId w:val="15"/>
            </w:numPr>
            <w:shd w:val="clear" w:color="auto" w:fill="FFFFFF" w:themeFill="background1"/>
            <w:spacing w:after="0"/>
            <w:ind w:right="-188"/>
            <w:contextualSpacing/>
            <w:rPr>
              <w:rFonts w:ascii="Arial" w:hAnsi="Arial" w:cs="Arial"/>
              <w:b/>
              <w:bCs/>
              <w:sz w:val="22"/>
              <w:szCs w:val="22"/>
            </w:rPr>
          </w:pPr>
          <w:r w:rsidRPr="00540679">
            <w:rPr>
              <w:rFonts w:ascii="Arial" w:hAnsi="Arial" w:cs="Arial"/>
              <w:b/>
              <w:bCs/>
              <w:sz w:val="22"/>
              <w:szCs w:val="22"/>
            </w:rPr>
            <w:t>APPENDIX</w:t>
          </w:r>
          <w:r w:rsidR="00F20E13" w:rsidRPr="00540679">
            <w:rPr>
              <w:rFonts w:ascii="Arial" w:hAnsi="Arial" w:cs="Arial"/>
              <w:b/>
              <w:bCs/>
              <w:sz w:val="22"/>
              <w:szCs w:val="22"/>
            </w:rPr>
            <w:t>……...</w:t>
          </w:r>
          <w:r w:rsidRPr="00540679">
            <w:rPr>
              <w:rFonts w:ascii="Arial" w:hAnsi="Arial" w:cs="Arial"/>
              <w:b/>
              <w:bCs/>
              <w:sz w:val="22"/>
              <w:szCs w:val="22"/>
            </w:rPr>
            <w:t>……………………………………………………………………. 2</w:t>
          </w:r>
          <w:r w:rsidR="00B20E91" w:rsidRPr="00540679">
            <w:rPr>
              <w:rFonts w:ascii="Arial" w:hAnsi="Arial" w:cs="Arial"/>
              <w:b/>
              <w:bCs/>
              <w:sz w:val="22"/>
              <w:szCs w:val="22"/>
            </w:rPr>
            <w:t>3</w:t>
          </w:r>
        </w:p>
        <w:p w14:paraId="0590F110" w14:textId="77777777" w:rsidR="009467CB" w:rsidRPr="00540679" w:rsidRDefault="009467CB" w:rsidP="008954CF">
          <w:pPr>
            <w:pStyle w:val="ListParagraph"/>
            <w:numPr>
              <w:ilvl w:val="0"/>
              <w:numId w:val="0"/>
            </w:numPr>
            <w:shd w:val="clear" w:color="auto" w:fill="FFFFFF" w:themeFill="background1"/>
            <w:spacing w:after="0"/>
            <w:ind w:left="720" w:right="-188"/>
            <w:contextualSpacing/>
            <w:rPr>
              <w:rFonts w:ascii="Arial" w:hAnsi="Arial" w:cs="Arial"/>
              <w:b/>
              <w:bCs/>
              <w:sz w:val="22"/>
              <w:szCs w:val="22"/>
            </w:rPr>
          </w:pPr>
        </w:p>
        <w:p w14:paraId="274FD3EF" w14:textId="274C0809" w:rsidR="002F6768" w:rsidRPr="00540679" w:rsidRDefault="002F6768" w:rsidP="002F6768">
          <w:pPr>
            <w:pStyle w:val="ListParagraph"/>
            <w:numPr>
              <w:ilvl w:val="0"/>
              <w:numId w:val="0"/>
            </w:numPr>
            <w:shd w:val="clear" w:color="auto" w:fill="FFFFFF" w:themeFill="background1"/>
            <w:tabs>
              <w:tab w:val="right" w:pos="9214"/>
            </w:tabs>
            <w:ind w:left="720" w:right="-188"/>
            <w:rPr>
              <w:rFonts w:ascii="Arial" w:hAnsi="Arial" w:cs="Arial"/>
              <w:sz w:val="22"/>
              <w:szCs w:val="22"/>
            </w:rPr>
          </w:pPr>
          <w:r w:rsidRPr="00540679">
            <w:rPr>
              <w:rFonts w:ascii="Arial" w:hAnsi="Arial" w:cs="Arial"/>
              <w:sz w:val="22"/>
              <w:szCs w:val="22"/>
            </w:rPr>
            <w:tab/>
          </w:r>
        </w:p>
      </w:sdtContent>
    </w:sdt>
    <w:p w14:paraId="3C824527" w14:textId="57B03E15" w:rsidR="002F6768" w:rsidRPr="00540679" w:rsidRDefault="002F6768" w:rsidP="007E6D81">
      <w:pPr>
        <w:spacing w:line="276" w:lineRule="auto"/>
        <w:ind w:right="-188"/>
        <w:outlineLvl w:val="0"/>
        <w:rPr>
          <w:rFonts w:ascii="Arial" w:hAnsi="Arial" w:cs="Arial"/>
          <w:b/>
          <w:sz w:val="22"/>
          <w:szCs w:val="22"/>
        </w:rPr>
      </w:pPr>
    </w:p>
    <w:p w14:paraId="1F4A9535" w14:textId="01696187" w:rsidR="00DB7DCC" w:rsidRPr="00540679" w:rsidRDefault="00DB7DCC" w:rsidP="007E6D81">
      <w:pPr>
        <w:spacing w:line="276" w:lineRule="auto"/>
        <w:ind w:right="-188"/>
        <w:outlineLvl w:val="0"/>
        <w:rPr>
          <w:rFonts w:ascii="Arial" w:hAnsi="Arial" w:cs="Arial"/>
          <w:b/>
          <w:sz w:val="22"/>
          <w:szCs w:val="22"/>
        </w:rPr>
      </w:pPr>
    </w:p>
    <w:p w14:paraId="42CF3928" w14:textId="72D0CE50" w:rsidR="00DB7DCC" w:rsidRPr="00540679" w:rsidRDefault="00DB7DCC" w:rsidP="007E6D81">
      <w:pPr>
        <w:spacing w:line="276" w:lineRule="auto"/>
        <w:ind w:right="-188"/>
        <w:outlineLvl w:val="0"/>
        <w:rPr>
          <w:rFonts w:ascii="Arial" w:hAnsi="Arial" w:cs="Arial"/>
          <w:b/>
          <w:sz w:val="22"/>
          <w:szCs w:val="22"/>
        </w:rPr>
      </w:pPr>
    </w:p>
    <w:p w14:paraId="12A87A76" w14:textId="77777777" w:rsidR="00450484" w:rsidRPr="00540679" w:rsidRDefault="00450484" w:rsidP="00450484">
      <w:pPr>
        <w:pStyle w:val="ListParagraph"/>
        <w:numPr>
          <w:ilvl w:val="0"/>
          <w:numId w:val="11"/>
        </w:numPr>
        <w:spacing w:line="276" w:lineRule="auto"/>
        <w:outlineLvl w:val="0"/>
        <w:rPr>
          <w:rFonts w:ascii="Arial" w:hAnsi="Arial" w:cs="Arial"/>
          <w:b/>
          <w:sz w:val="22"/>
          <w:szCs w:val="22"/>
        </w:rPr>
      </w:pPr>
      <w:bookmarkStart w:id="9" w:name="_Toc23337545"/>
      <w:r w:rsidRPr="00540679">
        <w:rPr>
          <w:rFonts w:ascii="Arial" w:hAnsi="Arial" w:cs="Arial"/>
          <w:b/>
          <w:sz w:val="22"/>
          <w:szCs w:val="22"/>
        </w:rPr>
        <w:t>SUMMARY</w:t>
      </w:r>
      <w:bookmarkEnd w:id="9"/>
    </w:p>
    <w:tbl>
      <w:tblPr>
        <w:tblW w:w="946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6906"/>
      </w:tblGrid>
      <w:tr w:rsidR="00450484" w:rsidRPr="00540679" w14:paraId="31DFBAE3" w14:textId="77777777" w:rsidTr="2688972B">
        <w:trPr>
          <w:trHeight w:val="951"/>
        </w:trPr>
        <w:tc>
          <w:tcPr>
            <w:tcW w:w="2560" w:type="dxa"/>
            <w:hideMark/>
          </w:tcPr>
          <w:p w14:paraId="0856AB22" w14:textId="77777777" w:rsidR="00450484" w:rsidRPr="00540679" w:rsidRDefault="00450484" w:rsidP="00B400B4">
            <w:pPr>
              <w:rPr>
                <w:rFonts w:ascii="Arial" w:hAnsi="Arial" w:cs="Arial"/>
                <w:sz w:val="22"/>
                <w:szCs w:val="22"/>
              </w:rPr>
            </w:pPr>
            <w:r w:rsidRPr="00540679">
              <w:rPr>
                <w:rFonts w:ascii="Arial" w:hAnsi="Arial" w:cs="Arial"/>
                <w:sz w:val="22"/>
                <w:szCs w:val="22"/>
              </w:rPr>
              <w:t>Study Title</w:t>
            </w:r>
          </w:p>
        </w:tc>
        <w:tc>
          <w:tcPr>
            <w:tcW w:w="6906" w:type="dxa"/>
          </w:tcPr>
          <w:p w14:paraId="7FEFE98D" w14:textId="498C3D89" w:rsidR="00450484" w:rsidRPr="00540679" w:rsidRDefault="000A5F07" w:rsidP="00063F24">
            <w:pPr>
              <w:jc w:val="both"/>
              <w:rPr>
                <w:rFonts w:ascii="Arial" w:hAnsi="Arial" w:cs="Arial"/>
                <w:sz w:val="22"/>
                <w:szCs w:val="22"/>
              </w:rPr>
            </w:pPr>
            <w:r w:rsidRPr="00540679">
              <w:rPr>
                <w:rFonts w:ascii="Arial" w:hAnsi="Arial" w:cs="Arial"/>
                <w:sz w:val="22"/>
                <w:szCs w:val="22"/>
                <w:u w:val="single"/>
              </w:rPr>
              <w:t>T</w:t>
            </w:r>
            <w:r w:rsidRPr="00540679">
              <w:rPr>
                <w:rFonts w:ascii="Arial" w:hAnsi="Arial" w:cs="Arial"/>
                <w:sz w:val="22"/>
                <w:szCs w:val="22"/>
              </w:rPr>
              <w:t xml:space="preserve">imely post-discharge medication reviews to </w:t>
            </w:r>
            <w:r w:rsidRPr="00540679">
              <w:rPr>
                <w:rFonts w:ascii="Arial" w:hAnsi="Arial" w:cs="Arial"/>
                <w:sz w:val="22"/>
                <w:szCs w:val="22"/>
                <w:u w:val="single"/>
              </w:rPr>
              <w:t>I</w:t>
            </w:r>
            <w:r w:rsidRPr="00540679">
              <w:rPr>
                <w:rFonts w:ascii="Arial" w:hAnsi="Arial" w:cs="Arial"/>
                <w:sz w:val="22"/>
                <w:szCs w:val="22"/>
              </w:rPr>
              <w:t xml:space="preserve">mprove </w:t>
            </w:r>
            <w:r w:rsidRPr="00540679">
              <w:rPr>
                <w:rFonts w:ascii="Arial" w:hAnsi="Arial" w:cs="Arial"/>
                <w:sz w:val="22"/>
                <w:szCs w:val="22"/>
                <w:u w:val="single"/>
              </w:rPr>
              <w:t>C</w:t>
            </w:r>
            <w:r w:rsidRPr="00540679">
              <w:rPr>
                <w:rFonts w:ascii="Arial" w:hAnsi="Arial" w:cs="Arial"/>
                <w:sz w:val="22"/>
                <w:szCs w:val="22"/>
              </w:rPr>
              <w:t xml:space="preserve">ontinuity – the </w:t>
            </w:r>
            <w:r w:rsidRPr="00540679">
              <w:rPr>
                <w:rFonts w:ascii="Arial" w:hAnsi="Arial" w:cs="Arial"/>
                <w:sz w:val="22"/>
                <w:szCs w:val="22"/>
                <w:u w:val="single"/>
              </w:rPr>
              <w:t>T</w:t>
            </w:r>
            <w:r w:rsidRPr="00540679">
              <w:rPr>
                <w:rFonts w:ascii="Arial" w:hAnsi="Arial" w:cs="Arial"/>
                <w:sz w:val="22"/>
                <w:szCs w:val="22"/>
              </w:rPr>
              <w:t xml:space="preserve">ransitions </w:t>
            </w:r>
            <w:r w:rsidRPr="00540679">
              <w:rPr>
                <w:rFonts w:ascii="Arial" w:hAnsi="Arial" w:cs="Arial"/>
                <w:sz w:val="22"/>
                <w:szCs w:val="22"/>
                <w:u w:val="single"/>
              </w:rPr>
              <w:t>O</w:t>
            </w:r>
            <w:r w:rsidRPr="00540679">
              <w:rPr>
                <w:rFonts w:ascii="Arial" w:hAnsi="Arial" w:cs="Arial"/>
                <w:sz w:val="22"/>
                <w:szCs w:val="22"/>
              </w:rPr>
              <w:t xml:space="preserve">f </w:t>
            </w:r>
            <w:r w:rsidRPr="00540679">
              <w:rPr>
                <w:rFonts w:ascii="Arial" w:hAnsi="Arial" w:cs="Arial"/>
                <w:sz w:val="22"/>
                <w:szCs w:val="22"/>
                <w:u w:val="single"/>
              </w:rPr>
              <w:t>C</w:t>
            </w:r>
            <w:r w:rsidRPr="00540679">
              <w:rPr>
                <w:rFonts w:ascii="Arial" w:hAnsi="Arial" w:cs="Arial"/>
                <w:sz w:val="22"/>
                <w:szCs w:val="22"/>
              </w:rPr>
              <w:t>are stewardship (TIC TOC) study in rural and regional Australia.</w:t>
            </w:r>
          </w:p>
        </w:tc>
      </w:tr>
      <w:tr w:rsidR="00450484" w:rsidRPr="00540679" w14:paraId="64E73E4D" w14:textId="77777777" w:rsidTr="2688972B">
        <w:trPr>
          <w:trHeight w:val="4877"/>
        </w:trPr>
        <w:tc>
          <w:tcPr>
            <w:tcW w:w="2560" w:type="dxa"/>
            <w:hideMark/>
          </w:tcPr>
          <w:p w14:paraId="7EADD157" w14:textId="77777777" w:rsidR="00450484" w:rsidRPr="00540679" w:rsidRDefault="00450484" w:rsidP="00B400B4">
            <w:pPr>
              <w:rPr>
                <w:rFonts w:ascii="Arial" w:hAnsi="Arial" w:cs="Arial"/>
                <w:sz w:val="22"/>
                <w:szCs w:val="22"/>
              </w:rPr>
            </w:pPr>
            <w:r w:rsidRPr="00540679">
              <w:rPr>
                <w:rFonts w:ascii="Arial" w:hAnsi="Arial" w:cs="Arial"/>
                <w:sz w:val="22"/>
                <w:szCs w:val="22"/>
              </w:rPr>
              <w:lastRenderedPageBreak/>
              <w:t>Aims/Objectives</w:t>
            </w:r>
          </w:p>
        </w:tc>
        <w:tc>
          <w:tcPr>
            <w:tcW w:w="6906" w:type="dxa"/>
            <w:hideMark/>
          </w:tcPr>
          <w:p w14:paraId="3AFB1529" w14:textId="77777777" w:rsidR="00DA4F38" w:rsidRPr="00540679" w:rsidRDefault="00383603" w:rsidP="00063F24">
            <w:pPr>
              <w:jc w:val="both"/>
              <w:rPr>
                <w:rFonts w:ascii="Arial" w:hAnsi="Arial" w:cs="Arial"/>
                <w:color w:val="000000" w:themeColor="text1"/>
                <w:sz w:val="22"/>
                <w:szCs w:val="22"/>
              </w:rPr>
            </w:pPr>
            <w:r w:rsidRPr="00540679">
              <w:rPr>
                <w:rFonts w:ascii="Arial" w:hAnsi="Arial" w:cs="Arial"/>
                <w:color w:val="000000" w:themeColor="text1"/>
                <w:sz w:val="22"/>
                <w:szCs w:val="22"/>
              </w:rPr>
              <w:t>This research has three aims: (1) Determine the effectiveness of the TIC TOC intervention compared to usual care, (2) assess its cost-effectiveness, and (3) explore factors affecting its implementation.</w:t>
            </w:r>
          </w:p>
          <w:p w14:paraId="79589F98" w14:textId="77777777" w:rsidR="00DA4F38" w:rsidRPr="00540679" w:rsidRDefault="00DA4F38" w:rsidP="00063F24">
            <w:pPr>
              <w:jc w:val="both"/>
              <w:rPr>
                <w:rFonts w:ascii="Arial" w:hAnsi="Arial" w:cs="Arial"/>
                <w:sz w:val="22"/>
                <w:szCs w:val="22"/>
              </w:rPr>
            </w:pPr>
          </w:p>
          <w:p w14:paraId="6E5E8B00" w14:textId="402F8045" w:rsidR="002E66AF" w:rsidRPr="00540679" w:rsidRDefault="002E66AF" w:rsidP="00063F24">
            <w:pPr>
              <w:jc w:val="both"/>
              <w:rPr>
                <w:rFonts w:ascii="Arial" w:hAnsi="Arial" w:cs="Arial"/>
                <w:sz w:val="22"/>
                <w:szCs w:val="22"/>
              </w:rPr>
            </w:pPr>
            <w:r w:rsidRPr="00540679">
              <w:rPr>
                <w:rFonts w:ascii="Arial" w:hAnsi="Arial" w:cs="Arial"/>
                <w:bCs/>
                <w:sz w:val="22"/>
                <w:szCs w:val="22"/>
              </w:rPr>
              <w:t xml:space="preserve">Research question: </w:t>
            </w:r>
            <w:r w:rsidRPr="00540679">
              <w:rPr>
                <w:rFonts w:ascii="Arial" w:hAnsi="Arial" w:cs="Arial"/>
                <w:sz w:val="22"/>
                <w:szCs w:val="22"/>
              </w:rPr>
              <w:t xml:space="preserve">Does the TIC TOC intervention reduce the incidence of medication-related harm, including hospital readmissions and ED presentations? </w:t>
            </w:r>
          </w:p>
          <w:p w14:paraId="2BFF2B30" w14:textId="77777777" w:rsidR="00DA4F38" w:rsidRPr="00540679" w:rsidRDefault="00DA4F38" w:rsidP="00063F24">
            <w:pPr>
              <w:jc w:val="both"/>
              <w:rPr>
                <w:rFonts w:ascii="Arial" w:hAnsi="Arial" w:cs="Arial"/>
                <w:sz w:val="22"/>
                <w:szCs w:val="22"/>
              </w:rPr>
            </w:pPr>
          </w:p>
          <w:p w14:paraId="788D3BF4" w14:textId="77777777" w:rsidR="00B12E58" w:rsidRPr="00540679" w:rsidRDefault="002E66AF" w:rsidP="00063F24">
            <w:pPr>
              <w:jc w:val="both"/>
              <w:rPr>
                <w:rFonts w:ascii="Arial" w:hAnsi="Arial" w:cs="Arial"/>
                <w:sz w:val="22"/>
                <w:szCs w:val="22"/>
              </w:rPr>
            </w:pPr>
            <w:r w:rsidRPr="00540679">
              <w:rPr>
                <w:rFonts w:ascii="Arial" w:hAnsi="Arial" w:cs="Arial"/>
                <w:bCs/>
                <w:sz w:val="22"/>
                <w:szCs w:val="22"/>
              </w:rPr>
              <w:t>Primary objective</w:t>
            </w:r>
            <w:r w:rsidRPr="00540679">
              <w:rPr>
                <w:rFonts w:ascii="Arial" w:hAnsi="Arial" w:cs="Arial"/>
                <w:sz w:val="22"/>
                <w:szCs w:val="22"/>
              </w:rPr>
              <w:t xml:space="preserve">: </w:t>
            </w:r>
          </w:p>
          <w:p w14:paraId="6E1D56E3" w14:textId="0AC77DFE" w:rsidR="00793F52" w:rsidRPr="00540679" w:rsidRDefault="002E66AF">
            <w:pPr>
              <w:pStyle w:val="ListParagraph"/>
              <w:numPr>
                <w:ilvl w:val="0"/>
                <w:numId w:val="18"/>
              </w:numPr>
              <w:jc w:val="both"/>
              <w:rPr>
                <w:rFonts w:ascii="Arial" w:hAnsi="Arial" w:cs="Arial"/>
                <w:bCs/>
                <w:sz w:val="22"/>
                <w:szCs w:val="22"/>
              </w:rPr>
            </w:pPr>
            <w:r w:rsidRPr="00540679">
              <w:rPr>
                <w:rFonts w:ascii="Arial" w:hAnsi="Arial" w:cs="Arial"/>
                <w:sz w:val="22"/>
                <w:szCs w:val="22"/>
              </w:rPr>
              <w:t xml:space="preserve">To determine the effect of the TIC TOC intervention on medication-related hospital admission </w:t>
            </w:r>
            <w:r w:rsidRPr="00540679">
              <w:rPr>
                <w:rFonts w:ascii="Arial" w:hAnsi="Arial" w:cs="Arial"/>
                <w:bCs/>
                <w:sz w:val="22"/>
                <w:szCs w:val="22"/>
              </w:rPr>
              <w:t xml:space="preserve">or ED presentation within </w:t>
            </w:r>
            <w:r w:rsidRPr="00540679">
              <w:rPr>
                <w:rFonts w:ascii="Arial" w:hAnsi="Arial" w:cs="Arial"/>
                <w:sz w:val="22"/>
                <w:szCs w:val="22"/>
              </w:rPr>
              <w:t xml:space="preserve">30 days of discharge. </w:t>
            </w:r>
          </w:p>
          <w:p w14:paraId="0634C4D0" w14:textId="6E23CA86" w:rsidR="002E66AF" w:rsidRPr="00540679" w:rsidRDefault="002E66AF" w:rsidP="00063F24">
            <w:pPr>
              <w:jc w:val="both"/>
              <w:rPr>
                <w:rFonts w:ascii="Arial" w:hAnsi="Arial" w:cs="Arial"/>
                <w:sz w:val="22"/>
                <w:szCs w:val="22"/>
              </w:rPr>
            </w:pPr>
            <w:r w:rsidRPr="00540679">
              <w:rPr>
                <w:rFonts w:ascii="Arial" w:hAnsi="Arial" w:cs="Arial"/>
                <w:bCs/>
                <w:sz w:val="22"/>
                <w:szCs w:val="22"/>
              </w:rPr>
              <w:t>Secondary objectives</w:t>
            </w:r>
            <w:r w:rsidRPr="00540679">
              <w:rPr>
                <w:rFonts w:ascii="Arial" w:hAnsi="Arial" w:cs="Arial"/>
                <w:sz w:val="22"/>
                <w:szCs w:val="22"/>
              </w:rPr>
              <w:t>:</w:t>
            </w:r>
          </w:p>
          <w:p w14:paraId="316F24F3" w14:textId="460D1132" w:rsidR="002E66AF" w:rsidRPr="00540679" w:rsidRDefault="002E66AF" w:rsidP="00B62BC6">
            <w:pPr>
              <w:pStyle w:val="ListParagraph"/>
              <w:numPr>
                <w:ilvl w:val="0"/>
                <w:numId w:val="18"/>
              </w:numPr>
              <w:jc w:val="both"/>
              <w:rPr>
                <w:rFonts w:ascii="Arial" w:hAnsi="Arial" w:cs="Arial"/>
                <w:sz w:val="22"/>
                <w:szCs w:val="22"/>
              </w:rPr>
            </w:pPr>
            <w:r w:rsidRPr="00540679">
              <w:rPr>
                <w:rFonts w:ascii="Arial" w:hAnsi="Arial" w:cs="Arial"/>
                <w:sz w:val="22"/>
                <w:szCs w:val="22"/>
              </w:rPr>
              <w:t xml:space="preserve">To determine the effect of the TIC TOC intervention on unplanned all-cause readmission and ED presentations and unplanned medication-related readmission and ED presentations within 30, 90 and 180 days compared with usual care. </w:t>
            </w:r>
          </w:p>
          <w:p w14:paraId="0FE93966" w14:textId="76EE9052" w:rsidR="002E66AF" w:rsidRPr="00540679" w:rsidRDefault="002E66AF" w:rsidP="00B62BC6">
            <w:pPr>
              <w:pStyle w:val="ListParagraph"/>
              <w:numPr>
                <w:ilvl w:val="0"/>
                <w:numId w:val="18"/>
              </w:numPr>
              <w:jc w:val="both"/>
              <w:rPr>
                <w:rFonts w:ascii="Arial" w:hAnsi="Arial" w:cs="Arial"/>
                <w:sz w:val="22"/>
                <w:szCs w:val="22"/>
              </w:rPr>
            </w:pPr>
            <w:r w:rsidRPr="00540679">
              <w:rPr>
                <w:rFonts w:ascii="Arial" w:hAnsi="Arial" w:cs="Arial"/>
                <w:sz w:val="22"/>
                <w:szCs w:val="22"/>
              </w:rPr>
              <w:t>To determine whether the TIC TOC intervention increases the proportion of high-risk patients receiving a timely post-discharge medication review (within ten days from discharge)</w:t>
            </w:r>
          </w:p>
          <w:p w14:paraId="014BBD99" w14:textId="3923889C" w:rsidR="002E66AF" w:rsidRPr="00540679" w:rsidRDefault="002E66AF" w:rsidP="00B62BC6">
            <w:pPr>
              <w:pStyle w:val="ListParagraph"/>
              <w:numPr>
                <w:ilvl w:val="0"/>
                <w:numId w:val="18"/>
              </w:numPr>
              <w:jc w:val="both"/>
              <w:rPr>
                <w:rFonts w:ascii="Arial" w:hAnsi="Arial" w:cs="Arial"/>
                <w:sz w:val="22"/>
                <w:szCs w:val="22"/>
              </w:rPr>
            </w:pPr>
            <w:r w:rsidRPr="00540679">
              <w:rPr>
                <w:rFonts w:ascii="Arial" w:hAnsi="Arial" w:cs="Arial"/>
                <w:sz w:val="22"/>
                <w:szCs w:val="22"/>
              </w:rPr>
              <w:t>To assess the number, nature, and severity of medication-related problems identified in initial post-discharge medication review reports and in HMR follow-up(s) where applicable.</w:t>
            </w:r>
          </w:p>
          <w:p w14:paraId="51B54B42" w14:textId="233C9507" w:rsidR="002E66AF" w:rsidRPr="00540679" w:rsidRDefault="002E66AF" w:rsidP="00B62BC6">
            <w:pPr>
              <w:pStyle w:val="ListParagraph"/>
              <w:numPr>
                <w:ilvl w:val="0"/>
                <w:numId w:val="18"/>
              </w:numPr>
              <w:jc w:val="both"/>
              <w:rPr>
                <w:rFonts w:ascii="Arial" w:hAnsi="Arial" w:cs="Arial"/>
                <w:sz w:val="22"/>
                <w:szCs w:val="22"/>
              </w:rPr>
            </w:pPr>
            <w:r w:rsidRPr="00540679">
              <w:rPr>
                <w:rFonts w:ascii="Arial" w:hAnsi="Arial" w:cs="Arial"/>
                <w:sz w:val="22"/>
                <w:szCs w:val="22"/>
              </w:rPr>
              <w:t>To determine the cost-effectiveness of the TIC TOC intervention.</w:t>
            </w:r>
          </w:p>
          <w:p w14:paraId="3AE570B8" w14:textId="77777777" w:rsidR="002646AE" w:rsidRPr="00540679" w:rsidRDefault="002646AE" w:rsidP="00063F24">
            <w:pPr>
              <w:jc w:val="both"/>
              <w:rPr>
                <w:rFonts w:ascii="Arial" w:hAnsi="Arial" w:cs="Arial"/>
                <w:sz w:val="22"/>
                <w:szCs w:val="22"/>
              </w:rPr>
            </w:pPr>
          </w:p>
          <w:p w14:paraId="4710A719" w14:textId="4CCAD05A" w:rsidR="00450484" w:rsidRPr="00540679" w:rsidRDefault="00450484" w:rsidP="00063F24">
            <w:pPr>
              <w:jc w:val="both"/>
              <w:rPr>
                <w:rFonts w:ascii="Arial" w:hAnsi="Arial" w:cs="Arial"/>
                <w:sz w:val="22"/>
                <w:szCs w:val="22"/>
              </w:rPr>
            </w:pPr>
          </w:p>
        </w:tc>
      </w:tr>
      <w:tr w:rsidR="00450484" w:rsidRPr="00540679" w14:paraId="0FEA7001" w14:textId="77777777" w:rsidTr="2688972B">
        <w:trPr>
          <w:trHeight w:val="1687"/>
        </w:trPr>
        <w:tc>
          <w:tcPr>
            <w:tcW w:w="2560" w:type="dxa"/>
            <w:hideMark/>
          </w:tcPr>
          <w:p w14:paraId="164DF01C" w14:textId="77777777" w:rsidR="00450484" w:rsidRPr="00540679" w:rsidRDefault="00450484" w:rsidP="00B400B4">
            <w:pPr>
              <w:rPr>
                <w:rFonts w:ascii="Arial" w:hAnsi="Arial" w:cs="Arial"/>
                <w:sz w:val="22"/>
                <w:szCs w:val="22"/>
              </w:rPr>
            </w:pPr>
            <w:r w:rsidRPr="00540679">
              <w:rPr>
                <w:rFonts w:ascii="Arial" w:hAnsi="Arial" w:cs="Arial"/>
                <w:sz w:val="22"/>
                <w:szCs w:val="22"/>
              </w:rPr>
              <w:t>Study design</w:t>
            </w:r>
          </w:p>
        </w:tc>
        <w:tc>
          <w:tcPr>
            <w:tcW w:w="6906" w:type="dxa"/>
          </w:tcPr>
          <w:p w14:paraId="4701175F" w14:textId="3AE15AF9" w:rsidR="00450484" w:rsidRPr="00540679" w:rsidRDefault="003B1027" w:rsidP="00FF7D66">
            <w:pPr>
              <w:spacing w:afterLines="80" w:after="192"/>
              <w:jc w:val="both"/>
              <w:rPr>
                <w:rFonts w:ascii="Arial" w:hAnsi="Arial" w:cs="Arial"/>
                <w:sz w:val="22"/>
                <w:szCs w:val="22"/>
              </w:rPr>
            </w:pPr>
            <w:r w:rsidRPr="00540679">
              <w:rPr>
                <w:rFonts w:ascii="Arial" w:hAnsi="Arial" w:cs="Arial"/>
                <w:sz w:val="22"/>
                <w:szCs w:val="22"/>
              </w:rPr>
              <w:t xml:space="preserve">It </w:t>
            </w:r>
            <w:r w:rsidR="005C10CC" w:rsidRPr="00540679">
              <w:rPr>
                <w:rFonts w:ascii="Arial" w:hAnsi="Arial" w:cs="Arial"/>
                <w:sz w:val="22"/>
                <w:szCs w:val="22"/>
              </w:rPr>
              <w:t>is a prospective, randomised controlled clinical trial involving patients at high-risk of medication-related harm who are discharged from regional and rural hospitals to a domiciliary residence.</w:t>
            </w:r>
            <w:r w:rsidR="00E25A1D" w:rsidRPr="00540679">
              <w:rPr>
                <w:rFonts w:ascii="Arial" w:hAnsi="Arial" w:cs="Arial"/>
                <w:sz w:val="22"/>
                <w:szCs w:val="22"/>
              </w:rPr>
              <w:t xml:space="preserve"> Within</w:t>
            </w:r>
            <w:r w:rsidR="008E0E8B" w:rsidRPr="00540679">
              <w:rPr>
                <w:rFonts w:ascii="Arial" w:hAnsi="Arial" w:cs="Arial"/>
                <w:sz w:val="22"/>
                <w:szCs w:val="22"/>
              </w:rPr>
              <w:t xml:space="preserve"> the </w:t>
            </w:r>
            <w:r w:rsidR="00E25A1D" w:rsidRPr="00540679">
              <w:rPr>
                <w:rFonts w:ascii="Arial" w:hAnsi="Arial" w:cs="Arial"/>
                <w:sz w:val="22"/>
                <w:szCs w:val="22"/>
              </w:rPr>
              <w:t xml:space="preserve">trial cost-effectiveness analysis of the </w:t>
            </w:r>
            <w:r w:rsidR="00E25A1D" w:rsidRPr="00540679">
              <w:rPr>
                <w:rFonts w:ascii="Arial" w:hAnsi="Arial" w:cs="Arial"/>
                <w:color w:val="000000" w:themeColor="text1"/>
                <w:sz w:val="22"/>
                <w:szCs w:val="22"/>
              </w:rPr>
              <w:t xml:space="preserve">TIC TOC intervention on 30-day </w:t>
            </w:r>
            <w:r w:rsidR="5EDA0B41" w:rsidRPr="00540679">
              <w:rPr>
                <w:rFonts w:ascii="Arial" w:hAnsi="Arial" w:cs="Arial"/>
                <w:color w:val="000000" w:themeColor="text1"/>
                <w:sz w:val="22"/>
                <w:szCs w:val="22"/>
              </w:rPr>
              <w:t xml:space="preserve">medicine-related </w:t>
            </w:r>
            <w:r w:rsidR="00E25A1D" w:rsidRPr="00540679">
              <w:rPr>
                <w:rFonts w:ascii="Arial" w:hAnsi="Arial" w:cs="Arial"/>
                <w:color w:val="000000" w:themeColor="text1"/>
                <w:sz w:val="22"/>
                <w:szCs w:val="22"/>
              </w:rPr>
              <w:t xml:space="preserve">hospital readmissions and ED presentations </w:t>
            </w:r>
            <w:r w:rsidR="00E25A1D" w:rsidRPr="00540679">
              <w:rPr>
                <w:rFonts w:ascii="Arial" w:hAnsi="Arial" w:cs="Arial"/>
                <w:sz w:val="22"/>
                <w:szCs w:val="22"/>
              </w:rPr>
              <w:t>will be undertaken from the health system perspective</w:t>
            </w:r>
            <w:r w:rsidR="003908DD" w:rsidRPr="00540679">
              <w:rPr>
                <w:rFonts w:ascii="Arial" w:hAnsi="Arial" w:cs="Arial"/>
                <w:sz w:val="22"/>
                <w:szCs w:val="22"/>
              </w:rPr>
              <w:t xml:space="preserve">. </w:t>
            </w:r>
            <w:r w:rsidR="00350D9B" w:rsidRPr="00540679">
              <w:rPr>
                <w:rFonts w:ascii="Arial" w:hAnsi="Arial" w:cs="Arial"/>
                <w:sz w:val="22"/>
                <w:szCs w:val="22"/>
              </w:rPr>
              <w:t xml:space="preserve">For this proposal we will also conduct interviews </w:t>
            </w:r>
            <w:r w:rsidR="007F1441">
              <w:rPr>
                <w:rFonts w:ascii="Arial" w:hAnsi="Arial" w:cs="Arial"/>
                <w:sz w:val="22"/>
                <w:szCs w:val="22"/>
              </w:rPr>
              <w:t>before and after</w:t>
            </w:r>
            <w:r w:rsidR="00350D9B" w:rsidRPr="00540679">
              <w:rPr>
                <w:rFonts w:ascii="Arial" w:hAnsi="Arial" w:cs="Arial"/>
                <w:sz w:val="22"/>
                <w:szCs w:val="22"/>
              </w:rPr>
              <w:t xml:space="preserve"> implementation using qualitative one-on-one semi-structured interviews with patients and clinicians to determine their beliefs, attitudes and perceived acceptability, </w:t>
            </w:r>
            <w:proofErr w:type="gramStart"/>
            <w:r w:rsidR="00350D9B" w:rsidRPr="00540679">
              <w:rPr>
                <w:rFonts w:ascii="Arial" w:hAnsi="Arial" w:cs="Arial"/>
                <w:sz w:val="22"/>
                <w:szCs w:val="22"/>
              </w:rPr>
              <w:t>facilitators</w:t>
            </w:r>
            <w:proofErr w:type="gramEnd"/>
            <w:r w:rsidR="00350D9B" w:rsidRPr="00540679">
              <w:rPr>
                <w:rFonts w:ascii="Arial" w:hAnsi="Arial" w:cs="Arial"/>
                <w:sz w:val="22"/>
                <w:szCs w:val="22"/>
              </w:rPr>
              <w:t xml:space="preserve"> and barriers to the implementation of the intervention. Interviews will be conducted by investigators who possess training in qualitative research methods using telephone or videoconferencing.</w:t>
            </w:r>
          </w:p>
        </w:tc>
      </w:tr>
      <w:tr w:rsidR="00450484" w:rsidRPr="00540679" w14:paraId="38201EB5" w14:textId="77777777" w:rsidTr="2688972B">
        <w:trPr>
          <w:trHeight w:val="373"/>
        </w:trPr>
        <w:tc>
          <w:tcPr>
            <w:tcW w:w="2560" w:type="dxa"/>
            <w:hideMark/>
          </w:tcPr>
          <w:p w14:paraId="2FD79DB2" w14:textId="77777777" w:rsidR="00450484" w:rsidRPr="00540679" w:rsidRDefault="00450484" w:rsidP="00B400B4">
            <w:pPr>
              <w:rPr>
                <w:rFonts w:ascii="Arial" w:hAnsi="Arial" w:cs="Arial"/>
                <w:sz w:val="22"/>
                <w:szCs w:val="22"/>
              </w:rPr>
            </w:pPr>
            <w:r w:rsidRPr="00540679">
              <w:rPr>
                <w:rFonts w:ascii="Arial" w:hAnsi="Arial" w:cs="Arial"/>
                <w:sz w:val="22"/>
                <w:szCs w:val="22"/>
              </w:rPr>
              <w:t>Planned sample size</w:t>
            </w:r>
          </w:p>
        </w:tc>
        <w:tc>
          <w:tcPr>
            <w:tcW w:w="6906" w:type="dxa"/>
          </w:tcPr>
          <w:p w14:paraId="7DC98C81" w14:textId="75F28257" w:rsidR="00450484" w:rsidRPr="00540679" w:rsidRDefault="0B1581A4" w:rsidP="00B400B4">
            <w:pPr>
              <w:rPr>
                <w:rFonts w:ascii="Arial" w:hAnsi="Arial" w:cs="Arial"/>
                <w:sz w:val="22"/>
                <w:szCs w:val="22"/>
              </w:rPr>
            </w:pPr>
            <w:r w:rsidRPr="00540679">
              <w:rPr>
                <w:rFonts w:ascii="Arial" w:hAnsi="Arial" w:cs="Arial"/>
                <w:sz w:val="22"/>
                <w:szCs w:val="22"/>
              </w:rPr>
              <w:t>922</w:t>
            </w:r>
            <w:r w:rsidR="00450484" w:rsidRPr="00540679">
              <w:rPr>
                <w:rFonts w:ascii="Arial" w:hAnsi="Arial" w:cs="Arial"/>
                <w:sz w:val="22"/>
                <w:szCs w:val="22"/>
              </w:rPr>
              <w:t xml:space="preserve"> participants in </w:t>
            </w:r>
            <w:r w:rsidR="008E0E8B" w:rsidRPr="00540679">
              <w:rPr>
                <w:rFonts w:ascii="Arial" w:hAnsi="Arial" w:cs="Arial"/>
                <w:sz w:val="22"/>
                <w:szCs w:val="22"/>
              </w:rPr>
              <w:t>total.</w:t>
            </w:r>
          </w:p>
        </w:tc>
      </w:tr>
      <w:tr w:rsidR="00450484" w:rsidRPr="00540679" w14:paraId="06AA8B0A" w14:textId="77777777" w:rsidTr="2688972B">
        <w:trPr>
          <w:trHeight w:val="1035"/>
        </w:trPr>
        <w:tc>
          <w:tcPr>
            <w:tcW w:w="2560" w:type="dxa"/>
            <w:hideMark/>
          </w:tcPr>
          <w:p w14:paraId="1438518F" w14:textId="77777777" w:rsidR="00B21691" w:rsidRPr="00540679" w:rsidRDefault="00B21691" w:rsidP="00B400B4">
            <w:pPr>
              <w:rPr>
                <w:rFonts w:ascii="Arial" w:hAnsi="Arial" w:cs="Arial"/>
                <w:sz w:val="22"/>
                <w:szCs w:val="22"/>
              </w:rPr>
            </w:pPr>
          </w:p>
          <w:p w14:paraId="4346EAAF" w14:textId="51786E9D" w:rsidR="00450484" w:rsidRPr="00540679" w:rsidRDefault="00450484" w:rsidP="00B400B4">
            <w:pPr>
              <w:rPr>
                <w:rFonts w:ascii="Arial" w:hAnsi="Arial" w:cs="Arial"/>
                <w:sz w:val="22"/>
                <w:szCs w:val="22"/>
              </w:rPr>
            </w:pPr>
            <w:r w:rsidRPr="00540679">
              <w:rPr>
                <w:rFonts w:ascii="Arial" w:hAnsi="Arial" w:cs="Arial"/>
                <w:sz w:val="22"/>
                <w:szCs w:val="22"/>
              </w:rPr>
              <w:t>Inclusion</w:t>
            </w:r>
            <w:r w:rsidR="00B21691" w:rsidRPr="00540679">
              <w:rPr>
                <w:rFonts w:ascii="Arial" w:hAnsi="Arial" w:cs="Arial"/>
                <w:sz w:val="22"/>
                <w:szCs w:val="22"/>
              </w:rPr>
              <w:t>/Exclusion</w:t>
            </w:r>
            <w:r w:rsidRPr="00540679">
              <w:rPr>
                <w:rFonts w:ascii="Arial" w:hAnsi="Arial" w:cs="Arial"/>
                <w:sz w:val="22"/>
                <w:szCs w:val="22"/>
              </w:rPr>
              <w:t xml:space="preserve"> criteria</w:t>
            </w:r>
          </w:p>
        </w:tc>
        <w:tc>
          <w:tcPr>
            <w:tcW w:w="6906" w:type="dxa"/>
          </w:tcPr>
          <w:p w14:paraId="69CCC482" w14:textId="77777777" w:rsidR="00B21691" w:rsidRPr="00540679" w:rsidRDefault="00B21691" w:rsidP="00063F24">
            <w:pPr>
              <w:jc w:val="both"/>
              <w:rPr>
                <w:rFonts w:ascii="Arial" w:hAnsi="Arial" w:cs="Arial"/>
                <w:sz w:val="22"/>
                <w:szCs w:val="22"/>
              </w:rPr>
            </w:pPr>
          </w:p>
          <w:p w14:paraId="05A792A4" w14:textId="0207196A" w:rsidR="00E57C27" w:rsidRPr="00540679" w:rsidRDefault="00B21691" w:rsidP="00063F24">
            <w:pPr>
              <w:jc w:val="both"/>
              <w:rPr>
                <w:rFonts w:ascii="Arial" w:hAnsi="Arial" w:cs="Arial"/>
                <w:sz w:val="22"/>
                <w:szCs w:val="22"/>
              </w:rPr>
            </w:pPr>
            <w:r w:rsidRPr="00540679">
              <w:rPr>
                <w:rFonts w:ascii="Arial" w:hAnsi="Arial" w:cs="Arial"/>
                <w:sz w:val="22"/>
                <w:szCs w:val="22"/>
              </w:rPr>
              <w:t xml:space="preserve">Eligible patients must be aged ≥18 years, admitted under a medical specialty, </w:t>
            </w:r>
            <w:r w:rsidR="783ED14D" w:rsidRPr="00540679">
              <w:rPr>
                <w:rFonts w:ascii="Arial" w:hAnsi="Arial" w:cs="Arial"/>
                <w:sz w:val="22"/>
                <w:szCs w:val="22"/>
              </w:rPr>
              <w:t xml:space="preserve">including </w:t>
            </w:r>
            <w:r w:rsidR="341161FB" w:rsidRPr="00540679">
              <w:rPr>
                <w:rFonts w:ascii="Arial" w:hAnsi="Arial" w:cs="Arial"/>
                <w:sz w:val="22"/>
                <w:szCs w:val="22"/>
              </w:rPr>
              <w:t>general</w:t>
            </w:r>
            <w:r w:rsidR="783ED14D" w:rsidRPr="00540679">
              <w:rPr>
                <w:rFonts w:ascii="Arial" w:hAnsi="Arial" w:cs="Arial"/>
                <w:sz w:val="22"/>
                <w:szCs w:val="22"/>
              </w:rPr>
              <w:t xml:space="preserve"> medicine, </w:t>
            </w:r>
            <w:r w:rsidRPr="00540679">
              <w:rPr>
                <w:rFonts w:ascii="Arial" w:hAnsi="Arial" w:cs="Arial"/>
                <w:sz w:val="22"/>
                <w:szCs w:val="22"/>
              </w:rPr>
              <w:t xml:space="preserve">discharged to a domiciliary setting, have a GP, have a Medicare card and be at risk of readmission (defined as high-risk according to the </w:t>
            </w:r>
            <w:proofErr w:type="spellStart"/>
            <w:r w:rsidRPr="00540679">
              <w:rPr>
                <w:rFonts w:ascii="Arial" w:hAnsi="Arial" w:cs="Arial"/>
                <w:sz w:val="22"/>
                <w:szCs w:val="22"/>
              </w:rPr>
              <w:t>PHarmacie</w:t>
            </w:r>
            <w:proofErr w:type="spellEnd"/>
            <w:r w:rsidRPr="00540679">
              <w:rPr>
                <w:rFonts w:ascii="Arial" w:hAnsi="Arial" w:cs="Arial"/>
                <w:sz w:val="22"/>
                <w:szCs w:val="22"/>
              </w:rPr>
              <w:t xml:space="preserve">-R risk algorithm). </w:t>
            </w:r>
          </w:p>
          <w:p w14:paraId="12A608C1" w14:textId="2D4EC7C5" w:rsidR="00450484" w:rsidRPr="00540679" w:rsidRDefault="00B21691" w:rsidP="001F4E17">
            <w:pPr>
              <w:jc w:val="both"/>
              <w:rPr>
                <w:rFonts w:ascii="Arial" w:hAnsi="Arial" w:cs="Arial"/>
                <w:sz w:val="22"/>
                <w:szCs w:val="22"/>
              </w:rPr>
            </w:pPr>
            <w:r w:rsidRPr="00540679">
              <w:rPr>
                <w:rFonts w:ascii="Arial" w:hAnsi="Arial" w:cs="Arial"/>
                <w:sz w:val="22"/>
                <w:szCs w:val="22"/>
              </w:rPr>
              <w:t xml:space="preserve">Exclusion criteria include unmanaged substance use disorder or mental health condition, active palliative care, homelessness, admission for planned dialysis, unsafe home environment (domestic </w:t>
            </w:r>
            <w:r w:rsidRPr="00540679">
              <w:rPr>
                <w:rFonts w:ascii="Arial" w:hAnsi="Arial" w:cs="Arial"/>
                <w:sz w:val="22"/>
                <w:szCs w:val="22"/>
              </w:rPr>
              <w:lastRenderedPageBreak/>
              <w:t>violence or aggression), planning to change residence in six months or previously recruited.</w:t>
            </w:r>
          </w:p>
        </w:tc>
      </w:tr>
      <w:tr w:rsidR="00063F24" w:rsidRPr="00540679" w14:paraId="3908DA51" w14:textId="77777777" w:rsidTr="2688972B">
        <w:trPr>
          <w:trHeight w:val="1035"/>
        </w:trPr>
        <w:tc>
          <w:tcPr>
            <w:tcW w:w="2560" w:type="dxa"/>
          </w:tcPr>
          <w:p w14:paraId="45245805" w14:textId="0E87C029" w:rsidR="00063F24" w:rsidRPr="00540679" w:rsidRDefault="00063F24" w:rsidP="00B400B4">
            <w:pPr>
              <w:rPr>
                <w:rFonts w:ascii="Arial" w:hAnsi="Arial" w:cs="Arial"/>
                <w:sz w:val="22"/>
                <w:szCs w:val="22"/>
              </w:rPr>
            </w:pPr>
            <w:r w:rsidRPr="00540679">
              <w:rPr>
                <w:rFonts w:ascii="Arial" w:hAnsi="Arial" w:cs="Arial"/>
                <w:sz w:val="22"/>
                <w:szCs w:val="22"/>
              </w:rPr>
              <w:lastRenderedPageBreak/>
              <w:t>Study procedures</w:t>
            </w:r>
          </w:p>
        </w:tc>
        <w:tc>
          <w:tcPr>
            <w:tcW w:w="6906" w:type="dxa"/>
          </w:tcPr>
          <w:p w14:paraId="3D918DBE" w14:textId="77777777" w:rsidR="00063F24" w:rsidRPr="00540679" w:rsidRDefault="00063F24" w:rsidP="00063F24">
            <w:pPr>
              <w:jc w:val="both"/>
              <w:rPr>
                <w:rFonts w:ascii="Arial" w:hAnsi="Arial" w:cs="Arial"/>
                <w:sz w:val="22"/>
                <w:szCs w:val="22"/>
              </w:rPr>
            </w:pPr>
            <w:r w:rsidRPr="00540679">
              <w:rPr>
                <w:rFonts w:ascii="Arial" w:hAnsi="Arial" w:cs="Arial"/>
                <w:sz w:val="22"/>
                <w:szCs w:val="22"/>
              </w:rPr>
              <w:t>1. Enrolment into the study: Research Assistant (RA) will identify potentially eligible patients using routinely collected data. Those fitting the inclusion criteria will be invited to participate in the study.</w:t>
            </w:r>
          </w:p>
          <w:p w14:paraId="13F78379" w14:textId="77777777" w:rsidR="00063F24" w:rsidRPr="00540679" w:rsidRDefault="00063F24" w:rsidP="00063F24">
            <w:pPr>
              <w:jc w:val="both"/>
              <w:rPr>
                <w:rFonts w:ascii="Arial" w:hAnsi="Arial" w:cs="Arial"/>
                <w:sz w:val="22"/>
                <w:szCs w:val="22"/>
              </w:rPr>
            </w:pPr>
            <w:r w:rsidRPr="00540679">
              <w:rPr>
                <w:rFonts w:ascii="Arial" w:hAnsi="Arial" w:cs="Arial"/>
                <w:sz w:val="22"/>
                <w:szCs w:val="22"/>
              </w:rPr>
              <w:t xml:space="preserve">2. Informed consent: Patients who meet the inclusion criteria and agree to enrol in the study will be asked to read a participant information sheet and sign a consent form. </w:t>
            </w:r>
          </w:p>
          <w:p w14:paraId="197B7D72" w14:textId="77777777" w:rsidR="00063F24" w:rsidRPr="00540679" w:rsidRDefault="00063F24" w:rsidP="00063F24">
            <w:pPr>
              <w:jc w:val="both"/>
              <w:rPr>
                <w:rFonts w:ascii="Arial" w:hAnsi="Arial" w:cs="Arial"/>
                <w:color w:val="000000" w:themeColor="text1"/>
                <w:sz w:val="22"/>
                <w:szCs w:val="22"/>
                <w:lang w:eastAsia="en-GB"/>
              </w:rPr>
            </w:pPr>
            <w:r w:rsidRPr="00540679">
              <w:rPr>
                <w:rFonts w:ascii="Arial" w:hAnsi="Arial" w:cs="Arial"/>
                <w:sz w:val="22"/>
                <w:szCs w:val="22"/>
              </w:rPr>
              <w:t xml:space="preserve">3. Randomisation: </w:t>
            </w:r>
            <w:r w:rsidRPr="00540679">
              <w:rPr>
                <w:rFonts w:ascii="Arial" w:hAnsi="Arial" w:cs="Arial"/>
                <w:color w:val="000000" w:themeColor="text1"/>
                <w:sz w:val="22"/>
                <w:szCs w:val="22"/>
                <w:lang w:eastAsia="en-GB"/>
              </w:rPr>
              <w:t xml:space="preserve">Participants will be randomised in a 1:1 ratio in permuted blocks of 2 and 4 to: (1) intervention; or (2) usual care. Randomisation will be conducted using a centralised service to ensure allocation concealment. </w:t>
            </w:r>
          </w:p>
          <w:p w14:paraId="318832A4" w14:textId="5C01EAD7" w:rsidR="00063F24" w:rsidRPr="00540679" w:rsidRDefault="00063F24" w:rsidP="00063F24">
            <w:pPr>
              <w:jc w:val="both"/>
              <w:rPr>
                <w:rFonts w:ascii="Arial" w:hAnsi="Arial" w:cs="Arial"/>
                <w:sz w:val="22"/>
                <w:szCs w:val="22"/>
              </w:rPr>
            </w:pPr>
            <w:r w:rsidRPr="00540679">
              <w:rPr>
                <w:rFonts w:ascii="Arial" w:hAnsi="Arial" w:cs="Arial"/>
                <w:sz w:val="22"/>
                <w:szCs w:val="22"/>
              </w:rPr>
              <w:t xml:space="preserve">4. Intervention: The intervention is based on the Consolidated Framework for Implementation Research as it has been used extensively to implement health services. </w:t>
            </w:r>
            <w:bookmarkStart w:id="10" w:name="_Hlk112843802"/>
            <w:r w:rsidRPr="00540679">
              <w:rPr>
                <w:rFonts w:ascii="Arial" w:hAnsi="Arial" w:cs="Arial"/>
                <w:sz w:val="22"/>
                <w:szCs w:val="22"/>
              </w:rPr>
              <w:t xml:space="preserve">The intervention will include virtual Transitions of Care Stewardship pharmacists ensure patients receive discharge counselling, discharge medical reconciliation, and communicate directly with primary care providers (GPs, practice nurses, community pharmacies and accredited pharmacists). They will provide accurate and timely medication handover to facilitate a timely post-discharge medication review. </w:t>
            </w:r>
            <w:bookmarkEnd w:id="10"/>
            <w:r w:rsidRPr="00540679">
              <w:rPr>
                <w:rFonts w:ascii="Arial" w:hAnsi="Arial" w:cs="Arial"/>
                <w:sz w:val="22"/>
                <w:szCs w:val="22"/>
              </w:rPr>
              <w:t xml:space="preserve">Pharmacists caring for Aboriginal and Torres Strait Islander peoples will complete Cultural Responsiveness Training by the Indigenous Allied Health Australia. </w:t>
            </w:r>
          </w:p>
          <w:p w14:paraId="510B8835" w14:textId="77777777" w:rsidR="00063F24" w:rsidRPr="00540679" w:rsidRDefault="00063F24" w:rsidP="00063F24">
            <w:pPr>
              <w:jc w:val="both"/>
              <w:rPr>
                <w:rFonts w:ascii="Arial" w:hAnsi="Arial" w:cs="Arial"/>
                <w:sz w:val="22"/>
                <w:szCs w:val="22"/>
              </w:rPr>
            </w:pPr>
            <w:r w:rsidRPr="00540679">
              <w:rPr>
                <w:rFonts w:ascii="Arial" w:hAnsi="Arial" w:cs="Arial"/>
                <w:sz w:val="22"/>
                <w:szCs w:val="22"/>
              </w:rPr>
              <w:t>5. Safety Monitoring: Accredited pharmacists are trained to prioritise recommendations for resolution or prevention of any identified medication-related problems. Any critical issues will be verbally communicated to the referring medical practitioner. If necessary, 000 will be called for the patient.</w:t>
            </w:r>
          </w:p>
          <w:p w14:paraId="2D602F88" w14:textId="25BCD2A2" w:rsidR="00063F24" w:rsidRPr="00540679" w:rsidRDefault="00063F24" w:rsidP="2688972B">
            <w:pPr>
              <w:jc w:val="both"/>
              <w:rPr>
                <w:rFonts w:ascii="Arial" w:hAnsi="Arial" w:cs="Arial"/>
                <w:sz w:val="22"/>
                <w:szCs w:val="22"/>
              </w:rPr>
            </w:pPr>
            <w:r w:rsidRPr="00540679">
              <w:rPr>
                <w:rFonts w:ascii="Arial" w:hAnsi="Arial" w:cs="Arial"/>
                <w:sz w:val="22"/>
                <w:szCs w:val="22"/>
              </w:rPr>
              <w:t xml:space="preserve">6. Data collection methods and Blinding: Patient demographics, comorbidities, </w:t>
            </w:r>
            <w:proofErr w:type="spellStart"/>
            <w:r w:rsidRPr="00540679">
              <w:rPr>
                <w:rFonts w:ascii="Arial" w:hAnsi="Arial" w:cs="Arial"/>
                <w:sz w:val="22"/>
                <w:szCs w:val="22"/>
              </w:rPr>
              <w:t>Charlson</w:t>
            </w:r>
            <w:proofErr w:type="spellEnd"/>
            <w:r w:rsidRPr="00540679">
              <w:rPr>
                <w:rFonts w:ascii="Arial" w:hAnsi="Arial" w:cs="Arial"/>
                <w:sz w:val="22"/>
                <w:szCs w:val="22"/>
              </w:rPr>
              <w:t xml:space="preserve"> Comorbidity Index, frailty index, medications, length of stay and re-presentations will be obtained from hospital information systems and GPs. Patients will be telephoned at 30, 90 and 180 days after discharge. Death data will be obtained from death registers. Due to the nature of the intervention, it is not possible to blind the hospitals or clinicians. However, the research staff collecting follow-up data and the data analyst will be blinded.</w:t>
            </w:r>
          </w:p>
          <w:p w14:paraId="1E518931" w14:textId="24B77715" w:rsidR="00063F24" w:rsidRPr="00540679" w:rsidRDefault="00063F24" w:rsidP="00063F24">
            <w:pPr>
              <w:jc w:val="both"/>
              <w:rPr>
                <w:rFonts w:ascii="Arial" w:hAnsi="Arial" w:cs="Arial"/>
                <w:sz w:val="22"/>
                <w:szCs w:val="22"/>
              </w:rPr>
            </w:pPr>
          </w:p>
        </w:tc>
      </w:tr>
      <w:tr w:rsidR="00063F24" w:rsidRPr="00540679" w14:paraId="7DD14475" w14:textId="77777777" w:rsidTr="2688972B">
        <w:trPr>
          <w:trHeight w:val="1035"/>
        </w:trPr>
        <w:tc>
          <w:tcPr>
            <w:tcW w:w="2560" w:type="dxa"/>
          </w:tcPr>
          <w:p w14:paraId="77DEBB5C" w14:textId="3E2E2FDC" w:rsidR="00063F24" w:rsidRPr="00540679" w:rsidRDefault="00063F24" w:rsidP="00B400B4">
            <w:pPr>
              <w:rPr>
                <w:rFonts w:ascii="Arial" w:hAnsi="Arial" w:cs="Arial"/>
                <w:sz w:val="22"/>
                <w:szCs w:val="22"/>
              </w:rPr>
            </w:pPr>
            <w:r w:rsidRPr="00540679">
              <w:rPr>
                <w:rFonts w:ascii="Arial" w:hAnsi="Arial" w:cs="Arial"/>
                <w:sz w:val="22"/>
                <w:szCs w:val="22"/>
              </w:rPr>
              <w:t>Analysis considerations</w:t>
            </w:r>
          </w:p>
        </w:tc>
        <w:tc>
          <w:tcPr>
            <w:tcW w:w="6906" w:type="dxa"/>
          </w:tcPr>
          <w:p w14:paraId="141F553D" w14:textId="68C9029C" w:rsidR="00063F24" w:rsidRPr="00540679" w:rsidRDefault="00063F24" w:rsidP="00B50960">
            <w:pPr>
              <w:jc w:val="both"/>
              <w:rPr>
                <w:rFonts w:ascii="Arial" w:hAnsi="Arial" w:cs="Arial"/>
                <w:sz w:val="22"/>
                <w:szCs w:val="22"/>
              </w:rPr>
            </w:pPr>
            <w:r w:rsidRPr="00540679">
              <w:rPr>
                <w:rFonts w:ascii="Arial" w:hAnsi="Arial" w:cs="Arial"/>
                <w:sz w:val="22"/>
                <w:szCs w:val="22"/>
              </w:rPr>
              <w:t>All analyses will be performed on an intent-to-treat basis.</w:t>
            </w:r>
            <w:r w:rsidR="003B5971" w:rsidRPr="00540679">
              <w:rPr>
                <w:rFonts w:ascii="Arial" w:hAnsi="Arial" w:cs="Arial"/>
                <w:sz w:val="22"/>
                <w:szCs w:val="22"/>
              </w:rPr>
              <w:t xml:space="preserve"> </w:t>
            </w:r>
            <w:r w:rsidRPr="00540679">
              <w:rPr>
                <w:rFonts w:ascii="Arial" w:hAnsi="Arial" w:cs="Arial"/>
                <w:sz w:val="22"/>
                <w:szCs w:val="22"/>
              </w:rPr>
              <w:t xml:space="preserve">Comparisons between the intervention and usual care groups will be made using t-tests, Mann-Whitney </w:t>
            </w:r>
            <w:r w:rsidR="00C52BDE">
              <w:rPr>
                <w:rFonts w:ascii="Arial" w:hAnsi="Arial" w:cs="Arial"/>
                <w:sz w:val="22"/>
                <w:szCs w:val="22"/>
              </w:rPr>
              <w:t xml:space="preserve">U </w:t>
            </w:r>
            <w:r w:rsidRPr="00540679">
              <w:rPr>
                <w:rFonts w:ascii="Arial" w:hAnsi="Arial" w:cs="Arial"/>
                <w:sz w:val="22"/>
                <w:szCs w:val="22"/>
              </w:rPr>
              <w:t>tests or chi-squared tests, depending on the variable of interest. The primary outcome will be assessed using a logistic regression analysis with stratification by site. Subsequently, potential confounders such as age, comorbidities, number of medicines and socioeconomic status will be considered. A competing risk analysis will be performed (death as the competing risk) should there be a considerable number of deaths within 30 days of hospital discharge</w:t>
            </w:r>
            <w:r w:rsidR="00A45B12" w:rsidRPr="00540679">
              <w:rPr>
                <w:rFonts w:ascii="Arial" w:hAnsi="Arial" w:cs="Arial"/>
                <w:sz w:val="22"/>
                <w:szCs w:val="22"/>
              </w:rPr>
              <w:t>.</w:t>
            </w:r>
            <w:r w:rsidRPr="00540679">
              <w:rPr>
                <w:rFonts w:ascii="Arial" w:hAnsi="Arial" w:cs="Arial"/>
                <w:sz w:val="22"/>
                <w:szCs w:val="22"/>
              </w:rPr>
              <w:t xml:space="preserve"> Appropriate regressions will be used to compare the two groups' unplanned bed days and medicine counts. Sensitivity analyses using a per-protocol approach will also be performed. A two-sided p-value ≤ 0.05 will be considered statistically significant.</w:t>
            </w:r>
          </w:p>
          <w:p w14:paraId="50F5C8D3" w14:textId="0026266A" w:rsidR="003B5971" w:rsidRPr="00540679" w:rsidRDefault="003B5971" w:rsidP="00B50960">
            <w:pPr>
              <w:jc w:val="both"/>
              <w:rPr>
                <w:rFonts w:ascii="Arial" w:hAnsi="Arial" w:cs="Arial"/>
                <w:sz w:val="22"/>
                <w:szCs w:val="22"/>
              </w:rPr>
            </w:pPr>
          </w:p>
          <w:p w14:paraId="16E569C5" w14:textId="50EE3D3F" w:rsidR="008A1F2A" w:rsidRPr="00540679" w:rsidRDefault="00B50960" w:rsidP="00B50960">
            <w:pPr>
              <w:spacing w:afterLines="80" w:after="192"/>
              <w:jc w:val="both"/>
              <w:rPr>
                <w:rFonts w:ascii="Arial" w:hAnsi="Arial" w:cs="Arial"/>
                <w:sz w:val="22"/>
                <w:szCs w:val="22"/>
              </w:rPr>
            </w:pPr>
            <w:r w:rsidRPr="00540679">
              <w:rPr>
                <w:rFonts w:ascii="Arial" w:hAnsi="Arial" w:cs="Arial"/>
                <w:sz w:val="22"/>
                <w:szCs w:val="22"/>
              </w:rPr>
              <w:lastRenderedPageBreak/>
              <w:t xml:space="preserve">To determine </w:t>
            </w:r>
            <w:r w:rsidR="00D6694F" w:rsidRPr="00540679">
              <w:rPr>
                <w:rFonts w:ascii="Arial" w:hAnsi="Arial" w:cs="Arial"/>
                <w:sz w:val="22"/>
                <w:szCs w:val="22"/>
              </w:rPr>
              <w:t>the economic value of TIC TOC intervention</w:t>
            </w:r>
            <w:r w:rsidR="003B5971" w:rsidRPr="00540679">
              <w:rPr>
                <w:rFonts w:ascii="Arial" w:hAnsi="Arial" w:cs="Arial"/>
                <w:sz w:val="22"/>
                <w:szCs w:val="22"/>
              </w:rPr>
              <w:t>,</w:t>
            </w:r>
            <w:r w:rsidR="00D6694F" w:rsidRPr="00540679">
              <w:rPr>
                <w:rFonts w:ascii="Arial" w:hAnsi="Arial" w:cs="Arial"/>
                <w:sz w:val="22"/>
                <w:szCs w:val="22"/>
              </w:rPr>
              <w:t xml:space="preserve"> i</w:t>
            </w:r>
            <w:r w:rsidR="003C2986" w:rsidRPr="00540679">
              <w:rPr>
                <w:rFonts w:ascii="Arial" w:hAnsi="Arial" w:cs="Arial"/>
                <w:sz w:val="22"/>
                <w:szCs w:val="22"/>
              </w:rPr>
              <w:t xml:space="preserve">ncremental cost-effectiveness ratios (ICERs) will be calculated as </w:t>
            </w:r>
            <w:r w:rsidR="008A1F2A" w:rsidRPr="00540679">
              <w:rPr>
                <w:rFonts w:ascii="Arial" w:hAnsi="Arial" w:cs="Arial"/>
                <w:sz w:val="22"/>
                <w:szCs w:val="22"/>
              </w:rPr>
              <w:t>(</w:t>
            </w:r>
            <w:proofErr w:type="spellStart"/>
            <w:r w:rsidR="008A1F2A" w:rsidRPr="00540679">
              <w:rPr>
                <w:rFonts w:ascii="Arial" w:hAnsi="Arial" w:cs="Arial"/>
                <w:sz w:val="22"/>
                <w:szCs w:val="22"/>
              </w:rPr>
              <w:t>i</w:t>
            </w:r>
            <w:proofErr w:type="spellEnd"/>
            <w:r w:rsidR="008A1F2A" w:rsidRPr="00540679">
              <w:rPr>
                <w:rFonts w:ascii="Arial" w:hAnsi="Arial" w:cs="Arial"/>
                <w:sz w:val="22"/>
                <w:szCs w:val="22"/>
              </w:rPr>
              <w:t xml:space="preserve">) </w:t>
            </w:r>
            <w:r w:rsidR="003C2986" w:rsidRPr="00540679">
              <w:rPr>
                <w:rFonts w:ascii="Arial" w:hAnsi="Arial" w:cs="Arial"/>
                <w:sz w:val="22"/>
                <w:szCs w:val="22"/>
              </w:rPr>
              <w:t>the incremental cost per unplanned hospitalisation/ED visit for all unplanned cases</w:t>
            </w:r>
            <w:r w:rsidR="008A1F2A" w:rsidRPr="00540679">
              <w:rPr>
                <w:rFonts w:ascii="Arial" w:hAnsi="Arial" w:cs="Arial"/>
                <w:sz w:val="22"/>
                <w:szCs w:val="22"/>
              </w:rPr>
              <w:t xml:space="preserve">, (ii) incremental cost per unplanned hospitalisation/ED visit for </w:t>
            </w:r>
            <w:r w:rsidR="003C2986" w:rsidRPr="00540679">
              <w:rPr>
                <w:rFonts w:ascii="Arial" w:hAnsi="Arial" w:cs="Arial"/>
                <w:sz w:val="22"/>
                <w:szCs w:val="22"/>
              </w:rPr>
              <w:t>medication-related harm cases</w:t>
            </w:r>
            <w:r w:rsidR="008A1F2A" w:rsidRPr="00540679">
              <w:rPr>
                <w:rFonts w:ascii="Arial" w:hAnsi="Arial" w:cs="Arial"/>
                <w:sz w:val="22"/>
                <w:szCs w:val="22"/>
              </w:rPr>
              <w:t>, and (iii) incremental cost per quality adjusted life years (QALYs). P</w:t>
            </w:r>
            <w:r w:rsidR="00D6694F" w:rsidRPr="00540679">
              <w:rPr>
                <w:rFonts w:ascii="Arial" w:hAnsi="Arial" w:cs="Arial"/>
                <w:sz w:val="22"/>
                <w:szCs w:val="22"/>
              </w:rPr>
              <w:t>rimary outcomes for each treatment arm are calculated, all costs to implement the intervention and usual care throughout the trial are accounte</w:t>
            </w:r>
            <w:r w:rsidR="008A1F2A" w:rsidRPr="00540679">
              <w:rPr>
                <w:rFonts w:ascii="Arial" w:hAnsi="Arial" w:cs="Arial"/>
                <w:sz w:val="22"/>
                <w:szCs w:val="22"/>
              </w:rPr>
              <w:t xml:space="preserve">d. </w:t>
            </w:r>
            <w:r w:rsidR="003B5971" w:rsidRPr="00540679">
              <w:rPr>
                <w:rFonts w:ascii="Arial" w:hAnsi="Arial" w:cs="Arial"/>
                <w:sz w:val="22"/>
                <w:szCs w:val="22"/>
              </w:rPr>
              <w:t xml:space="preserve">Costs might include staff time, training, and any additional resources required to deliver and engage stakeholders. For each patient, we will collect information related to their health service use within each care cycle. </w:t>
            </w:r>
            <w:r w:rsidR="008A1F2A" w:rsidRPr="00540679">
              <w:rPr>
                <w:rFonts w:ascii="Arial" w:hAnsi="Arial" w:cs="Arial"/>
                <w:sz w:val="22"/>
                <w:szCs w:val="22"/>
              </w:rPr>
              <w:t xml:space="preserve">The </w:t>
            </w:r>
            <w:r w:rsidR="003B5971" w:rsidRPr="00540679">
              <w:rPr>
                <w:rFonts w:ascii="Arial" w:hAnsi="Arial" w:cs="Arial"/>
                <w:sz w:val="22"/>
                <w:szCs w:val="22"/>
              </w:rPr>
              <w:t>cost-effectiveness analys</w:t>
            </w:r>
            <w:r w:rsidR="008A1F2A" w:rsidRPr="00540679">
              <w:rPr>
                <w:rFonts w:ascii="Arial" w:hAnsi="Arial" w:cs="Arial"/>
                <w:sz w:val="22"/>
                <w:szCs w:val="22"/>
              </w:rPr>
              <w:t>e</w:t>
            </w:r>
            <w:r w:rsidR="003B5971" w:rsidRPr="00540679">
              <w:rPr>
                <w:rFonts w:ascii="Arial" w:hAnsi="Arial" w:cs="Arial"/>
                <w:sz w:val="22"/>
                <w:szCs w:val="22"/>
              </w:rPr>
              <w:t>s will be modelled using techniques appropriate for RCT and the non-normal nature of both the cost and outcome variables (e.g., a generalised linear model with robust standard errors). Following the base case analysis, univariate and probabilistic sensitivity analyses will be conducted around key parameters likely to influence the cost and effectiveness estimates, including variability in the sampling, trial sites, and patient populations by risk factors.</w:t>
            </w:r>
            <w:r w:rsidR="003B5971" w:rsidRPr="00540679">
              <w:rPr>
                <w:rFonts w:ascii="Arial" w:hAnsi="Arial" w:cs="Arial"/>
                <w:noProof/>
                <w:sz w:val="22"/>
                <w:szCs w:val="22"/>
                <w:vertAlign w:val="superscript"/>
              </w:rPr>
              <w:t xml:space="preserve"> </w:t>
            </w:r>
          </w:p>
          <w:p w14:paraId="529C693A" w14:textId="368F9B5B" w:rsidR="003B5971" w:rsidRPr="00540679" w:rsidRDefault="6CBE7972" w:rsidP="00E34A1C">
            <w:pPr>
              <w:spacing w:afterLines="80" w:after="192"/>
              <w:jc w:val="both"/>
              <w:rPr>
                <w:rFonts w:ascii="Arial" w:hAnsi="Arial" w:cs="Arial"/>
                <w:sz w:val="22"/>
                <w:szCs w:val="22"/>
              </w:rPr>
            </w:pPr>
            <w:r w:rsidRPr="00540679">
              <w:rPr>
                <w:rFonts w:ascii="Arial" w:hAnsi="Arial" w:cs="Arial"/>
                <w:color w:val="000000" w:themeColor="text1"/>
                <w:sz w:val="22"/>
                <w:szCs w:val="22"/>
              </w:rPr>
              <w:t>I</w:t>
            </w:r>
            <w:r w:rsidR="00703770" w:rsidRPr="00540679">
              <w:rPr>
                <w:rFonts w:ascii="Arial" w:hAnsi="Arial" w:cs="Arial"/>
                <w:color w:val="000000" w:themeColor="text1"/>
                <w:sz w:val="22"/>
                <w:szCs w:val="22"/>
              </w:rPr>
              <w:t>nterviews will be conducted</w:t>
            </w:r>
            <w:r w:rsidR="002F4497" w:rsidRPr="00540679">
              <w:rPr>
                <w:rFonts w:ascii="Arial" w:hAnsi="Arial" w:cs="Arial"/>
                <w:color w:val="000000" w:themeColor="text1"/>
                <w:sz w:val="22"/>
                <w:szCs w:val="22"/>
              </w:rPr>
              <w:t xml:space="preserve"> </w:t>
            </w:r>
            <w:r w:rsidR="00703770" w:rsidRPr="00540679">
              <w:rPr>
                <w:rFonts w:ascii="Arial" w:hAnsi="Arial" w:cs="Arial"/>
                <w:color w:val="000000" w:themeColor="text1"/>
                <w:sz w:val="22"/>
                <w:szCs w:val="22"/>
              </w:rPr>
              <w:t>until saturation of themes is identified. I</w:t>
            </w:r>
            <w:r w:rsidR="00703770" w:rsidRPr="00540679">
              <w:rPr>
                <w:rFonts w:ascii="Arial" w:hAnsi="Arial" w:cs="Arial"/>
                <w:sz w:val="22"/>
                <w:szCs w:val="22"/>
              </w:rPr>
              <w:t>nterviews will be transcribed and analysed using inductive thematic analysis. Interview questions and analysis will be iterative throughout the study, allowing emerging themes to be examined in later interviews. Concordant processes of memo-</w:t>
            </w:r>
            <w:proofErr w:type="spellStart"/>
            <w:r w:rsidR="00703770" w:rsidRPr="00540679">
              <w:rPr>
                <w:rFonts w:ascii="Arial" w:hAnsi="Arial" w:cs="Arial"/>
                <w:sz w:val="22"/>
                <w:szCs w:val="22"/>
              </w:rPr>
              <w:t>ing</w:t>
            </w:r>
            <w:proofErr w:type="spellEnd"/>
            <w:r w:rsidR="00703770" w:rsidRPr="00540679">
              <w:rPr>
                <w:rFonts w:ascii="Arial" w:hAnsi="Arial" w:cs="Arial"/>
                <w:sz w:val="22"/>
                <w:szCs w:val="22"/>
              </w:rPr>
              <w:t xml:space="preserve"> on codes will enable the clustering of related codes into categories. Two independent researchers will use constant comparative analysis to refine codes and categories. </w:t>
            </w:r>
          </w:p>
          <w:p w14:paraId="36C6A5BE" w14:textId="3CC2B179" w:rsidR="00063F24" w:rsidRPr="00540679" w:rsidRDefault="00063F24" w:rsidP="00B50960">
            <w:pPr>
              <w:jc w:val="both"/>
              <w:rPr>
                <w:rFonts w:ascii="Arial" w:hAnsi="Arial" w:cs="Arial"/>
                <w:sz w:val="22"/>
                <w:szCs w:val="22"/>
              </w:rPr>
            </w:pPr>
          </w:p>
        </w:tc>
      </w:tr>
      <w:tr w:rsidR="00063F24" w:rsidRPr="00540679" w14:paraId="30BF8C56" w14:textId="77777777" w:rsidTr="2688972B">
        <w:trPr>
          <w:trHeight w:val="464"/>
        </w:trPr>
        <w:tc>
          <w:tcPr>
            <w:tcW w:w="2560" w:type="dxa"/>
          </w:tcPr>
          <w:p w14:paraId="5F49093E" w14:textId="4929A640" w:rsidR="00063F24" w:rsidRPr="00540679" w:rsidRDefault="00063F24" w:rsidP="00063F24">
            <w:pPr>
              <w:rPr>
                <w:rFonts w:ascii="Arial" w:hAnsi="Arial" w:cs="Arial"/>
                <w:sz w:val="22"/>
                <w:szCs w:val="22"/>
              </w:rPr>
            </w:pPr>
            <w:r w:rsidRPr="00540679">
              <w:rPr>
                <w:rFonts w:ascii="Arial" w:hAnsi="Arial" w:cs="Arial"/>
                <w:sz w:val="22"/>
                <w:szCs w:val="22"/>
              </w:rPr>
              <w:lastRenderedPageBreak/>
              <w:t>Study duration</w:t>
            </w:r>
          </w:p>
        </w:tc>
        <w:tc>
          <w:tcPr>
            <w:tcW w:w="6906" w:type="dxa"/>
          </w:tcPr>
          <w:p w14:paraId="0FF47880" w14:textId="64DC90BD" w:rsidR="00063F24" w:rsidRPr="00540679" w:rsidRDefault="00E8040A" w:rsidP="00063F24">
            <w:pPr>
              <w:jc w:val="both"/>
              <w:rPr>
                <w:rFonts w:ascii="Arial" w:hAnsi="Arial" w:cs="Arial"/>
                <w:sz w:val="22"/>
                <w:szCs w:val="22"/>
              </w:rPr>
            </w:pPr>
            <w:r w:rsidRPr="00540679">
              <w:rPr>
                <w:rFonts w:ascii="Arial" w:hAnsi="Arial" w:cs="Arial"/>
                <w:sz w:val="22"/>
                <w:szCs w:val="22"/>
              </w:rPr>
              <w:t>7</w:t>
            </w:r>
            <w:r w:rsidR="00063F24" w:rsidRPr="00540679">
              <w:rPr>
                <w:rFonts w:ascii="Arial" w:hAnsi="Arial" w:cs="Arial"/>
                <w:sz w:val="22"/>
                <w:szCs w:val="22"/>
              </w:rPr>
              <w:t xml:space="preserve"> years</w:t>
            </w:r>
          </w:p>
        </w:tc>
      </w:tr>
    </w:tbl>
    <w:p w14:paraId="68071F3F" w14:textId="77777777" w:rsidR="00450484" w:rsidRPr="00540679" w:rsidRDefault="00450484" w:rsidP="00B400B4">
      <w:pPr>
        <w:rPr>
          <w:rFonts w:ascii="Arial" w:hAnsi="Arial" w:cs="Arial"/>
          <w:sz w:val="22"/>
          <w:szCs w:val="22"/>
        </w:rPr>
      </w:pPr>
      <w:bookmarkStart w:id="11" w:name="_Toc224114238"/>
      <w:bookmarkStart w:id="12" w:name="_Toc224114363"/>
      <w:bookmarkStart w:id="13" w:name="_Toc229297233"/>
      <w:bookmarkStart w:id="14" w:name="_Toc229297340"/>
      <w:bookmarkStart w:id="15" w:name="_Toc229298363"/>
      <w:bookmarkStart w:id="16" w:name="_Toc229307330"/>
      <w:bookmarkStart w:id="17" w:name="_Toc229308150"/>
      <w:bookmarkStart w:id="18" w:name="_Toc235338624"/>
    </w:p>
    <w:p w14:paraId="7446ADDE" w14:textId="77777777" w:rsidR="00450484" w:rsidRPr="00540679" w:rsidRDefault="00450484" w:rsidP="00E10130">
      <w:pPr>
        <w:spacing w:line="276" w:lineRule="auto"/>
        <w:ind w:left="720" w:hanging="720"/>
        <w:outlineLvl w:val="0"/>
        <w:rPr>
          <w:rFonts w:ascii="Arial" w:hAnsi="Arial" w:cs="Arial"/>
          <w:b/>
          <w:sz w:val="22"/>
          <w:szCs w:val="22"/>
        </w:rPr>
      </w:pPr>
      <w:r w:rsidRPr="00540679">
        <w:rPr>
          <w:rFonts w:ascii="Arial" w:hAnsi="Arial" w:cs="Arial"/>
          <w:sz w:val="22"/>
          <w:szCs w:val="22"/>
        </w:rPr>
        <w:br w:type="page"/>
      </w:r>
      <w:bookmarkStart w:id="19" w:name="_Toc236472623"/>
      <w:bookmarkStart w:id="20" w:name="_Toc236473743"/>
      <w:bookmarkStart w:id="21" w:name="_Toc23337546"/>
      <w:r w:rsidRPr="00540679">
        <w:rPr>
          <w:rFonts w:ascii="Arial" w:hAnsi="Arial" w:cs="Arial"/>
          <w:b/>
          <w:sz w:val="22"/>
          <w:szCs w:val="22"/>
        </w:rPr>
        <w:lastRenderedPageBreak/>
        <w:t xml:space="preserve">2.  </w:t>
      </w:r>
      <w:bookmarkEnd w:id="11"/>
      <w:bookmarkEnd w:id="12"/>
      <w:bookmarkEnd w:id="13"/>
      <w:bookmarkEnd w:id="14"/>
      <w:bookmarkEnd w:id="15"/>
      <w:bookmarkEnd w:id="16"/>
      <w:bookmarkEnd w:id="17"/>
      <w:bookmarkEnd w:id="18"/>
      <w:bookmarkEnd w:id="19"/>
      <w:bookmarkEnd w:id="20"/>
      <w:r w:rsidRPr="00540679">
        <w:rPr>
          <w:rFonts w:ascii="Arial" w:hAnsi="Arial" w:cs="Arial"/>
          <w:b/>
          <w:sz w:val="22"/>
          <w:szCs w:val="22"/>
        </w:rPr>
        <w:t>BACKGROUND AND RATIONALE</w:t>
      </w:r>
      <w:bookmarkEnd w:id="21"/>
    </w:p>
    <w:p w14:paraId="568912C3" w14:textId="77777777" w:rsidR="00450484" w:rsidRPr="00540679" w:rsidRDefault="00450484" w:rsidP="00E10130">
      <w:pPr>
        <w:spacing w:line="276" w:lineRule="auto"/>
        <w:ind w:left="720" w:hanging="720"/>
        <w:outlineLvl w:val="0"/>
        <w:rPr>
          <w:rFonts w:ascii="Arial" w:hAnsi="Arial" w:cs="Arial"/>
          <w:b/>
          <w:sz w:val="22"/>
          <w:szCs w:val="22"/>
        </w:rPr>
      </w:pPr>
    </w:p>
    <w:p w14:paraId="2E966EE0" w14:textId="43385332" w:rsidR="00F90838" w:rsidRPr="00540679" w:rsidRDefault="00DD521D" w:rsidP="00E10130">
      <w:pPr>
        <w:autoSpaceDE w:val="0"/>
        <w:autoSpaceDN w:val="0"/>
        <w:adjustRightInd w:val="0"/>
        <w:spacing w:afterLines="80" w:after="192" w:line="276" w:lineRule="auto"/>
        <w:jc w:val="both"/>
        <w:rPr>
          <w:rFonts w:ascii="Arial" w:hAnsi="Arial" w:cs="Arial"/>
          <w:sz w:val="22"/>
          <w:szCs w:val="22"/>
        </w:rPr>
      </w:pPr>
      <w:r w:rsidRPr="00540679">
        <w:rPr>
          <w:rFonts w:ascii="Arial" w:hAnsi="Arial" w:cs="Arial"/>
          <w:sz w:val="22"/>
          <w:szCs w:val="22"/>
        </w:rPr>
        <w:t>After hospital discharge, over 90% of Australians have at least one medication-related problem.</w:t>
      </w:r>
      <w:r w:rsidRPr="00540679">
        <w:rPr>
          <w:rFonts w:ascii="Arial" w:hAnsi="Arial" w:cs="Arial"/>
          <w:noProof/>
          <w:sz w:val="22"/>
          <w:szCs w:val="22"/>
          <w:vertAlign w:val="superscript"/>
        </w:rPr>
        <w:t>1</w:t>
      </w:r>
      <w:r w:rsidRPr="00540679">
        <w:rPr>
          <w:rFonts w:ascii="Arial" w:hAnsi="Arial" w:cs="Arial"/>
          <w:sz w:val="22"/>
          <w:szCs w:val="22"/>
        </w:rPr>
        <w:t xml:space="preserve"> </w:t>
      </w:r>
      <w:r w:rsidR="003A45C4" w:rsidRPr="00540679">
        <w:rPr>
          <w:rFonts w:ascii="Arial" w:hAnsi="Arial" w:cs="Arial"/>
          <w:sz w:val="22"/>
          <w:szCs w:val="22"/>
        </w:rPr>
        <w:t xml:space="preserve">Transitions of care are a period when the risk of medication errors and adverse events is high. Improving medication safety at these transitions is </w:t>
      </w:r>
      <w:r w:rsidR="003A45C4" w:rsidRPr="00540679">
        <w:rPr>
          <w:rFonts w:ascii="Arial" w:hAnsi="Arial" w:cs="Arial"/>
          <w:color w:val="000000" w:themeColor="text1"/>
          <w:sz w:val="22"/>
          <w:szCs w:val="22"/>
        </w:rPr>
        <w:t>one of three flagship areas of the World Health Organisation Global Patient Safety Challenge: Medication Without Harm.</w:t>
      </w:r>
      <w:r w:rsidR="003A45C4" w:rsidRPr="00540679">
        <w:rPr>
          <w:rFonts w:ascii="Arial" w:hAnsi="Arial" w:cs="Arial"/>
          <w:color w:val="000000" w:themeColor="text1"/>
          <w:sz w:val="22"/>
          <w:szCs w:val="22"/>
          <w:vertAlign w:val="superscript"/>
        </w:rPr>
        <w:t xml:space="preserve">2,3 </w:t>
      </w:r>
      <w:r w:rsidR="00F90838" w:rsidRPr="00540679">
        <w:rPr>
          <w:rFonts w:ascii="Arial" w:hAnsi="Arial" w:cs="Arial"/>
          <w:sz w:val="22"/>
          <w:szCs w:val="22"/>
        </w:rPr>
        <w:t>In Australia, an estimated 250,000 hospital admissions annually are medication-related, costing $1.4 billion per year.</w:t>
      </w:r>
      <w:r w:rsidR="00F90838" w:rsidRPr="00540679">
        <w:rPr>
          <w:rFonts w:ascii="Arial" w:hAnsi="Arial" w:cs="Arial"/>
          <w:noProof/>
          <w:sz w:val="22"/>
          <w:szCs w:val="22"/>
          <w:vertAlign w:val="superscript"/>
        </w:rPr>
        <w:t>4,5</w:t>
      </w:r>
      <w:r w:rsidR="00F90838" w:rsidRPr="00540679">
        <w:rPr>
          <w:rFonts w:ascii="Arial" w:hAnsi="Arial" w:cs="Arial"/>
          <w:sz w:val="22"/>
          <w:szCs w:val="22"/>
        </w:rPr>
        <w:t xml:space="preserve"> In particular, rural and remote Australians are up to 2.4 times more likely to have a preventable hospitalisation than non-rural Australians.</w:t>
      </w:r>
      <w:r w:rsidR="00F90838" w:rsidRPr="00540679">
        <w:rPr>
          <w:rFonts w:ascii="Arial" w:hAnsi="Arial" w:cs="Arial"/>
          <w:noProof/>
          <w:sz w:val="22"/>
          <w:szCs w:val="22"/>
          <w:vertAlign w:val="superscript"/>
        </w:rPr>
        <w:t>7</w:t>
      </w:r>
      <w:r w:rsidR="00F90838" w:rsidRPr="00540679">
        <w:rPr>
          <w:rFonts w:ascii="Arial" w:hAnsi="Arial" w:cs="Arial"/>
          <w:sz w:val="22"/>
          <w:szCs w:val="22"/>
        </w:rPr>
        <w:t xml:space="preserve"> Furthermore, Aboriginal and Torres Strait Islander people, who often live in rural and regional areas, are three times as likely to have a preventable hospitalisation than non-indigenous Australians.</w:t>
      </w:r>
      <w:r w:rsidR="00F90838" w:rsidRPr="00540679">
        <w:rPr>
          <w:rFonts w:ascii="Arial" w:hAnsi="Arial" w:cs="Arial"/>
          <w:noProof/>
          <w:sz w:val="22"/>
          <w:szCs w:val="22"/>
          <w:vertAlign w:val="superscript"/>
        </w:rPr>
        <w:t>7,8</w:t>
      </w:r>
      <w:r w:rsidR="00F90838" w:rsidRPr="00540679">
        <w:rPr>
          <w:rFonts w:ascii="Arial" w:hAnsi="Arial" w:cs="Arial"/>
          <w:sz w:val="22"/>
          <w:szCs w:val="22"/>
        </w:rPr>
        <w:t xml:space="preserve"> Medication-related hospital readmissions in rural and regional Australian hospitals have been shown to be due to inappropriate/suboptimal pharmacological therapy at discharge in 62% of cases and inadequate communication/monitoring in 41% of cases.</w:t>
      </w:r>
      <w:r w:rsidR="00F90838" w:rsidRPr="00540679">
        <w:rPr>
          <w:rFonts w:ascii="Arial" w:hAnsi="Arial" w:cs="Arial"/>
          <w:noProof/>
          <w:sz w:val="22"/>
          <w:szCs w:val="22"/>
          <w:vertAlign w:val="superscript"/>
        </w:rPr>
        <w:t>17</w:t>
      </w:r>
      <w:r w:rsidR="00F90838" w:rsidRPr="00540679">
        <w:rPr>
          <w:rFonts w:ascii="Arial" w:hAnsi="Arial" w:cs="Arial"/>
          <w:sz w:val="22"/>
          <w:szCs w:val="22"/>
        </w:rPr>
        <w:t xml:space="preserve"> Due to pharmacists’ expertise in medication management, two systematic reviews have shown that pharmacy-led transitions of care services can successfully reduce hospital readmissions.</w:t>
      </w:r>
      <w:r w:rsidR="00F90838" w:rsidRPr="00540679">
        <w:rPr>
          <w:rFonts w:ascii="Arial" w:hAnsi="Arial" w:cs="Arial"/>
          <w:noProof/>
          <w:sz w:val="22"/>
          <w:szCs w:val="22"/>
          <w:vertAlign w:val="superscript"/>
        </w:rPr>
        <w:t>18,19</w:t>
      </w:r>
      <w:r w:rsidR="00F90838" w:rsidRPr="00540679">
        <w:rPr>
          <w:rFonts w:ascii="Arial" w:hAnsi="Arial" w:cs="Arial"/>
          <w:sz w:val="22"/>
          <w:szCs w:val="22"/>
        </w:rPr>
        <w:t xml:space="preserve"> These systematic reviews showed that the combination of (</w:t>
      </w:r>
      <w:proofErr w:type="spellStart"/>
      <w:r w:rsidR="00F90838" w:rsidRPr="00540679">
        <w:rPr>
          <w:rFonts w:ascii="Arial" w:hAnsi="Arial" w:cs="Arial"/>
          <w:sz w:val="22"/>
          <w:szCs w:val="22"/>
        </w:rPr>
        <w:t>i</w:t>
      </w:r>
      <w:proofErr w:type="spellEnd"/>
      <w:r w:rsidR="00F90838" w:rsidRPr="00540679">
        <w:rPr>
          <w:rFonts w:ascii="Arial" w:hAnsi="Arial" w:cs="Arial"/>
          <w:sz w:val="22"/>
          <w:szCs w:val="22"/>
        </w:rPr>
        <w:t>) targeting specific patient populations and (ii) utilisation of an effective transition of care stewardship (TOCS) intervention reduced 30-day readmissions</w:t>
      </w:r>
      <w:r w:rsidR="00F90838" w:rsidRPr="00540679">
        <w:rPr>
          <w:rFonts w:ascii="Arial" w:hAnsi="Arial" w:cs="Arial"/>
          <w:noProof/>
          <w:sz w:val="22"/>
          <w:szCs w:val="22"/>
          <w:vertAlign w:val="superscript"/>
        </w:rPr>
        <w:t>18,19</w:t>
      </w:r>
      <w:r w:rsidR="00F90838" w:rsidRPr="00540679">
        <w:rPr>
          <w:rFonts w:ascii="Arial" w:hAnsi="Arial" w:cs="Arial"/>
          <w:sz w:val="22"/>
          <w:szCs w:val="22"/>
        </w:rPr>
        <w:t>, with the meta-analysis showing a 32% reduction in odds for readmission.</w:t>
      </w:r>
      <w:r w:rsidR="00F90838" w:rsidRPr="00540679">
        <w:rPr>
          <w:rFonts w:ascii="Arial" w:hAnsi="Arial" w:cs="Arial"/>
          <w:noProof/>
          <w:sz w:val="22"/>
          <w:szCs w:val="22"/>
          <w:vertAlign w:val="superscript"/>
        </w:rPr>
        <w:t>19</w:t>
      </w:r>
      <w:r w:rsidR="00F90838" w:rsidRPr="00540679">
        <w:rPr>
          <w:rFonts w:ascii="Arial" w:hAnsi="Arial" w:cs="Arial"/>
          <w:sz w:val="22"/>
          <w:szCs w:val="22"/>
        </w:rPr>
        <w:t xml:space="preserve"> These TOCS interventions included discharge counselling, discharge medication reconciliation and medication reviews. In Australia, the Commonwealth funds </w:t>
      </w:r>
      <w:r w:rsidR="00F90838" w:rsidRPr="00540679">
        <w:rPr>
          <w:rFonts w:ascii="Arial" w:hAnsi="Arial" w:cs="Arial"/>
          <w:color w:val="000000" w:themeColor="text1"/>
          <w:sz w:val="22"/>
          <w:szCs w:val="22"/>
        </w:rPr>
        <w:t>pharmacist-led</w:t>
      </w:r>
      <w:r w:rsidR="00F32208" w:rsidRPr="00540679">
        <w:rPr>
          <w:rFonts w:ascii="Arial" w:hAnsi="Arial" w:cs="Arial"/>
          <w:color w:val="000000" w:themeColor="text1"/>
          <w:sz w:val="22"/>
          <w:szCs w:val="22"/>
        </w:rPr>
        <w:t xml:space="preserve"> Home Medicine Reviews</w:t>
      </w:r>
      <w:r w:rsidR="00F90838" w:rsidRPr="00540679">
        <w:rPr>
          <w:rFonts w:ascii="Arial" w:hAnsi="Arial" w:cs="Arial"/>
          <w:color w:val="000000" w:themeColor="text1"/>
          <w:sz w:val="22"/>
          <w:szCs w:val="22"/>
        </w:rPr>
        <w:t xml:space="preserve"> </w:t>
      </w:r>
      <w:r w:rsidR="00F32208" w:rsidRPr="00540679">
        <w:rPr>
          <w:rFonts w:ascii="Arial" w:hAnsi="Arial" w:cs="Arial"/>
          <w:color w:val="000000" w:themeColor="text1"/>
          <w:sz w:val="22"/>
          <w:szCs w:val="22"/>
        </w:rPr>
        <w:t>(</w:t>
      </w:r>
      <w:r w:rsidR="00F90838" w:rsidRPr="00540679">
        <w:rPr>
          <w:rFonts w:ascii="Arial" w:hAnsi="Arial" w:cs="Arial"/>
          <w:color w:val="000000" w:themeColor="text1"/>
          <w:sz w:val="22"/>
          <w:szCs w:val="22"/>
        </w:rPr>
        <w:t>HMRs</w:t>
      </w:r>
      <w:r w:rsidR="00F32208" w:rsidRPr="00540679">
        <w:rPr>
          <w:rFonts w:ascii="Arial" w:hAnsi="Arial" w:cs="Arial"/>
          <w:color w:val="000000" w:themeColor="text1"/>
          <w:sz w:val="22"/>
          <w:szCs w:val="22"/>
        </w:rPr>
        <w:t>)</w:t>
      </w:r>
      <w:r w:rsidR="00F90838" w:rsidRPr="00540679">
        <w:rPr>
          <w:rFonts w:ascii="Arial" w:hAnsi="Arial" w:cs="Arial"/>
          <w:color w:val="000000" w:themeColor="text1"/>
          <w:sz w:val="22"/>
          <w:szCs w:val="22"/>
        </w:rPr>
        <w:t>, which have been shown to reduce medication errors and unplanned hospital readmissions if provided promptly.</w:t>
      </w:r>
      <w:r w:rsidR="00F90838" w:rsidRPr="00540679">
        <w:rPr>
          <w:rFonts w:ascii="Arial" w:hAnsi="Arial" w:cs="Arial"/>
          <w:color w:val="000000" w:themeColor="text1"/>
          <w:sz w:val="22"/>
          <w:szCs w:val="22"/>
          <w:vertAlign w:val="superscript"/>
        </w:rPr>
        <w:t>9-11</w:t>
      </w:r>
      <w:r w:rsidR="00F90838" w:rsidRPr="00540679">
        <w:rPr>
          <w:rFonts w:ascii="Arial" w:hAnsi="Arial" w:cs="Arial"/>
          <w:color w:val="000000" w:themeColor="text1"/>
          <w:sz w:val="22"/>
          <w:szCs w:val="22"/>
        </w:rPr>
        <w:t xml:space="preserve"> </w:t>
      </w:r>
      <w:r w:rsidR="00F90838" w:rsidRPr="00540679">
        <w:rPr>
          <w:rFonts w:ascii="Arial" w:hAnsi="Arial" w:cs="Arial"/>
          <w:sz w:val="22"/>
          <w:szCs w:val="22"/>
        </w:rPr>
        <w:t>When high-risk patients receive a timely post-discharge HMR, the rates of unplanned readmission reduce (45% vs 28%, P&lt;0.05).</w:t>
      </w:r>
      <w:r w:rsidR="00F90838" w:rsidRPr="00540679">
        <w:rPr>
          <w:rFonts w:ascii="Arial" w:hAnsi="Arial" w:cs="Arial"/>
          <w:noProof/>
          <w:sz w:val="22"/>
          <w:szCs w:val="22"/>
          <w:vertAlign w:val="superscript"/>
        </w:rPr>
        <w:t>10</w:t>
      </w:r>
      <w:r w:rsidR="00F90838" w:rsidRPr="00540679">
        <w:rPr>
          <w:rFonts w:ascii="Arial" w:hAnsi="Arial" w:cs="Arial"/>
          <w:sz w:val="22"/>
          <w:szCs w:val="22"/>
        </w:rPr>
        <w:t xml:space="preserve"> </w:t>
      </w:r>
      <w:r w:rsidR="00F90838" w:rsidRPr="00540679">
        <w:rPr>
          <w:rFonts w:ascii="Arial" w:hAnsi="Arial" w:cs="Arial"/>
          <w:color w:val="000000" w:themeColor="text1"/>
          <w:sz w:val="22"/>
          <w:szCs w:val="22"/>
        </w:rPr>
        <w:t xml:space="preserve">Despite this, </w:t>
      </w:r>
      <w:r w:rsidR="00F90838" w:rsidRPr="00540679">
        <w:rPr>
          <w:rFonts w:ascii="Arial" w:hAnsi="Arial" w:cs="Arial"/>
          <w:sz w:val="22"/>
          <w:szCs w:val="22"/>
        </w:rPr>
        <w:t>strategies (</w:t>
      </w:r>
      <w:proofErr w:type="spellStart"/>
      <w:r w:rsidR="00F90838" w:rsidRPr="00540679">
        <w:rPr>
          <w:rFonts w:ascii="Arial" w:hAnsi="Arial" w:cs="Arial"/>
          <w:sz w:val="22"/>
          <w:szCs w:val="22"/>
        </w:rPr>
        <w:t>i</w:t>
      </w:r>
      <w:proofErr w:type="spellEnd"/>
      <w:r w:rsidR="00F90838" w:rsidRPr="00540679">
        <w:rPr>
          <w:rFonts w:ascii="Arial" w:hAnsi="Arial" w:cs="Arial"/>
          <w:sz w:val="22"/>
          <w:szCs w:val="22"/>
        </w:rPr>
        <w:t xml:space="preserve">) and (ii) described above are not routinely implemented and </w:t>
      </w:r>
      <w:r w:rsidR="00F90838" w:rsidRPr="00540679">
        <w:rPr>
          <w:rFonts w:ascii="Arial" w:hAnsi="Arial" w:cs="Arial"/>
          <w:color w:val="000000" w:themeColor="text1"/>
          <w:sz w:val="22"/>
          <w:szCs w:val="22"/>
        </w:rPr>
        <w:t>the provision of HMRs to high-risk patients after discharge is unacceptably low at 1-2%.</w:t>
      </w:r>
      <w:r w:rsidR="00F90838" w:rsidRPr="00540679">
        <w:rPr>
          <w:rFonts w:ascii="Arial" w:hAnsi="Arial" w:cs="Arial"/>
          <w:noProof/>
          <w:sz w:val="22"/>
          <w:szCs w:val="22"/>
          <w:vertAlign w:val="superscript"/>
        </w:rPr>
        <w:t>12,13</w:t>
      </w:r>
      <w:r w:rsidR="00F90838" w:rsidRPr="00540679">
        <w:rPr>
          <w:rFonts w:ascii="Arial" w:hAnsi="Arial" w:cs="Arial"/>
          <w:sz w:val="22"/>
          <w:szCs w:val="22"/>
        </w:rPr>
        <w:t xml:space="preserve"> </w:t>
      </w:r>
    </w:p>
    <w:p w14:paraId="5C285E97" w14:textId="77777777" w:rsidR="00F90838" w:rsidRPr="00540679" w:rsidRDefault="00F90838" w:rsidP="00E10130">
      <w:pPr>
        <w:autoSpaceDE w:val="0"/>
        <w:autoSpaceDN w:val="0"/>
        <w:adjustRightInd w:val="0"/>
        <w:spacing w:afterLines="80" w:after="192" w:line="276" w:lineRule="auto"/>
        <w:jc w:val="both"/>
        <w:rPr>
          <w:rFonts w:ascii="Arial" w:hAnsi="Arial" w:cs="Arial"/>
          <w:sz w:val="22"/>
          <w:szCs w:val="22"/>
        </w:rPr>
      </w:pPr>
      <w:r w:rsidRPr="00540679">
        <w:rPr>
          <w:rFonts w:ascii="Arial" w:hAnsi="Arial" w:cs="Arial"/>
          <w:sz w:val="22"/>
          <w:szCs w:val="22"/>
        </w:rPr>
        <w:t>A recent study by our team (2022) explored the reasons for low uptake of post-discharge HMRs.</w:t>
      </w:r>
      <w:r w:rsidRPr="00540679">
        <w:rPr>
          <w:rFonts w:ascii="Arial" w:hAnsi="Arial" w:cs="Arial"/>
          <w:noProof/>
          <w:sz w:val="22"/>
          <w:szCs w:val="22"/>
          <w:vertAlign w:val="superscript"/>
        </w:rPr>
        <w:t>14</w:t>
      </w:r>
      <w:r w:rsidRPr="00540679">
        <w:rPr>
          <w:rFonts w:ascii="Arial" w:hAnsi="Arial" w:cs="Arial"/>
          <w:sz w:val="22"/>
          <w:szCs w:val="22"/>
        </w:rPr>
        <w:t xml:space="preserve"> We found many implementation issues</w:t>
      </w:r>
      <w:r w:rsidRPr="00540679">
        <w:rPr>
          <w:rFonts w:ascii="Arial" w:hAnsi="Arial" w:cs="Arial"/>
          <w:noProof/>
          <w:sz w:val="22"/>
          <w:szCs w:val="22"/>
          <w:vertAlign w:val="superscript"/>
        </w:rPr>
        <w:t>14</w:t>
      </w:r>
      <w:r w:rsidRPr="00540679">
        <w:rPr>
          <w:rFonts w:ascii="Arial" w:hAnsi="Arial" w:cs="Arial"/>
          <w:sz w:val="22"/>
          <w:szCs w:val="22"/>
        </w:rPr>
        <w:t xml:space="preserve"> that are reflected in the Consolidated Framework for Implementation Research (CFIR).</w:t>
      </w:r>
      <w:r w:rsidRPr="00540679">
        <w:rPr>
          <w:rFonts w:ascii="Arial" w:hAnsi="Arial" w:cs="Arial"/>
          <w:noProof/>
          <w:sz w:val="22"/>
          <w:szCs w:val="22"/>
          <w:vertAlign w:val="superscript"/>
        </w:rPr>
        <w:t>20</w:t>
      </w:r>
      <w:r w:rsidRPr="00540679">
        <w:rPr>
          <w:rFonts w:ascii="Arial" w:hAnsi="Arial" w:cs="Arial"/>
          <w:sz w:val="22"/>
          <w:szCs w:val="22"/>
        </w:rPr>
        <w:t xml:space="preserve"> These include the (</w:t>
      </w:r>
      <w:proofErr w:type="spellStart"/>
      <w:r w:rsidRPr="00540679">
        <w:rPr>
          <w:rFonts w:ascii="Arial" w:hAnsi="Arial" w:cs="Arial"/>
          <w:sz w:val="22"/>
          <w:szCs w:val="22"/>
        </w:rPr>
        <w:t>i</w:t>
      </w:r>
      <w:proofErr w:type="spellEnd"/>
      <w:r w:rsidRPr="00540679">
        <w:rPr>
          <w:rFonts w:ascii="Arial" w:hAnsi="Arial" w:cs="Arial"/>
          <w:sz w:val="22"/>
          <w:szCs w:val="22"/>
        </w:rPr>
        <w:t>) outer setting (GPs not remunerated for participating in hospital-initiated medication reviews, HMR numbers capped for pharmacists, pharmacists not funded for case conferences), (ii) inner setting (limited staffing for transitions of care), (iii) processes (lack of streamlined pathways, no risk tools used) and (iv) individuals involved (poor prescriber awareness).</w:t>
      </w:r>
      <w:r w:rsidRPr="00540679">
        <w:rPr>
          <w:rFonts w:ascii="Arial" w:hAnsi="Arial" w:cs="Arial"/>
          <w:noProof/>
          <w:sz w:val="22"/>
          <w:szCs w:val="22"/>
          <w:vertAlign w:val="superscript"/>
        </w:rPr>
        <w:t>14</w:t>
      </w:r>
      <w:r w:rsidRPr="00540679">
        <w:rPr>
          <w:rFonts w:ascii="Arial" w:hAnsi="Arial" w:cs="Arial"/>
          <w:sz w:val="22"/>
          <w:szCs w:val="22"/>
        </w:rPr>
        <w:t xml:space="preserve"> To address these concerns, our team developed the SHPA Hospital-initiated Medication Review protocols to support hospital clinicians to facilitate timely post-discharge medication reviews.</w:t>
      </w:r>
      <w:r w:rsidRPr="00540679">
        <w:rPr>
          <w:rFonts w:ascii="Arial" w:hAnsi="Arial" w:cs="Arial"/>
          <w:noProof/>
          <w:sz w:val="22"/>
          <w:szCs w:val="22"/>
          <w:vertAlign w:val="superscript"/>
        </w:rPr>
        <w:t>21</w:t>
      </w:r>
      <w:r w:rsidRPr="00540679">
        <w:rPr>
          <w:rFonts w:ascii="Arial" w:hAnsi="Arial" w:cs="Arial"/>
          <w:sz w:val="22"/>
          <w:szCs w:val="22"/>
        </w:rPr>
        <w:t xml:space="preserve"> The SHPA pathway aims to maintain patients’ existing support structures by engaging with their usual GP. However, if the GP is unavailable or an urgent HMR referral cannot be organised via the GP, a referral by a hospital-based medical specialist will be facilitated (with GP notified of the review and provided with a copy of the pharmacist’s report).</w:t>
      </w:r>
      <w:r w:rsidRPr="00540679">
        <w:rPr>
          <w:rFonts w:ascii="Arial" w:hAnsi="Arial" w:cs="Arial"/>
          <w:noProof/>
          <w:sz w:val="22"/>
          <w:szCs w:val="22"/>
          <w:vertAlign w:val="superscript"/>
        </w:rPr>
        <w:t>21</w:t>
      </w:r>
      <w:r w:rsidRPr="00540679">
        <w:rPr>
          <w:rFonts w:ascii="Arial" w:hAnsi="Arial" w:cs="Arial"/>
          <w:sz w:val="22"/>
          <w:szCs w:val="22"/>
        </w:rPr>
        <w:t xml:space="preserve"> The SHPA protocols address screening/risk stratification, information flow, home visits, follow-ups and the roles and responsibilities of each clinician used as a basis for this study.</w:t>
      </w:r>
      <w:r w:rsidRPr="00540679">
        <w:rPr>
          <w:rFonts w:ascii="Arial" w:hAnsi="Arial" w:cs="Arial"/>
          <w:noProof/>
          <w:sz w:val="22"/>
          <w:szCs w:val="22"/>
          <w:vertAlign w:val="superscript"/>
        </w:rPr>
        <w:t>21</w:t>
      </w:r>
    </w:p>
    <w:p w14:paraId="08B701E3" w14:textId="7C142DB6" w:rsidR="00F90838" w:rsidRPr="00540679" w:rsidRDefault="00F90838" w:rsidP="00E10130">
      <w:pPr>
        <w:spacing w:afterLines="80" w:after="192" w:line="276" w:lineRule="auto"/>
        <w:jc w:val="both"/>
        <w:rPr>
          <w:rFonts w:ascii="Arial" w:hAnsi="Arial" w:cs="Arial"/>
          <w:sz w:val="22"/>
          <w:szCs w:val="22"/>
        </w:rPr>
      </w:pPr>
      <w:r w:rsidRPr="00540679">
        <w:rPr>
          <w:rFonts w:ascii="Arial" w:eastAsiaTheme="minorEastAsia" w:hAnsi="Arial" w:cs="Arial"/>
          <w:sz w:val="22"/>
          <w:szCs w:val="22"/>
        </w:rPr>
        <w:t>Consumer Health Forum (CHF) research shows that most consumers (72%) also believe pharmacists should play a more significant role in providing primary healthcare services while keeping the GP informed.</w:t>
      </w:r>
      <w:r w:rsidRPr="00540679">
        <w:rPr>
          <w:rFonts w:ascii="Arial" w:eastAsiaTheme="minorEastAsia" w:hAnsi="Arial" w:cs="Arial"/>
          <w:noProof/>
          <w:sz w:val="22"/>
          <w:szCs w:val="22"/>
          <w:vertAlign w:val="superscript"/>
        </w:rPr>
        <w:t>22</w:t>
      </w:r>
      <w:r w:rsidRPr="00540679">
        <w:rPr>
          <w:rFonts w:ascii="Arial" w:eastAsiaTheme="minorEastAsia" w:hAnsi="Arial" w:cs="Arial"/>
          <w:sz w:val="22"/>
          <w:szCs w:val="22"/>
        </w:rPr>
        <w:t xml:space="preserve"> However, many </w:t>
      </w:r>
      <w:r w:rsidRPr="00540679">
        <w:rPr>
          <w:rFonts w:ascii="Arial" w:hAnsi="Arial" w:cs="Arial"/>
          <w:sz w:val="22"/>
          <w:szCs w:val="22"/>
        </w:rPr>
        <w:t>rural and remote hospitals do not have onsite pharmacists to optimise patient care and prevent medication errors.</w:t>
      </w:r>
      <w:r w:rsidRPr="00540679">
        <w:rPr>
          <w:rFonts w:ascii="Arial" w:hAnsi="Arial" w:cs="Arial"/>
          <w:noProof/>
          <w:sz w:val="22"/>
          <w:szCs w:val="22"/>
          <w:vertAlign w:val="superscript"/>
        </w:rPr>
        <w:t>23</w:t>
      </w:r>
      <w:r w:rsidRPr="00540679">
        <w:rPr>
          <w:rFonts w:ascii="Arial" w:hAnsi="Arial" w:cs="Arial"/>
          <w:sz w:val="22"/>
          <w:szCs w:val="22"/>
        </w:rPr>
        <w:t xml:space="preserve"> Virtual clinical pharmacy </w:t>
      </w:r>
      <w:r w:rsidRPr="00540679">
        <w:rPr>
          <w:rFonts w:ascii="Arial" w:hAnsi="Arial" w:cs="Arial"/>
          <w:sz w:val="22"/>
          <w:szCs w:val="22"/>
        </w:rPr>
        <w:lastRenderedPageBreak/>
        <w:t>services have been demonstrated as a feasible, acceptable and scalable solution to providing clinical pharmacy services in rural and remote hospitals in Western NSW.</w:t>
      </w:r>
      <w:r w:rsidRPr="00540679">
        <w:rPr>
          <w:rFonts w:ascii="Arial" w:hAnsi="Arial" w:cs="Arial"/>
          <w:noProof/>
          <w:sz w:val="22"/>
          <w:szCs w:val="22"/>
          <w:vertAlign w:val="superscript"/>
        </w:rPr>
        <w:t>23</w:t>
      </w:r>
      <w:r w:rsidRPr="00540679">
        <w:rPr>
          <w:rFonts w:ascii="Arial" w:hAnsi="Arial" w:cs="Arial"/>
          <w:sz w:val="22"/>
          <w:szCs w:val="22"/>
        </w:rPr>
        <w:t xml:space="preserve"> Our team successfully implemented virtual clinical pharmacy services in eight hospitals in NSW to overcome geographical and workforce barriers.</w:t>
      </w:r>
      <w:r w:rsidRPr="00540679">
        <w:rPr>
          <w:rFonts w:ascii="Arial" w:hAnsi="Arial" w:cs="Arial"/>
          <w:sz w:val="22"/>
          <w:szCs w:val="22"/>
          <w:vertAlign w:val="superscript"/>
        </w:rPr>
        <w:t>23,24</w:t>
      </w:r>
      <w:r w:rsidRPr="00540679">
        <w:rPr>
          <w:rFonts w:ascii="Arial" w:hAnsi="Arial" w:cs="Arial"/>
          <w:sz w:val="22"/>
          <w:szCs w:val="22"/>
        </w:rPr>
        <w:t xml:space="preserve"> We showed that between April 2020 and June 2021, the virtual service provided 7,021 occasions of pharmacy care for 1,306 patients, including patient counselling and medication reconciliation.</w:t>
      </w:r>
      <w:r w:rsidRPr="00540679">
        <w:rPr>
          <w:rFonts w:ascii="Arial" w:hAnsi="Arial" w:cs="Arial"/>
          <w:noProof/>
          <w:sz w:val="22"/>
          <w:szCs w:val="22"/>
          <w:vertAlign w:val="superscript"/>
        </w:rPr>
        <w:t>23</w:t>
      </w:r>
      <w:r w:rsidRPr="00540679">
        <w:rPr>
          <w:rFonts w:ascii="Arial" w:hAnsi="Arial" w:cs="Arial"/>
          <w:sz w:val="22"/>
          <w:szCs w:val="22"/>
        </w:rPr>
        <w:t xml:space="preserve"> Focus groups showed doctors, nurses, and allied health professionals endorsed the virtual service and valued having access to specialised medication advice.</w:t>
      </w:r>
      <w:r w:rsidRPr="00540679">
        <w:rPr>
          <w:rFonts w:ascii="Arial" w:hAnsi="Arial" w:cs="Arial"/>
          <w:noProof/>
          <w:sz w:val="22"/>
          <w:szCs w:val="22"/>
          <w:vertAlign w:val="superscript"/>
        </w:rPr>
        <w:t>23</w:t>
      </w:r>
      <w:r w:rsidRPr="00540679">
        <w:rPr>
          <w:rFonts w:ascii="Arial" w:hAnsi="Arial" w:cs="Arial"/>
          <w:sz w:val="22"/>
          <w:szCs w:val="22"/>
        </w:rPr>
        <w:t xml:space="preserve"> Data collected from this service also identified improved patient safety by identifying medication errors.</w:t>
      </w:r>
      <w:r w:rsidRPr="00540679">
        <w:rPr>
          <w:rFonts w:ascii="Arial" w:hAnsi="Arial" w:cs="Arial"/>
          <w:noProof/>
          <w:sz w:val="22"/>
          <w:szCs w:val="22"/>
          <w:vertAlign w:val="superscript"/>
        </w:rPr>
        <w:t>23</w:t>
      </w:r>
      <w:r w:rsidRPr="00540679">
        <w:rPr>
          <w:rFonts w:ascii="Arial" w:hAnsi="Arial" w:cs="Arial"/>
          <w:sz w:val="22"/>
          <w:szCs w:val="22"/>
        </w:rPr>
        <w:t xml:space="preserve"> However, the current virtual clinical pharmacy service is not routinely involved in the patient's discharge process back to the community after they have left the hospital.</w:t>
      </w:r>
      <w:r w:rsidRPr="00540679">
        <w:rPr>
          <w:rFonts w:ascii="Arial" w:hAnsi="Arial" w:cs="Arial"/>
          <w:noProof/>
          <w:sz w:val="22"/>
          <w:szCs w:val="22"/>
          <w:vertAlign w:val="superscript"/>
        </w:rPr>
        <w:t>24</w:t>
      </w:r>
      <w:r w:rsidRPr="00540679">
        <w:rPr>
          <w:rFonts w:ascii="Arial" w:hAnsi="Arial" w:cs="Arial"/>
          <w:sz w:val="22"/>
          <w:szCs w:val="22"/>
        </w:rPr>
        <w:t xml:space="preserve"> We propose that adding a virtual TOCS pharmacy service to routine care can assist rural and regional Australians to transition back safely to the community. Using implementation science framework (CFIR)</w:t>
      </w:r>
      <w:r w:rsidRPr="00540679">
        <w:rPr>
          <w:rFonts w:ascii="Arial" w:hAnsi="Arial" w:cs="Arial"/>
          <w:noProof/>
          <w:sz w:val="22"/>
          <w:szCs w:val="22"/>
          <w:vertAlign w:val="superscript"/>
        </w:rPr>
        <w:t>20</w:t>
      </w:r>
      <w:r w:rsidRPr="00540679">
        <w:rPr>
          <w:rFonts w:ascii="Arial" w:hAnsi="Arial" w:cs="Arial"/>
          <w:sz w:val="22"/>
          <w:szCs w:val="22"/>
        </w:rPr>
        <w:t xml:space="preserve"> and evidence from systematic reviews,</w:t>
      </w:r>
      <w:r w:rsidRPr="00540679">
        <w:rPr>
          <w:rFonts w:ascii="Arial" w:hAnsi="Arial" w:cs="Arial"/>
          <w:noProof/>
          <w:sz w:val="22"/>
          <w:szCs w:val="22"/>
          <w:vertAlign w:val="superscript"/>
        </w:rPr>
        <w:t>18,19</w:t>
      </w:r>
      <w:r w:rsidRPr="00540679">
        <w:rPr>
          <w:rFonts w:ascii="Arial" w:hAnsi="Arial" w:cs="Arial"/>
          <w:sz w:val="22"/>
          <w:szCs w:val="22"/>
        </w:rPr>
        <w:t xml:space="preserve"> the following processes will be implemented to ensure timely post-discharge HMRs:</w:t>
      </w:r>
    </w:p>
    <w:p w14:paraId="6FD02293" w14:textId="77777777" w:rsidR="00F90838" w:rsidRPr="00540679" w:rsidRDefault="00F90838" w:rsidP="00E10130">
      <w:pPr>
        <w:widowControl w:val="0"/>
        <w:autoSpaceDE w:val="0"/>
        <w:autoSpaceDN w:val="0"/>
        <w:adjustRightInd w:val="0"/>
        <w:spacing w:afterLines="80" w:after="192" w:line="276" w:lineRule="auto"/>
        <w:jc w:val="both"/>
        <w:rPr>
          <w:rFonts w:ascii="Arial" w:hAnsi="Arial" w:cs="Arial"/>
          <w:sz w:val="22"/>
          <w:szCs w:val="22"/>
          <w:u w:val="single"/>
        </w:rPr>
      </w:pPr>
      <w:r w:rsidRPr="00540679">
        <w:rPr>
          <w:rFonts w:ascii="Arial" w:hAnsi="Arial" w:cs="Arial"/>
          <w:sz w:val="22"/>
          <w:szCs w:val="22"/>
          <w:u w:val="single"/>
        </w:rPr>
        <w:t>(</w:t>
      </w:r>
      <w:proofErr w:type="spellStart"/>
      <w:r w:rsidRPr="00540679">
        <w:rPr>
          <w:rFonts w:ascii="Arial" w:hAnsi="Arial" w:cs="Arial"/>
          <w:sz w:val="22"/>
          <w:szCs w:val="22"/>
          <w:u w:val="single"/>
        </w:rPr>
        <w:t>i</w:t>
      </w:r>
      <w:proofErr w:type="spellEnd"/>
      <w:r w:rsidRPr="00540679">
        <w:rPr>
          <w:rFonts w:ascii="Arial" w:hAnsi="Arial" w:cs="Arial"/>
          <w:sz w:val="22"/>
          <w:szCs w:val="22"/>
          <w:u w:val="single"/>
        </w:rPr>
        <w:t>) Identifying patients at high-risk of medication-related harm:</w:t>
      </w:r>
      <w:r w:rsidRPr="00540679">
        <w:rPr>
          <w:rFonts w:ascii="Arial" w:hAnsi="Arial" w:cs="Arial"/>
          <w:sz w:val="22"/>
          <w:szCs w:val="22"/>
        </w:rPr>
        <w:t xml:space="preserve"> In a regional and rural setting, the reasons for unplanned medication-related readmissions are complex and require a model that encompasses multiple comorbidities instead of a single disease state.</w:t>
      </w:r>
      <w:r w:rsidRPr="00540679">
        <w:rPr>
          <w:rFonts w:ascii="Arial" w:hAnsi="Arial" w:cs="Arial"/>
          <w:noProof/>
          <w:sz w:val="22"/>
          <w:szCs w:val="22"/>
          <w:vertAlign w:val="superscript"/>
        </w:rPr>
        <w:t>17</w:t>
      </w:r>
      <w:r w:rsidRPr="00540679">
        <w:rPr>
          <w:rFonts w:ascii="Arial" w:hAnsi="Arial" w:cs="Arial"/>
          <w:sz w:val="22"/>
          <w:szCs w:val="22"/>
        </w:rPr>
        <w:t xml:space="preserve"> Identifying patients at high-risk of medication-related harm is essential to implementing an integrated care intervention on a population basis.</w:t>
      </w:r>
      <w:r w:rsidRPr="00540679">
        <w:rPr>
          <w:rFonts w:ascii="Arial" w:hAnsi="Arial" w:cs="Arial"/>
          <w:noProof/>
          <w:sz w:val="22"/>
          <w:szCs w:val="22"/>
          <w:vertAlign w:val="superscript"/>
        </w:rPr>
        <w:t>25</w:t>
      </w:r>
      <w:r w:rsidRPr="00540679">
        <w:rPr>
          <w:rFonts w:ascii="Arial" w:hAnsi="Arial" w:cs="Arial"/>
          <w:sz w:val="22"/>
          <w:szCs w:val="22"/>
          <w:vertAlign w:val="superscript"/>
        </w:rPr>
        <w:t>,</w:t>
      </w:r>
      <w:r w:rsidRPr="00540679">
        <w:rPr>
          <w:rFonts w:ascii="Arial" w:hAnsi="Arial" w:cs="Arial"/>
          <w:noProof/>
          <w:color w:val="111111"/>
          <w:sz w:val="22"/>
          <w:szCs w:val="22"/>
          <w:vertAlign w:val="superscript"/>
        </w:rPr>
        <w:t>26</w:t>
      </w:r>
      <w:r w:rsidRPr="00540679">
        <w:rPr>
          <w:rFonts w:ascii="Arial" w:hAnsi="Arial" w:cs="Arial"/>
          <w:color w:val="111111"/>
          <w:sz w:val="22"/>
          <w:szCs w:val="22"/>
        </w:rPr>
        <w:t xml:space="preserve"> Yet r</w:t>
      </w:r>
      <w:r w:rsidRPr="00540679">
        <w:rPr>
          <w:rFonts w:ascii="Arial" w:eastAsia="GuardianTextEgypGR-Regular" w:hAnsi="Arial" w:cs="Arial"/>
          <w:sz w:val="22"/>
          <w:szCs w:val="22"/>
        </w:rPr>
        <w:t>esearch indicates clinicians are not able to accurately identify such patients.</w:t>
      </w:r>
      <w:r w:rsidRPr="00540679">
        <w:rPr>
          <w:rFonts w:ascii="Arial" w:eastAsia="GuardianTextEgypGR-Regular" w:hAnsi="Arial" w:cs="Arial"/>
          <w:noProof/>
          <w:sz w:val="22"/>
          <w:szCs w:val="22"/>
          <w:vertAlign w:val="superscript"/>
        </w:rPr>
        <w:t>25</w:t>
      </w:r>
      <w:r w:rsidRPr="00540679">
        <w:rPr>
          <w:rFonts w:ascii="Arial" w:eastAsia="GuardianTextEgypGR-Regular" w:hAnsi="Arial" w:cs="Arial"/>
          <w:sz w:val="22"/>
          <w:szCs w:val="22"/>
        </w:rPr>
        <w:t xml:space="preserve"> </w:t>
      </w:r>
      <w:r w:rsidRPr="00540679">
        <w:rPr>
          <w:rFonts w:ascii="Arial" w:hAnsi="Arial" w:cs="Arial"/>
          <w:color w:val="111111"/>
          <w:sz w:val="22"/>
          <w:szCs w:val="22"/>
        </w:rPr>
        <w:t xml:space="preserve">Our team developed and validated the </w:t>
      </w:r>
      <w:proofErr w:type="spellStart"/>
      <w:r w:rsidRPr="00540679">
        <w:rPr>
          <w:rFonts w:ascii="Arial" w:hAnsi="Arial" w:cs="Arial"/>
          <w:sz w:val="22"/>
          <w:szCs w:val="22"/>
        </w:rPr>
        <w:t>PHarmacie</w:t>
      </w:r>
      <w:proofErr w:type="spellEnd"/>
      <w:r w:rsidRPr="00540679">
        <w:rPr>
          <w:rFonts w:ascii="Arial" w:hAnsi="Arial" w:cs="Arial"/>
          <w:sz w:val="22"/>
          <w:szCs w:val="22"/>
        </w:rPr>
        <w:t>-R risk tool (a Web-based app) to assist clinicians in identifying hospital inpatients at high-risk of readmission (C-statistic 0.72, 95% CI 0.68-0.75) in the Australian setting.</w:t>
      </w:r>
      <w:r w:rsidRPr="00540679">
        <w:rPr>
          <w:rFonts w:ascii="Arial" w:hAnsi="Arial" w:cs="Arial"/>
          <w:noProof/>
          <w:sz w:val="22"/>
          <w:szCs w:val="22"/>
          <w:vertAlign w:val="superscript"/>
        </w:rPr>
        <w:t>16</w:t>
      </w:r>
      <w:r w:rsidRPr="00540679">
        <w:rPr>
          <w:rFonts w:ascii="Arial" w:hAnsi="Arial" w:cs="Arial"/>
          <w:sz w:val="22"/>
          <w:szCs w:val="22"/>
        </w:rPr>
        <w:t xml:space="preserve"> </w:t>
      </w:r>
      <w:proofErr w:type="spellStart"/>
      <w:r w:rsidRPr="00540679">
        <w:rPr>
          <w:rFonts w:ascii="Arial" w:hAnsi="Arial" w:cs="Arial"/>
          <w:color w:val="111111"/>
          <w:sz w:val="22"/>
          <w:szCs w:val="22"/>
        </w:rPr>
        <w:t>PHarmacie</w:t>
      </w:r>
      <w:proofErr w:type="spellEnd"/>
      <w:r w:rsidRPr="00540679">
        <w:rPr>
          <w:rFonts w:ascii="Arial" w:hAnsi="Arial" w:cs="Arial"/>
          <w:color w:val="111111"/>
          <w:sz w:val="22"/>
          <w:szCs w:val="22"/>
        </w:rPr>
        <w:t>-R is the first readmission risk prediction tool focussing on polypharmacy and high-risk medicines. The tool includes social determinants of health such as a</w:t>
      </w:r>
      <w:r w:rsidRPr="00540679">
        <w:rPr>
          <w:rFonts w:ascii="Arial" w:hAnsi="Arial" w:cs="Arial"/>
          <w:sz w:val="22"/>
          <w:szCs w:val="22"/>
        </w:rPr>
        <w:t xml:space="preserve">ge, sex, living arrangements, rural/remote residence, indigenous or required an interpreter, comorbidities, prior ED presentation and the presence of high-risk medicines (e.g., anticoagulants, insulin, opioids, benzodiazepines, antipsychotics) or polypharmacy (≥5 regular medicines). We have shown that the </w:t>
      </w:r>
      <w:proofErr w:type="spellStart"/>
      <w:r w:rsidRPr="00540679">
        <w:rPr>
          <w:rFonts w:ascii="Arial" w:hAnsi="Arial" w:cs="Arial"/>
          <w:sz w:val="22"/>
          <w:szCs w:val="22"/>
        </w:rPr>
        <w:t>PHarmacie</w:t>
      </w:r>
      <w:proofErr w:type="spellEnd"/>
      <w:r w:rsidRPr="00540679">
        <w:rPr>
          <w:rFonts w:ascii="Arial" w:hAnsi="Arial" w:cs="Arial"/>
          <w:sz w:val="22"/>
          <w:szCs w:val="22"/>
        </w:rPr>
        <w:t>-R risk tool identifies 15% of patients in an Australian hospital as being at high-risk for medication-related harm.</w:t>
      </w:r>
      <w:r w:rsidRPr="00540679">
        <w:rPr>
          <w:rFonts w:ascii="Arial" w:hAnsi="Arial" w:cs="Arial"/>
          <w:noProof/>
          <w:sz w:val="22"/>
          <w:szCs w:val="22"/>
          <w:vertAlign w:val="superscript"/>
        </w:rPr>
        <w:t>27</w:t>
      </w:r>
      <w:r w:rsidRPr="00540679">
        <w:rPr>
          <w:rFonts w:ascii="Arial" w:hAnsi="Arial" w:cs="Arial"/>
          <w:sz w:val="22"/>
          <w:szCs w:val="22"/>
        </w:rPr>
        <w:t xml:space="preserve"> In addition, our pilot data (n=189) shows that using a TOCS pharmacist with the </w:t>
      </w:r>
      <w:proofErr w:type="spellStart"/>
      <w:r w:rsidRPr="00540679">
        <w:rPr>
          <w:rFonts w:ascii="Arial" w:hAnsi="Arial" w:cs="Arial"/>
          <w:sz w:val="22"/>
          <w:szCs w:val="22"/>
        </w:rPr>
        <w:t>PHarmacie</w:t>
      </w:r>
      <w:proofErr w:type="spellEnd"/>
      <w:r w:rsidRPr="00540679">
        <w:rPr>
          <w:rFonts w:ascii="Arial" w:hAnsi="Arial" w:cs="Arial"/>
          <w:sz w:val="22"/>
          <w:szCs w:val="22"/>
        </w:rPr>
        <w:t>-R risk tool increased post-discharge medication review referral rates for high-risk patients to 48%, compared to 1% without them.</w:t>
      </w:r>
      <w:r w:rsidRPr="00540679">
        <w:rPr>
          <w:rFonts w:ascii="Arial" w:hAnsi="Arial" w:cs="Arial"/>
          <w:noProof/>
          <w:sz w:val="22"/>
          <w:szCs w:val="22"/>
          <w:vertAlign w:val="superscript"/>
        </w:rPr>
        <w:t>12</w:t>
      </w:r>
    </w:p>
    <w:p w14:paraId="1ECB5BB0" w14:textId="77777777" w:rsidR="00F90838" w:rsidRPr="00540679" w:rsidRDefault="00F90838" w:rsidP="00E10130">
      <w:pPr>
        <w:widowControl w:val="0"/>
        <w:autoSpaceDE w:val="0"/>
        <w:autoSpaceDN w:val="0"/>
        <w:adjustRightInd w:val="0"/>
        <w:spacing w:afterLines="80" w:after="192" w:line="276" w:lineRule="auto"/>
        <w:jc w:val="both"/>
        <w:rPr>
          <w:rFonts w:ascii="Arial" w:hAnsi="Arial" w:cs="Arial"/>
          <w:sz w:val="22"/>
          <w:szCs w:val="22"/>
        </w:rPr>
      </w:pPr>
      <w:r w:rsidRPr="00540679">
        <w:rPr>
          <w:rFonts w:ascii="Arial" w:hAnsi="Arial" w:cs="Arial"/>
          <w:sz w:val="22"/>
          <w:szCs w:val="22"/>
          <w:u w:val="single"/>
        </w:rPr>
        <w:t xml:space="preserve">(ii) Transitions of Care Stewardship pharmacist: </w:t>
      </w:r>
      <w:r w:rsidRPr="00540679">
        <w:rPr>
          <w:rFonts w:ascii="Arial" w:hAnsi="Arial" w:cs="Arial"/>
          <w:sz w:val="22"/>
          <w:szCs w:val="22"/>
        </w:rPr>
        <w:t>Virtual TOCS pharmacists can ensure patients receive discharge counselling and discharge medical reconciliation, and communicate directly with primary care providers (GPs, practice nurses, community pharmacies and accredited pharmacists) to ensure accurate and timely medication handover and facilitate timely post-discharge medication reviews.</w:t>
      </w:r>
      <w:r w:rsidRPr="00540679">
        <w:rPr>
          <w:rFonts w:ascii="Arial" w:hAnsi="Arial" w:cs="Arial"/>
          <w:noProof/>
          <w:sz w:val="22"/>
          <w:szCs w:val="22"/>
          <w:vertAlign w:val="superscript"/>
        </w:rPr>
        <w:t>11,28-30</w:t>
      </w:r>
      <w:r w:rsidRPr="00540679">
        <w:rPr>
          <w:rFonts w:ascii="Arial" w:hAnsi="Arial" w:cs="Arial"/>
          <w:sz w:val="22"/>
          <w:szCs w:val="22"/>
          <w:vertAlign w:val="superscript"/>
        </w:rPr>
        <w:t xml:space="preserve"> </w:t>
      </w:r>
      <w:r w:rsidRPr="00540679">
        <w:rPr>
          <w:rFonts w:ascii="Arial" w:hAnsi="Arial" w:cs="Arial"/>
          <w:sz w:val="22"/>
          <w:szCs w:val="22"/>
        </w:rPr>
        <w:t>They will streamline the HMR process and provide the link for both the outer (primary care) and inner setting (hospital) as described in the CFIR.</w:t>
      </w:r>
      <w:r w:rsidRPr="00540679">
        <w:rPr>
          <w:rFonts w:ascii="Arial" w:hAnsi="Arial" w:cs="Arial"/>
          <w:noProof/>
          <w:sz w:val="22"/>
          <w:szCs w:val="22"/>
          <w:vertAlign w:val="superscript"/>
        </w:rPr>
        <w:t>20</w:t>
      </w:r>
      <w:r w:rsidRPr="00540679">
        <w:rPr>
          <w:rFonts w:ascii="Arial" w:hAnsi="Arial" w:cs="Arial"/>
          <w:sz w:val="22"/>
          <w:szCs w:val="22"/>
        </w:rPr>
        <w:t xml:space="preserve"> They will also educate clinicians on the importance of a timely post-discharge HMR. </w:t>
      </w:r>
    </w:p>
    <w:p w14:paraId="7A893332" w14:textId="77777777" w:rsidR="00F90838" w:rsidRPr="00540679" w:rsidRDefault="00F90838" w:rsidP="00E10130">
      <w:pPr>
        <w:spacing w:afterLines="80" w:after="192" w:line="276" w:lineRule="auto"/>
        <w:jc w:val="both"/>
        <w:rPr>
          <w:rFonts w:ascii="Arial" w:hAnsi="Arial" w:cs="Arial"/>
          <w:sz w:val="22"/>
          <w:szCs w:val="22"/>
        </w:rPr>
      </w:pPr>
      <w:r w:rsidRPr="00540679">
        <w:rPr>
          <w:rFonts w:ascii="Arial" w:hAnsi="Arial" w:cs="Arial"/>
          <w:b/>
          <w:bCs/>
          <w:sz w:val="22"/>
          <w:szCs w:val="22"/>
        </w:rPr>
        <w:t xml:space="preserve">Our team’s contribution: </w:t>
      </w:r>
      <w:r w:rsidRPr="00540679">
        <w:rPr>
          <w:rFonts w:ascii="Arial" w:hAnsi="Arial" w:cs="Arial"/>
          <w:sz w:val="22"/>
          <w:szCs w:val="22"/>
        </w:rPr>
        <w:t>We have previously shown the feasibility and effectiveness of hospital-initiated medication review pathways to ensure timely post-discharge HMRs when GPs are unable to do them in a timely manner. Our feasibility study compared the timeliness of post-discharge HMR across three metropolitan hospitals in South Australia and found that a hospital-initiated medication review significantly shortened the time for patients to receive a medication review compared to GP initiated HMRs (6.5 days vs 11.0 days, P=0.02).</w:t>
      </w:r>
      <w:r w:rsidRPr="00540679">
        <w:rPr>
          <w:rFonts w:ascii="Arial" w:hAnsi="Arial" w:cs="Arial"/>
          <w:noProof/>
          <w:sz w:val="22"/>
          <w:szCs w:val="22"/>
          <w:vertAlign w:val="superscript"/>
        </w:rPr>
        <w:t>9</w:t>
      </w:r>
      <w:r w:rsidRPr="00540679">
        <w:rPr>
          <w:rFonts w:ascii="Arial" w:hAnsi="Arial" w:cs="Arial"/>
          <w:sz w:val="22"/>
          <w:szCs w:val="22"/>
        </w:rPr>
        <w:t xml:space="preserve"> Another </w:t>
      </w:r>
      <w:r w:rsidRPr="00540679">
        <w:rPr>
          <w:rFonts w:ascii="Arial" w:hAnsi="Arial" w:cs="Arial"/>
          <w:sz w:val="22"/>
          <w:szCs w:val="22"/>
        </w:rPr>
        <w:lastRenderedPageBreak/>
        <w:t>RCT of 80 patients by our team showed that the proportion of at-risk patients who received a medication review within 28 days was significantly higher when hospitals initiated HMRs instead of GPs (90% vs 17.5%, P&lt;0.01).</w:t>
      </w:r>
      <w:r w:rsidRPr="00540679">
        <w:rPr>
          <w:rFonts w:ascii="Arial" w:hAnsi="Arial" w:cs="Arial"/>
          <w:noProof/>
          <w:sz w:val="22"/>
          <w:szCs w:val="22"/>
          <w:vertAlign w:val="superscript"/>
        </w:rPr>
        <w:t>31</w:t>
      </w:r>
      <w:r w:rsidRPr="00540679">
        <w:rPr>
          <w:rFonts w:ascii="Arial" w:hAnsi="Arial" w:cs="Arial"/>
          <w:sz w:val="22"/>
          <w:szCs w:val="22"/>
        </w:rPr>
        <w:t xml:space="preserve"> The hospital-initiated pathway is essential if we aim to reduce 30-day readmission rates.</w:t>
      </w:r>
    </w:p>
    <w:p w14:paraId="7C7DF135" w14:textId="77777777" w:rsidR="00F90838" w:rsidRPr="00540679" w:rsidRDefault="00F90838" w:rsidP="00E10130">
      <w:pPr>
        <w:spacing w:afterLines="80" w:after="192" w:line="276" w:lineRule="auto"/>
        <w:jc w:val="both"/>
        <w:rPr>
          <w:rFonts w:ascii="Arial" w:hAnsi="Arial" w:cs="Arial"/>
          <w:sz w:val="22"/>
          <w:szCs w:val="22"/>
        </w:rPr>
      </w:pPr>
      <w:r w:rsidRPr="00540679">
        <w:rPr>
          <w:rFonts w:ascii="Arial" w:hAnsi="Arial" w:cs="Arial"/>
          <w:color w:val="000000" w:themeColor="text1"/>
          <w:sz w:val="22"/>
          <w:szCs w:val="22"/>
        </w:rPr>
        <w:t xml:space="preserve">Our team has worked with the </w:t>
      </w:r>
      <w:r w:rsidRPr="00540679">
        <w:rPr>
          <w:rFonts w:ascii="Arial" w:hAnsi="Arial" w:cs="Arial"/>
          <w:sz w:val="22"/>
          <w:szCs w:val="22"/>
        </w:rPr>
        <w:t>SHPA to develop protocols incorporating revised HMR program rules, to assist with implementing hospital-initiated post-discharge medication reviews to improve medication safety during transitions of care.</w:t>
      </w:r>
      <w:r w:rsidRPr="00540679">
        <w:rPr>
          <w:rFonts w:ascii="Arial" w:hAnsi="Arial" w:cs="Arial"/>
          <w:noProof/>
          <w:sz w:val="22"/>
          <w:szCs w:val="22"/>
          <w:vertAlign w:val="superscript"/>
        </w:rPr>
        <w:t>21</w:t>
      </w:r>
      <w:r w:rsidRPr="00540679">
        <w:rPr>
          <w:rFonts w:ascii="Arial" w:hAnsi="Arial" w:cs="Arial"/>
          <w:color w:val="000000" w:themeColor="text1"/>
          <w:sz w:val="22"/>
          <w:szCs w:val="22"/>
        </w:rPr>
        <w:t xml:space="preserve"> Furthermore, o</w:t>
      </w:r>
      <w:r w:rsidRPr="00540679">
        <w:rPr>
          <w:rFonts w:ascii="Arial" w:hAnsi="Arial" w:cs="Arial"/>
          <w:color w:val="111111"/>
          <w:sz w:val="22"/>
          <w:szCs w:val="22"/>
        </w:rPr>
        <w:t xml:space="preserve">ur team developed the </w:t>
      </w:r>
      <w:proofErr w:type="spellStart"/>
      <w:r w:rsidRPr="00540679">
        <w:rPr>
          <w:rFonts w:ascii="Arial" w:hAnsi="Arial" w:cs="Arial"/>
          <w:sz w:val="22"/>
          <w:szCs w:val="22"/>
        </w:rPr>
        <w:t>PHarmacie</w:t>
      </w:r>
      <w:proofErr w:type="spellEnd"/>
      <w:r w:rsidRPr="00540679">
        <w:rPr>
          <w:rFonts w:ascii="Arial" w:hAnsi="Arial" w:cs="Arial"/>
          <w:sz w:val="22"/>
          <w:szCs w:val="22"/>
        </w:rPr>
        <w:t>-R risk tool (a Web-based app).</w:t>
      </w:r>
      <w:r w:rsidRPr="00540679">
        <w:rPr>
          <w:rFonts w:ascii="Arial" w:hAnsi="Arial" w:cs="Arial"/>
          <w:noProof/>
          <w:sz w:val="22"/>
          <w:szCs w:val="22"/>
          <w:vertAlign w:val="superscript"/>
        </w:rPr>
        <w:t>16,21</w:t>
      </w:r>
      <w:r w:rsidRPr="00540679">
        <w:rPr>
          <w:rFonts w:ascii="Arial" w:hAnsi="Arial" w:cs="Arial"/>
          <w:sz w:val="22"/>
          <w:szCs w:val="22"/>
        </w:rPr>
        <w:t xml:space="preserve"> To reach Australians in regional and rural areas, members of our team have also successfully implemented and evaluated virtual clinical pharmacy services in eight hospitals in NSW to reduce medication errors and improve medication safety.</w:t>
      </w:r>
      <w:r w:rsidRPr="00540679">
        <w:rPr>
          <w:rFonts w:ascii="Arial" w:hAnsi="Arial" w:cs="Arial"/>
          <w:noProof/>
          <w:sz w:val="22"/>
          <w:szCs w:val="22"/>
          <w:vertAlign w:val="superscript"/>
        </w:rPr>
        <w:t>23</w:t>
      </w:r>
      <w:r w:rsidRPr="00540679">
        <w:rPr>
          <w:rFonts w:ascii="Arial" w:hAnsi="Arial" w:cs="Arial"/>
          <w:sz w:val="22"/>
          <w:szCs w:val="22"/>
        </w:rPr>
        <w:t xml:space="preserve"> </w:t>
      </w:r>
    </w:p>
    <w:p w14:paraId="069B7BC3" w14:textId="77777777" w:rsidR="00F90838" w:rsidRPr="00540679" w:rsidRDefault="00F90838" w:rsidP="00E10130">
      <w:pPr>
        <w:spacing w:afterLines="80" w:after="192" w:line="276" w:lineRule="auto"/>
        <w:jc w:val="both"/>
        <w:rPr>
          <w:rFonts w:ascii="Arial" w:hAnsi="Arial" w:cs="Arial"/>
          <w:sz w:val="22"/>
          <w:szCs w:val="22"/>
        </w:rPr>
      </w:pPr>
      <w:r w:rsidRPr="00540679">
        <w:rPr>
          <w:rFonts w:ascii="Arial" w:hAnsi="Arial" w:cs="Arial"/>
          <w:sz w:val="22"/>
          <w:szCs w:val="22"/>
        </w:rPr>
        <w:t>Our team has an extensive track record of generating new evidence in medication safety, virtual clinical services, transitions of care, and providing timely post-discharge medication reviews. We are uniquely positioned to implement t</w:t>
      </w:r>
      <w:r w:rsidRPr="00540679">
        <w:rPr>
          <w:rFonts w:ascii="Arial" w:hAnsi="Arial" w:cs="Arial"/>
          <w:color w:val="000000" w:themeColor="text1"/>
          <w:sz w:val="22"/>
          <w:szCs w:val="22"/>
        </w:rPr>
        <w:t xml:space="preserve">he TIC TOC study and test the effectiveness of a new virtual transition of care service to </w:t>
      </w:r>
      <w:r w:rsidRPr="00540679">
        <w:rPr>
          <w:rFonts w:ascii="Arial" w:hAnsi="Arial" w:cs="Arial"/>
          <w:sz w:val="22"/>
          <w:szCs w:val="22"/>
        </w:rPr>
        <w:t>reduce unplanned hospital admissions in high-risk patients discharged from regional and rural Australian hospitals.</w:t>
      </w:r>
    </w:p>
    <w:p w14:paraId="2A383716" w14:textId="77777777" w:rsidR="00450484" w:rsidRPr="00540679" w:rsidRDefault="00450484" w:rsidP="00E10130">
      <w:pPr>
        <w:spacing w:line="276" w:lineRule="auto"/>
        <w:outlineLvl w:val="0"/>
        <w:rPr>
          <w:rFonts w:ascii="Arial" w:hAnsi="Arial" w:cs="Arial"/>
          <w:b/>
          <w:sz w:val="22"/>
          <w:szCs w:val="22"/>
        </w:rPr>
      </w:pPr>
      <w:bookmarkStart w:id="22" w:name="_Toc224114239"/>
      <w:bookmarkStart w:id="23" w:name="_Toc224114364"/>
      <w:bookmarkStart w:id="24" w:name="_Toc229297234"/>
      <w:bookmarkStart w:id="25" w:name="_Toc229297341"/>
      <w:bookmarkStart w:id="26" w:name="_Toc229298364"/>
      <w:bookmarkStart w:id="27" w:name="_Toc229307331"/>
      <w:bookmarkStart w:id="28" w:name="_Toc229308151"/>
      <w:bookmarkStart w:id="29" w:name="_Toc235338625"/>
      <w:bookmarkStart w:id="30" w:name="_Toc236472625"/>
      <w:bookmarkStart w:id="31" w:name="_Toc236473745"/>
      <w:bookmarkStart w:id="32" w:name="_Toc23337547"/>
      <w:r w:rsidRPr="00540679">
        <w:rPr>
          <w:rFonts w:ascii="Arial" w:hAnsi="Arial" w:cs="Arial"/>
          <w:b/>
          <w:sz w:val="22"/>
          <w:szCs w:val="22"/>
        </w:rPr>
        <w:t xml:space="preserve">3.  </w:t>
      </w:r>
      <w:bookmarkEnd w:id="22"/>
      <w:bookmarkEnd w:id="23"/>
      <w:bookmarkEnd w:id="24"/>
      <w:bookmarkEnd w:id="25"/>
      <w:bookmarkEnd w:id="26"/>
      <w:bookmarkEnd w:id="27"/>
      <w:bookmarkEnd w:id="28"/>
      <w:bookmarkEnd w:id="29"/>
      <w:bookmarkEnd w:id="30"/>
      <w:bookmarkEnd w:id="31"/>
      <w:r w:rsidRPr="00540679">
        <w:rPr>
          <w:rFonts w:ascii="Arial" w:hAnsi="Arial" w:cs="Arial"/>
          <w:b/>
          <w:sz w:val="22"/>
          <w:szCs w:val="22"/>
        </w:rPr>
        <w:t>STUDY AIMS/OBJECTIVES</w:t>
      </w:r>
      <w:bookmarkEnd w:id="32"/>
    </w:p>
    <w:p w14:paraId="49A6027C" w14:textId="77777777" w:rsidR="00450484" w:rsidRPr="00540679" w:rsidRDefault="00450484" w:rsidP="00E10130">
      <w:pPr>
        <w:spacing w:line="276" w:lineRule="auto"/>
        <w:outlineLvl w:val="0"/>
        <w:rPr>
          <w:rFonts w:ascii="Arial" w:hAnsi="Arial" w:cs="Arial"/>
          <w:b/>
          <w:sz w:val="22"/>
          <w:szCs w:val="22"/>
        </w:rPr>
      </w:pPr>
    </w:p>
    <w:p w14:paraId="036370F2" w14:textId="77777777" w:rsidR="00C57629" w:rsidRPr="00540679" w:rsidRDefault="00C57629" w:rsidP="00E10130">
      <w:pPr>
        <w:spacing w:afterLines="80" w:after="192" w:line="276" w:lineRule="auto"/>
        <w:rPr>
          <w:rFonts w:ascii="Arial" w:hAnsi="Arial" w:cs="Arial"/>
          <w:sz w:val="22"/>
          <w:szCs w:val="22"/>
        </w:rPr>
      </w:pPr>
      <w:r w:rsidRPr="00540679">
        <w:rPr>
          <w:rFonts w:ascii="Arial" w:hAnsi="Arial" w:cs="Arial"/>
          <w:b/>
          <w:bCs/>
          <w:sz w:val="22"/>
          <w:szCs w:val="22"/>
        </w:rPr>
        <w:t xml:space="preserve">Research question: </w:t>
      </w:r>
      <w:r w:rsidRPr="00540679">
        <w:rPr>
          <w:rFonts w:ascii="Arial" w:hAnsi="Arial" w:cs="Arial"/>
          <w:sz w:val="22"/>
          <w:szCs w:val="22"/>
        </w:rPr>
        <w:t xml:space="preserve">Does the TIC TOC intervention reduce the incidence of medication-related harm, including hospital readmissions and ED presentations? </w:t>
      </w:r>
    </w:p>
    <w:p w14:paraId="18F0B57B" w14:textId="77777777" w:rsidR="00C57629" w:rsidRPr="00540679" w:rsidRDefault="00C57629" w:rsidP="00E10130">
      <w:pPr>
        <w:spacing w:afterLines="80" w:after="192" w:line="276" w:lineRule="auto"/>
        <w:rPr>
          <w:rFonts w:ascii="Arial" w:hAnsi="Arial" w:cs="Arial"/>
          <w:sz w:val="22"/>
          <w:szCs w:val="22"/>
        </w:rPr>
      </w:pPr>
      <w:r w:rsidRPr="00540679">
        <w:rPr>
          <w:rFonts w:ascii="Arial" w:hAnsi="Arial" w:cs="Arial"/>
          <w:b/>
          <w:bCs/>
          <w:sz w:val="22"/>
          <w:szCs w:val="22"/>
        </w:rPr>
        <w:t>Primary objective</w:t>
      </w:r>
      <w:r w:rsidRPr="00540679">
        <w:rPr>
          <w:rFonts w:ascii="Arial" w:hAnsi="Arial" w:cs="Arial"/>
          <w:sz w:val="22"/>
          <w:szCs w:val="22"/>
        </w:rPr>
        <w:t xml:space="preserve">: To determine the effect of the TIC TOC intervention on medication-related hospital admission </w:t>
      </w:r>
      <w:r w:rsidRPr="00540679">
        <w:rPr>
          <w:rFonts w:ascii="Arial" w:hAnsi="Arial" w:cs="Arial"/>
          <w:bCs/>
          <w:sz w:val="22"/>
          <w:szCs w:val="22"/>
        </w:rPr>
        <w:t xml:space="preserve">or ED presentation within </w:t>
      </w:r>
      <w:r w:rsidRPr="00540679">
        <w:rPr>
          <w:rFonts w:ascii="Arial" w:hAnsi="Arial" w:cs="Arial"/>
          <w:sz w:val="22"/>
          <w:szCs w:val="22"/>
        </w:rPr>
        <w:t xml:space="preserve">30 days of discharge. </w:t>
      </w:r>
    </w:p>
    <w:p w14:paraId="656EE0AF" w14:textId="77777777" w:rsidR="00C57629" w:rsidRPr="00540679" w:rsidRDefault="00C57629" w:rsidP="00E10130">
      <w:pPr>
        <w:spacing w:afterLines="80" w:after="192" w:line="276" w:lineRule="auto"/>
        <w:rPr>
          <w:rFonts w:ascii="Arial" w:hAnsi="Arial" w:cs="Arial"/>
          <w:sz w:val="22"/>
          <w:szCs w:val="22"/>
        </w:rPr>
      </w:pPr>
      <w:r w:rsidRPr="00540679">
        <w:rPr>
          <w:rFonts w:ascii="Arial" w:hAnsi="Arial" w:cs="Arial"/>
          <w:b/>
          <w:bCs/>
          <w:sz w:val="22"/>
          <w:szCs w:val="22"/>
        </w:rPr>
        <w:t>Secondary objectives</w:t>
      </w:r>
      <w:r w:rsidRPr="00540679">
        <w:rPr>
          <w:rFonts w:ascii="Arial" w:hAnsi="Arial" w:cs="Arial"/>
          <w:sz w:val="22"/>
          <w:szCs w:val="22"/>
        </w:rPr>
        <w:t>:</w:t>
      </w:r>
    </w:p>
    <w:p w14:paraId="69AE91D5" w14:textId="77777777" w:rsidR="00C57629" w:rsidRPr="00540679" w:rsidRDefault="00C57629" w:rsidP="00E10130">
      <w:pPr>
        <w:pStyle w:val="ListParagraph"/>
        <w:widowControl w:val="0"/>
        <w:numPr>
          <w:ilvl w:val="0"/>
          <w:numId w:val="14"/>
        </w:numPr>
        <w:autoSpaceDE w:val="0"/>
        <w:autoSpaceDN w:val="0"/>
        <w:spacing w:afterLines="80" w:after="192" w:line="276" w:lineRule="auto"/>
        <w:contextualSpacing/>
        <w:rPr>
          <w:rFonts w:ascii="Arial" w:hAnsi="Arial" w:cs="Arial"/>
          <w:sz w:val="22"/>
          <w:szCs w:val="22"/>
        </w:rPr>
      </w:pPr>
      <w:r w:rsidRPr="00540679">
        <w:rPr>
          <w:rFonts w:ascii="Arial" w:hAnsi="Arial" w:cs="Arial"/>
          <w:sz w:val="22"/>
          <w:szCs w:val="22"/>
        </w:rPr>
        <w:t xml:space="preserve">To determine the effect of the TIC TOC intervention on unplanned all-cause readmission and ED presentations and unplanned medication-related readmission and ED presentations within 30, 90 and 180 days compared with best usual care. </w:t>
      </w:r>
    </w:p>
    <w:p w14:paraId="691D86AC" w14:textId="77777777" w:rsidR="00C57629" w:rsidRPr="00540679" w:rsidRDefault="00C57629" w:rsidP="00E10130">
      <w:pPr>
        <w:pStyle w:val="ListParagraph"/>
        <w:widowControl w:val="0"/>
        <w:numPr>
          <w:ilvl w:val="0"/>
          <w:numId w:val="14"/>
        </w:numPr>
        <w:autoSpaceDE w:val="0"/>
        <w:autoSpaceDN w:val="0"/>
        <w:spacing w:afterLines="80" w:after="192" w:line="276" w:lineRule="auto"/>
        <w:contextualSpacing/>
        <w:rPr>
          <w:rFonts w:ascii="Arial" w:hAnsi="Arial" w:cs="Arial"/>
          <w:sz w:val="22"/>
          <w:szCs w:val="22"/>
        </w:rPr>
      </w:pPr>
      <w:r w:rsidRPr="00540679">
        <w:rPr>
          <w:rFonts w:ascii="Arial" w:hAnsi="Arial" w:cs="Arial"/>
          <w:sz w:val="22"/>
          <w:szCs w:val="22"/>
        </w:rPr>
        <w:t>To determine whether the TIC TOC intervention increases the proportion of high-risk patients receiving a timely post-discharge medication review (within ten days from discharge)</w:t>
      </w:r>
    </w:p>
    <w:p w14:paraId="2CC45CB6" w14:textId="77777777" w:rsidR="00C57629" w:rsidRPr="00540679" w:rsidRDefault="00C57629" w:rsidP="00E10130">
      <w:pPr>
        <w:pStyle w:val="ListParagraph"/>
        <w:widowControl w:val="0"/>
        <w:numPr>
          <w:ilvl w:val="0"/>
          <w:numId w:val="14"/>
        </w:numPr>
        <w:autoSpaceDE w:val="0"/>
        <w:autoSpaceDN w:val="0"/>
        <w:spacing w:afterLines="80" w:after="192" w:line="276" w:lineRule="auto"/>
        <w:contextualSpacing/>
        <w:rPr>
          <w:rFonts w:ascii="Arial" w:hAnsi="Arial" w:cs="Arial"/>
          <w:sz w:val="22"/>
          <w:szCs w:val="22"/>
        </w:rPr>
      </w:pPr>
      <w:r w:rsidRPr="00540679">
        <w:rPr>
          <w:rFonts w:ascii="Arial" w:hAnsi="Arial" w:cs="Arial"/>
          <w:sz w:val="22"/>
          <w:szCs w:val="22"/>
        </w:rPr>
        <w:t>To assess the number, nature, and severity of medication-related problems identified in initial post-discharge medication review reports and in HMR follow-up(s) where applicable.</w:t>
      </w:r>
    </w:p>
    <w:p w14:paraId="04257EFF" w14:textId="77777777" w:rsidR="00C57629" w:rsidRPr="00540679" w:rsidRDefault="00C57629" w:rsidP="00E10130">
      <w:pPr>
        <w:pStyle w:val="ListParagraph"/>
        <w:widowControl w:val="0"/>
        <w:numPr>
          <w:ilvl w:val="0"/>
          <w:numId w:val="14"/>
        </w:numPr>
        <w:autoSpaceDE w:val="0"/>
        <w:autoSpaceDN w:val="0"/>
        <w:spacing w:afterLines="80" w:after="192" w:line="276" w:lineRule="auto"/>
        <w:contextualSpacing/>
        <w:rPr>
          <w:rFonts w:ascii="Arial" w:hAnsi="Arial" w:cs="Arial"/>
          <w:sz w:val="22"/>
          <w:szCs w:val="22"/>
        </w:rPr>
      </w:pPr>
      <w:r w:rsidRPr="00540679">
        <w:rPr>
          <w:rFonts w:ascii="Arial" w:hAnsi="Arial" w:cs="Arial"/>
          <w:sz w:val="22"/>
          <w:szCs w:val="22"/>
        </w:rPr>
        <w:t>To determine the cost-effectiveness of the TIC TOC intervention.</w:t>
      </w:r>
    </w:p>
    <w:p w14:paraId="18D622A7" w14:textId="33496EB3" w:rsidR="00450484" w:rsidRPr="00540679" w:rsidRDefault="00C57629" w:rsidP="00E10130">
      <w:pPr>
        <w:spacing w:line="276" w:lineRule="auto"/>
        <w:jc w:val="both"/>
        <w:outlineLvl w:val="0"/>
        <w:rPr>
          <w:rFonts w:ascii="Arial" w:hAnsi="Arial" w:cs="Arial"/>
          <w:color w:val="000000" w:themeColor="text1"/>
          <w:sz w:val="22"/>
          <w:szCs w:val="22"/>
        </w:rPr>
      </w:pPr>
      <w:r w:rsidRPr="00540679">
        <w:rPr>
          <w:rFonts w:ascii="Arial" w:hAnsi="Arial" w:cs="Arial"/>
          <w:color w:val="000000" w:themeColor="text1"/>
          <w:sz w:val="22"/>
          <w:szCs w:val="22"/>
        </w:rPr>
        <w:t>This research has three aims: (1) Determine the effectiveness of the TIC TOC intervention, (2) assess its cost-effectiveness, and (3) explore factors affecting its implementation.</w:t>
      </w:r>
    </w:p>
    <w:p w14:paraId="2328977B" w14:textId="77777777" w:rsidR="00C57629" w:rsidRPr="00540679" w:rsidRDefault="00C57629" w:rsidP="00E10130">
      <w:pPr>
        <w:spacing w:line="276" w:lineRule="auto"/>
        <w:jc w:val="both"/>
        <w:outlineLvl w:val="0"/>
        <w:rPr>
          <w:rFonts w:ascii="Arial" w:hAnsi="Arial" w:cs="Arial"/>
          <w:b/>
          <w:sz w:val="22"/>
          <w:szCs w:val="22"/>
        </w:rPr>
      </w:pPr>
    </w:p>
    <w:p w14:paraId="69FC1245" w14:textId="77777777" w:rsidR="00450484" w:rsidRPr="00540679" w:rsidRDefault="00450484" w:rsidP="00E10130">
      <w:pPr>
        <w:spacing w:line="276" w:lineRule="auto"/>
        <w:outlineLvl w:val="0"/>
        <w:rPr>
          <w:rFonts w:ascii="Arial" w:hAnsi="Arial" w:cs="Arial"/>
          <w:b/>
          <w:sz w:val="22"/>
          <w:szCs w:val="22"/>
        </w:rPr>
      </w:pPr>
      <w:bookmarkStart w:id="33" w:name="_Toc224114240"/>
      <w:bookmarkStart w:id="34" w:name="_Toc224114365"/>
      <w:bookmarkStart w:id="35" w:name="_Toc229297235"/>
      <w:bookmarkStart w:id="36" w:name="_Toc229297342"/>
      <w:bookmarkStart w:id="37" w:name="_Toc229298365"/>
      <w:bookmarkStart w:id="38" w:name="_Toc229307332"/>
      <w:bookmarkStart w:id="39" w:name="_Toc229308152"/>
      <w:bookmarkStart w:id="40" w:name="_Toc235338626"/>
      <w:bookmarkStart w:id="41" w:name="_Toc236472626"/>
      <w:bookmarkStart w:id="42" w:name="_Toc236473746"/>
      <w:bookmarkStart w:id="43" w:name="_Toc23337548"/>
      <w:r w:rsidRPr="00540679">
        <w:rPr>
          <w:rFonts w:ascii="Arial" w:hAnsi="Arial" w:cs="Arial"/>
          <w:b/>
          <w:sz w:val="22"/>
          <w:szCs w:val="22"/>
        </w:rPr>
        <w:t>4.  PARTICIPATING SITES</w:t>
      </w:r>
      <w:bookmarkEnd w:id="33"/>
      <w:bookmarkEnd w:id="34"/>
      <w:bookmarkEnd w:id="35"/>
      <w:bookmarkEnd w:id="36"/>
      <w:bookmarkEnd w:id="37"/>
      <w:bookmarkEnd w:id="38"/>
      <w:bookmarkEnd w:id="39"/>
      <w:bookmarkEnd w:id="40"/>
      <w:bookmarkEnd w:id="41"/>
      <w:bookmarkEnd w:id="42"/>
      <w:bookmarkEnd w:id="43"/>
    </w:p>
    <w:p w14:paraId="0655C45A" w14:textId="77777777" w:rsidR="00450484" w:rsidRPr="00540679" w:rsidRDefault="00450484" w:rsidP="00E10130">
      <w:pPr>
        <w:spacing w:line="276" w:lineRule="auto"/>
        <w:outlineLvl w:val="0"/>
        <w:rPr>
          <w:rFonts w:ascii="Arial" w:hAnsi="Arial" w:cs="Arial"/>
          <w:b/>
          <w:sz w:val="22"/>
          <w:szCs w:val="22"/>
        </w:rPr>
      </w:pPr>
    </w:p>
    <w:p w14:paraId="4D27DE6B" w14:textId="0A2FC4EB" w:rsidR="00AB33A2" w:rsidRPr="00540679" w:rsidRDefault="004C5697" w:rsidP="00E10130">
      <w:pPr>
        <w:spacing w:line="276" w:lineRule="auto"/>
        <w:jc w:val="both"/>
        <w:outlineLvl w:val="0"/>
        <w:rPr>
          <w:rFonts w:ascii="Arial" w:hAnsi="Arial" w:cs="Arial"/>
          <w:b/>
          <w:sz w:val="22"/>
          <w:szCs w:val="22"/>
        </w:rPr>
      </w:pPr>
      <w:r w:rsidRPr="00540679">
        <w:rPr>
          <w:rFonts w:ascii="Arial" w:hAnsi="Arial" w:cs="Arial"/>
          <w:sz w:val="22"/>
          <w:szCs w:val="22"/>
        </w:rPr>
        <w:t xml:space="preserve">In total, </w:t>
      </w:r>
      <w:r w:rsidR="00E8634C" w:rsidRPr="00540679">
        <w:rPr>
          <w:rFonts w:ascii="Arial" w:hAnsi="Arial" w:cs="Arial"/>
          <w:sz w:val="22"/>
          <w:szCs w:val="22"/>
        </w:rPr>
        <w:t>19</w:t>
      </w:r>
      <w:r w:rsidRPr="00540679">
        <w:rPr>
          <w:rFonts w:ascii="Arial" w:hAnsi="Arial" w:cs="Arial"/>
          <w:sz w:val="22"/>
          <w:szCs w:val="22"/>
        </w:rPr>
        <w:t xml:space="preserve"> regional and rural hospitals will be included in this study from Western NSW Local Health Districts. </w:t>
      </w:r>
    </w:p>
    <w:p w14:paraId="16F0C33B" w14:textId="77777777" w:rsidR="00E8634C" w:rsidRPr="00540679" w:rsidRDefault="00E8634C" w:rsidP="00827AAD">
      <w:pPr>
        <w:outlineLvl w:val="0"/>
        <w:rPr>
          <w:rFonts w:ascii="Arial" w:hAnsi="Arial" w:cs="Arial"/>
          <w:b/>
          <w:sz w:val="22"/>
          <w:szCs w:val="22"/>
        </w:rPr>
      </w:pPr>
    </w:p>
    <w:p w14:paraId="22A28D3B" w14:textId="77777777" w:rsidR="00E10130" w:rsidRPr="00540679" w:rsidRDefault="00E10130" w:rsidP="00827AAD">
      <w:pPr>
        <w:outlineLvl w:val="0"/>
        <w:rPr>
          <w:rFonts w:ascii="Arial" w:hAnsi="Arial" w:cs="Arial"/>
          <w:b/>
          <w:sz w:val="22"/>
          <w:szCs w:val="22"/>
        </w:rPr>
      </w:pPr>
    </w:p>
    <w:p w14:paraId="0B7AB058" w14:textId="77777777" w:rsidR="00E10130" w:rsidRPr="00540679" w:rsidRDefault="00E10130" w:rsidP="00827AAD">
      <w:pPr>
        <w:outlineLvl w:val="0"/>
        <w:rPr>
          <w:rFonts w:ascii="Arial" w:hAnsi="Arial" w:cs="Arial"/>
          <w:b/>
          <w:sz w:val="22"/>
          <w:szCs w:val="22"/>
        </w:rPr>
      </w:pPr>
    </w:p>
    <w:p w14:paraId="250CC194" w14:textId="65A21AF3" w:rsidR="00827AAD" w:rsidRPr="00540679" w:rsidRDefault="00827AAD" w:rsidP="00827AAD">
      <w:pPr>
        <w:outlineLvl w:val="0"/>
        <w:rPr>
          <w:rFonts w:ascii="Arial" w:hAnsi="Arial" w:cs="Arial"/>
          <w:b/>
          <w:sz w:val="22"/>
          <w:szCs w:val="22"/>
        </w:rPr>
      </w:pPr>
      <w:r w:rsidRPr="00540679">
        <w:rPr>
          <w:rFonts w:ascii="Arial" w:hAnsi="Arial" w:cs="Arial"/>
          <w:b/>
          <w:sz w:val="22"/>
          <w:szCs w:val="22"/>
        </w:rPr>
        <w:lastRenderedPageBreak/>
        <w:t>Table 2. Participating sites</w:t>
      </w:r>
    </w:p>
    <w:p w14:paraId="756B2247" w14:textId="77777777" w:rsidR="00827AAD" w:rsidRPr="00540679" w:rsidRDefault="00827AAD" w:rsidP="00827AAD">
      <w:pPr>
        <w:outlineLvl w:val="0"/>
        <w:rPr>
          <w:rFonts w:ascii="Arial" w:hAnsi="Arial" w:cs="Arial"/>
          <w:b/>
          <w:sz w:val="22"/>
          <w:szCs w:val="22"/>
        </w:rPr>
      </w:pPr>
    </w:p>
    <w:tbl>
      <w:tblPr>
        <w:tblW w:w="32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2"/>
        <w:gridCol w:w="1134"/>
      </w:tblGrid>
      <w:tr w:rsidR="00E8040A" w:rsidRPr="00540679" w14:paraId="2233E3B2" w14:textId="77777777" w:rsidTr="2688972B">
        <w:trPr>
          <w:trHeight w:val="300"/>
        </w:trPr>
        <w:tc>
          <w:tcPr>
            <w:tcW w:w="2122" w:type="dxa"/>
          </w:tcPr>
          <w:p w14:paraId="2A0F03FE" w14:textId="2DAC06E0" w:rsidR="00E8040A" w:rsidRPr="00540679" w:rsidRDefault="00C52BDE">
            <w:pPr>
              <w:jc w:val="both"/>
              <w:rPr>
                <w:rFonts w:ascii="Arial" w:eastAsia="Calibri" w:hAnsi="Arial" w:cs="Arial"/>
                <w:b/>
                <w:bCs/>
                <w:sz w:val="22"/>
                <w:szCs w:val="22"/>
              </w:rPr>
            </w:pPr>
            <w:r>
              <w:rPr>
                <w:rFonts w:ascii="Arial" w:eastAsia="Calibri" w:hAnsi="Arial" w:cs="Arial"/>
                <w:b/>
                <w:bCs/>
                <w:sz w:val="22"/>
                <w:szCs w:val="22"/>
              </w:rPr>
              <w:t>Hospital</w:t>
            </w:r>
            <w:r w:rsidRPr="00540679">
              <w:rPr>
                <w:rFonts w:ascii="Arial" w:eastAsia="Calibri" w:hAnsi="Arial" w:cs="Arial"/>
                <w:b/>
                <w:bCs/>
                <w:sz w:val="22"/>
                <w:szCs w:val="22"/>
              </w:rPr>
              <w:t xml:space="preserve"> </w:t>
            </w:r>
            <w:r w:rsidR="00E8040A" w:rsidRPr="00540679">
              <w:rPr>
                <w:rFonts w:ascii="Arial" w:eastAsia="Calibri" w:hAnsi="Arial" w:cs="Arial"/>
                <w:b/>
                <w:bCs/>
                <w:sz w:val="22"/>
                <w:szCs w:val="22"/>
              </w:rPr>
              <w:t>Name</w:t>
            </w:r>
          </w:p>
        </w:tc>
        <w:tc>
          <w:tcPr>
            <w:tcW w:w="1134" w:type="dxa"/>
          </w:tcPr>
          <w:p w14:paraId="1D18E70A" w14:textId="77777777" w:rsidR="00E8040A" w:rsidRPr="00540679" w:rsidRDefault="00E8040A">
            <w:pPr>
              <w:jc w:val="both"/>
              <w:rPr>
                <w:rFonts w:ascii="Arial" w:eastAsia="Calibri" w:hAnsi="Arial" w:cs="Arial"/>
                <w:b/>
                <w:bCs/>
                <w:sz w:val="22"/>
                <w:szCs w:val="22"/>
              </w:rPr>
            </w:pPr>
            <w:r w:rsidRPr="00540679">
              <w:rPr>
                <w:rFonts w:ascii="Arial" w:eastAsia="Calibri" w:hAnsi="Arial" w:cs="Arial"/>
                <w:b/>
                <w:bCs/>
                <w:sz w:val="22"/>
                <w:szCs w:val="22"/>
              </w:rPr>
              <w:t>State</w:t>
            </w:r>
          </w:p>
        </w:tc>
      </w:tr>
      <w:tr w:rsidR="00E8040A" w:rsidRPr="00540679" w14:paraId="34077E54" w14:textId="77777777" w:rsidTr="2688972B">
        <w:trPr>
          <w:trHeight w:val="300"/>
        </w:trPr>
        <w:tc>
          <w:tcPr>
            <w:tcW w:w="2122" w:type="dxa"/>
          </w:tcPr>
          <w:p w14:paraId="3BB2E29B" w14:textId="390DD850" w:rsidR="00E8040A" w:rsidRPr="00540679" w:rsidRDefault="00E8040A">
            <w:pPr>
              <w:jc w:val="both"/>
              <w:rPr>
                <w:rFonts w:ascii="Arial" w:eastAsia="Calibri" w:hAnsi="Arial" w:cs="Arial"/>
                <w:sz w:val="22"/>
                <w:szCs w:val="22"/>
              </w:rPr>
            </w:pPr>
            <w:r w:rsidRPr="00540679">
              <w:rPr>
                <w:rFonts w:ascii="Arial" w:hAnsi="Arial" w:cs="Arial"/>
                <w:sz w:val="22"/>
                <w:szCs w:val="22"/>
              </w:rPr>
              <w:t>Baradine</w:t>
            </w:r>
          </w:p>
        </w:tc>
        <w:tc>
          <w:tcPr>
            <w:tcW w:w="1134" w:type="dxa"/>
          </w:tcPr>
          <w:p w14:paraId="58AC1DF6" w14:textId="77777777"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225E4899" w14:textId="77777777" w:rsidTr="2688972B">
        <w:trPr>
          <w:trHeight w:val="300"/>
        </w:trPr>
        <w:tc>
          <w:tcPr>
            <w:tcW w:w="2122" w:type="dxa"/>
          </w:tcPr>
          <w:p w14:paraId="1E86268C" w14:textId="26128C35" w:rsidR="00E8040A" w:rsidRPr="00540679" w:rsidRDefault="00E8040A">
            <w:pPr>
              <w:jc w:val="both"/>
              <w:rPr>
                <w:rFonts w:ascii="Arial" w:eastAsia="Calibri" w:hAnsi="Arial" w:cs="Arial"/>
                <w:sz w:val="22"/>
                <w:szCs w:val="22"/>
              </w:rPr>
            </w:pPr>
            <w:r w:rsidRPr="00540679">
              <w:rPr>
                <w:rFonts w:ascii="Arial" w:hAnsi="Arial" w:cs="Arial"/>
                <w:sz w:val="22"/>
                <w:szCs w:val="22"/>
              </w:rPr>
              <w:t>Coolah</w:t>
            </w:r>
          </w:p>
        </w:tc>
        <w:tc>
          <w:tcPr>
            <w:tcW w:w="1134" w:type="dxa"/>
          </w:tcPr>
          <w:p w14:paraId="1B818E05" w14:textId="77777777"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284D3119" w14:textId="77777777" w:rsidTr="2688972B">
        <w:trPr>
          <w:trHeight w:val="300"/>
        </w:trPr>
        <w:tc>
          <w:tcPr>
            <w:tcW w:w="2122" w:type="dxa"/>
          </w:tcPr>
          <w:p w14:paraId="1613C923" w14:textId="7373BD5A" w:rsidR="00E8040A" w:rsidRPr="00540679" w:rsidRDefault="00E8040A">
            <w:pPr>
              <w:jc w:val="both"/>
              <w:rPr>
                <w:rFonts w:ascii="Arial" w:eastAsia="Calibri" w:hAnsi="Arial" w:cs="Arial"/>
                <w:sz w:val="22"/>
                <w:szCs w:val="22"/>
              </w:rPr>
            </w:pPr>
            <w:r w:rsidRPr="00540679">
              <w:rPr>
                <w:rFonts w:ascii="Arial" w:hAnsi="Arial" w:cs="Arial"/>
                <w:sz w:val="22"/>
                <w:szCs w:val="22"/>
              </w:rPr>
              <w:t>Coonamble</w:t>
            </w:r>
          </w:p>
        </w:tc>
        <w:tc>
          <w:tcPr>
            <w:tcW w:w="1134" w:type="dxa"/>
          </w:tcPr>
          <w:p w14:paraId="1017F5FF" w14:textId="77777777"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3C9BF5FE" w14:textId="77777777" w:rsidTr="2688972B">
        <w:trPr>
          <w:trHeight w:val="300"/>
        </w:trPr>
        <w:tc>
          <w:tcPr>
            <w:tcW w:w="2122" w:type="dxa"/>
          </w:tcPr>
          <w:p w14:paraId="34615451" w14:textId="068A0A53" w:rsidR="00E8040A" w:rsidRPr="00540679" w:rsidRDefault="00E8040A">
            <w:pPr>
              <w:jc w:val="both"/>
              <w:rPr>
                <w:rFonts w:ascii="Arial" w:eastAsia="Calibri" w:hAnsi="Arial" w:cs="Arial"/>
                <w:sz w:val="22"/>
                <w:szCs w:val="22"/>
              </w:rPr>
            </w:pPr>
            <w:r w:rsidRPr="00540679">
              <w:rPr>
                <w:rFonts w:ascii="Arial" w:hAnsi="Arial" w:cs="Arial"/>
                <w:sz w:val="22"/>
                <w:szCs w:val="22"/>
              </w:rPr>
              <w:t>Dunedoo</w:t>
            </w:r>
          </w:p>
        </w:tc>
        <w:tc>
          <w:tcPr>
            <w:tcW w:w="1134" w:type="dxa"/>
          </w:tcPr>
          <w:p w14:paraId="14EC75CE" w14:textId="77777777"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28E01042" w14:textId="77777777" w:rsidTr="2688972B">
        <w:trPr>
          <w:trHeight w:val="300"/>
        </w:trPr>
        <w:tc>
          <w:tcPr>
            <w:tcW w:w="2122" w:type="dxa"/>
          </w:tcPr>
          <w:p w14:paraId="4638F2E8" w14:textId="1E2C4204" w:rsidR="00E8040A" w:rsidRPr="00540679" w:rsidRDefault="00E8040A">
            <w:pPr>
              <w:jc w:val="both"/>
              <w:rPr>
                <w:rFonts w:ascii="Arial" w:eastAsia="Calibri" w:hAnsi="Arial" w:cs="Arial"/>
                <w:sz w:val="22"/>
                <w:szCs w:val="22"/>
              </w:rPr>
            </w:pPr>
            <w:r w:rsidRPr="00540679">
              <w:rPr>
                <w:rFonts w:ascii="Arial" w:hAnsi="Arial" w:cs="Arial"/>
                <w:sz w:val="22"/>
                <w:szCs w:val="22"/>
              </w:rPr>
              <w:t>Forbes</w:t>
            </w:r>
          </w:p>
        </w:tc>
        <w:tc>
          <w:tcPr>
            <w:tcW w:w="1134" w:type="dxa"/>
          </w:tcPr>
          <w:p w14:paraId="11CB7BC3" w14:textId="28B6459A"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5F07A9C9" w14:textId="77777777" w:rsidTr="2688972B">
        <w:trPr>
          <w:trHeight w:val="300"/>
        </w:trPr>
        <w:tc>
          <w:tcPr>
            <w:tcW w:w="2122" w:type="dxa"/>
          </w:tcPr>
          <w:p w14:paraId="36DC6AC0" w14:textId="0D15733F" w:rsidR="00E8040A" w:rsidRPr="00540679" w:rsidRDefault="00E8040A">
            <w:pPr>
              <w:jc w:val="both"/>
              <w:rPr>
                <w:rFonts w:ascii="Arial" w:eastAsia="Calibri" w:hAnsi="Arial" w:cs="Arial"/>
                <w:sz w:val="22"/>
                <w:szCs w:val="22"/>
              </w:rPr>
            </w:pPr>
            <w:r w:rsidRPr="00540679">
              <w:rPr>
                <w:rFonts w:ascii="Arial" w:hAnsi="Arial" w:cs="Arial"/>
                <w:sz w:val="22"/>
                <w:szCs w:val="22"/>
              </w:rPr>
              <w:t>Gilgandra</w:t>
            </w:r>
          </w:p>
        </w:tc>
        <w:tc>
          <w:tcPr>
            <w:tcW w:w="1134" w:type="dxa"/>
          </w:tcPr>
          <w:p w14:paraId="40F8191F" w14:textId="4E538899"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12A32E8B" w14:textId="77777777" w:rsidTr="2688972B">
        <w:trPr>
          <w:trHeight w:val="300"/>
        </w:trPr>
        <w:tc>
          <w:tcPr>
            <w:tcW w:w="2122" w:type="dxa"/>
          </w:tcPr>
          <w:p w14:paraId="440974A3" w14:textId="2DB3B78B" w:rsidR="00E8040A" w:rsidRPr="00540679" w:rsidRDefault="00E8040A">
            <w:pPr>
              <w:jc w:val="both"/>
              <w:rPr>
                <w:rFonts w:ascii="Arial" w:eastAsia="Calibri" w:hAnsi="Arial" w:cs="Arial"/>
                <w:sz w:val="22"/>
                <w:szCs w:val="22"/>
              </w:rPr>
            </w:pPr>
            <w:r w:rsidRPr="00540679">
              <w:rPr>
                <w:rFonts w:ascii="Arial" w:hAnsi="Arial" w:cs="Arial"/>
                <w:sz w:val="22"/>
                <w:szCs w:val="22"/>
              </w:rPr>
              <w:t>Gulgong</w:t>
            </w:r>
          </w:p>
        </w:tc>
        <w:tc>
          <w:tcPr>
            <w:tcW w:w="1134" w:type="dxa"/>
          </w:tcPr>
          <w:p w14:paraId="39CC6B48" w14:textId="4CDBD623"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474BC6BD" w14:textId="77777777" w:rsidTr="2688972B">
        <w:trPr>
          <w:trHeight w:val="300"/>
        </w:trPr>
        <w:tc>
          <w:tcPr>
            <w:tcW w:w="2122" w:type="dxa"/>
          </w:tcPr>
          <w:p w14:paraId="1F0D201B" w14:textId="06F6E420" w:rsidR="00E8040A" w:rsidRPr="00540679" w:rsidRDefault="00E8040A">
            <w:pPr>
              <w:jc w:val="both"/>
              <w:rPr>
                <w:rFonts w:ascii="Arial" w:eastAsia="Calibri" w:hAnsi="Arial" w:cs="Arial"/>
                <w:sz w:val="22"/>
                <w:szCs w:val="22"/>
              </w:rPr>
            </w:pPr>
            <w:r w:rsidRPr="00540679">
              <w:rPr>
                <w:rFonts w:ascii="Arial" w:hAnsi="Arial" w:cs="Arial"/>
                <w:sz w:val="22"/>
                <w:szCs w:val="22"/>
              </w:rPr>
              <w:t>Narromine</w:t>
            </w:r>
          </w:p>
        </w:tc>
        <w:tc>
          <w:tcPr>
            <w:tcW w:w="1134" w:type="dxa"/>
          </w:tcPr>
          <w:p w14:paraId="55957FCD" w14:textId="19FACE21"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4324D9A6" w14:textId="77777777" w:rsidTr="2688972B">
        <w:trPr>
          <w:trHeight w:val="300"/>
        </w:trPr>
        <w:tc>
          <w:tcPr>
            <w:tcW w:w="2122" w:type="dxa"/>
          </w:tcPr>
          <w:p w14:paraId="3AEF6969" w14:textId="2F77FAE5" w:rsidR="00E8040A" w:rsidRPr="00540679" w:rsidRDefault="00E8040A">
            <w:pPr>
              <w:jc w:val="both"/>
              <w:rPr>
                <w:rFonts w:ascii="Arial" w:eastAsia="Calibri" w:hAnsi="Arial" w:cs="Arial"/>
                <w:sz w:val="22"/>
                <w:szCs w:val="22"/>
              </w:rPr>
            </w:pPr>
            <w:r w:rsidRPr="00540679">
              <w:rPr>
                <w:rFonts w:ascii="Arial" w:hAnsi="Arial" w:cs="Arial"/>
                <w:sz w:val="22"/>
                <w:szCs w:val="22"/>
              </w:rPr>
              <w:t>Wellington</w:t>
            </w:r>
          </w:p>
        </w:tc>
        <w:tc>
          <w:tcPr>
            <w:tcW w:w="1134" w:type="dxa"/>
          </w:tcPr>
          <w:p w14:paraId="0DABAE06" w14:textId="197E70BC" w:rsidR="00E8040A" w:rsidRPr="00540679" w:rsidRDefault="00E8040A">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2D1B9DDC" w14:textId="77777777" w:rsidTr="2688972B">
        <w:trPr>
          <w:trHeight w:val="300"/>
        </w:trPr>
        <w:tc>
          <w:tcPr>
            <w:tcW w:w="2122" w:type="dxa"/>
          </w:tcPr>
          <w:p w14:paraId="4C315B86" w14:textId="322F924C"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Nyngan</w:t>
            </w:r>
          </w:p>
        </w:tc>
        <w:tc>
          <w:tcPr>
            <w:tcW w:w="1134" w:type="dxa"/>
          </w:tcPr>
          <w:p w14:paraId="1C911054" w14:textId="4C9DDDFB"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1ED7C8C2" w14:textId="77777777" w:rsidTr="2688972B">
        <w:trPr>
          <w:trHeight w:val="300"/>
        </w:trPr>
        <w:tc>
          <w:tcPr>
            <w:tcW w:w="2122" w:type="dxa"/>
          </w:tcPr>
          <w:p w14:paraId="26F0ED4B" w14:textId="0FC57321"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Walgett</w:t>
            </w:r>
          </w:p>
        </w:tc>
        <w:tc>
          <w:tcPr>
            <w:tcW w:w="1134" w:type="dxa"/>
          </w:tcPr>
          <w:p w14:paraId="03CC1185" w14:textId="5F59BC93"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029CDC71" w14:textId="77777777" w:rsidTr="2688972B">
        <w:trPr>
          <w:trHeight w:val="300"/>
        </w:trPr>
        <w:tc>
          <w:tcPr>
            <w:tcW w:w="2122" w:type="dxa"/>
          </w:tcPr>
          <w:p w14:paraId="25B59B64" w14:textId="3D05F598"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Warren</w:t>
            </w:r>
          </w:p>
        </w:tc>
        <w:tc>
          <w:tcPr>
            <w:tcW w:w="1134" w:type="dxa"/>
          </w:tcPr>
          <w:p w14:paraId="4317137C" w14:textId="10A43DCE"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058AC238" w14:textId="77777777" w:rsidTr="2688972B">
        <w:trPr>
          <w:trHeight w:val="300"/>
        </w:trPr>
        <w:tc>
          <w:tcPr>
            <w:tcW w:w="2122" w:type="dxa"/>
          </w:tcPr>
          <w:p w14:paraId="5170EFE0" w14:textId="5B93289C"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Blayney</w:t>
            </w:r>
          </w:p>
        </w:tc>
        <w:tc>
          <w:tcPr>
            <w:tcW w:w="1134" w:type="dxa"/>
          </w:tcPr>
          <w:p w14:paraId="74AF4029" w14:textId="07E3B89E"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4A5CDA4A" w14:textId="77777777" w:rsidTr="2688972B">
        <w:trPr>
          <w:trHeight w:val="300"/>
        </w:trPr>
        <w:tc>
          <w:tcPr>
            <w:tcW w:w="2122" w:type="dxa"/>
          </w:tcPr>
          <w:p w14:paraId="58BD9044" w14:textId="792739E3"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Canowindra</w:t>
            </w:r>
          </w:p>
        </w:tc>
        <w:tc>
          <w:tcPr>
            <w:tcW w:w="1134" w:type="dxa"/>
          </w:tcPr>
          <w:p w14:paraId="7B54584A" w14:textId="462E4264"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34E56D2D" w14:textId="77777777" w:rsidTr="2688972B">
        <w:trPr>
          <w:trHeight w:val="300"/>
        </w:trPr>
        <w:tc>
          <w:tcPr>
            <w:tcW w:w="2122" w:type="dxa"/>
          </w:tcPr>
          <w:p w14:paraId="3B9E2E13" w14:textId="2261FD74"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Cowra</w:t>
            </w:r>
          </w:p>
        </w:tc>
        <w:tc>
          <w:tcPr>
            <w:tcW w:w="1134" w:type="dxa"/>
          </w:tcPr>
          <w:p w14:paraId="3E5A5FC0" w14:textId="77B5CA9F"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74E167E2" w14:textId="77777777" w:rsidTr="2688972B">
        <w:trPr>
          <w:trHeight w:val="300"/>
        </w:trPr>
        <w:tc>
          <w:tcPr>
            <w:tcW w:w="2122" w:type="dxa"/>
          </w:tcPr>
          <w:p w14:paraId="5A14A695" w14:textId="632C6F4A"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Grenfell</w:t>
            </w:r>
          </w:p>
        </w:tc>
        <w:tc>
          <w:tcPr>
            <w:tcW w:w="1134" w:type="dxa"/>
          </w:tcPr>
          <w:p w14:paraId="6547967E" w14:textId="142B1CDE"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45D6523B" w14:textId="77777777" w:rsidTr="2688972B">
        <w:trPr>
          <w:trHeight w:val="300"/>
        </w:trPr>
        <w:tc>
          <w:tcPr>
            <w:tcW w:w="2122" w:type="dxa"/>
          </w:tcPr>
          <w:p w14:paraId="7E170ED1" w14:textId="2FF63862"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Mudgee</w:t>
            </w:r>
          </w:p>
        </w:tc>
        <w:tc>
          <w:tcPr>
            <w:tcW w:w="1134" w:type="dxa"/>
          </w:tcPr>
          <w:p w14:paraId="55A05A1E" w14:textId="54FF21BA"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74A9450A" w14:textId="77777777" w:rsidTr="2688972B">
        <w:trPr>
          <w:trHeight w:val="300"/>
        </w:trPr>
        <w:tc>
          <w:tcPr>
            <w:tcW w:w="2122" w:type="dxa"/>
          </w:tcPr>
          <w:p w14:paraId="4AD26AE1" w14:textId="46BE5F28" w:rsidR="00E8040A" w:rsidRPr="00540679" w:rsidRDefault="00E8040A" w:rsidP="00ED1D23">
            <w:pPr>
              <w:jc w:val="both"/>
              <w:rPr>
                <w:rFonts w:ascii="Arial" w:eastAsia="Calibri" w:hAnsi="Arial" w:cs="Arial"/>
                <w:sz w:val="22"/>
                <w:szCs w:val="22"/>
              </w:rPr>
            </w:pPr>
            <w:r w:rsidRPr="00540679">
              <w:rPr>
                <w:rFonts w:ascii="Arial" w:hAnsi="Arial" w:cs="Arial"/>
                <w:sz w:val="22"/>
                <w:szCs w:val="22"/>
              </w:rPr>
              <w:t>Oberon</w:t>
            </w:r>
          </w:p>
        </w:tc>
        <w:tc>
          <w:tcPr>
            <w:tcW w:w="1134" w:type="dxa"/>
          </w:tcPr>
          <w:p w14:paraId="055B0D70" w14:textId="2F8BD63C"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r w:rsidR="00E8040A" w:rsidRPr="00540679" w14:paraId="7D54CB49" w14:textId="77777777" w:rsidTr="2688972B">
        <w:trPr>
          <w:trHeight w:val="300"/>
        </w:trPr>
        <w:tc>
          <w:tcPr>
            <w:tcW w:w="2122" w:type="dxa"/>
          </w:tcPr>
          <w:p w14:paraId="6546489B" w14:textId="4053747D" w:rsidR="00E8040A" w:rsidRPr="00540679" w:rsidRDefault="00E8040A" w:rsidP="00ED1D23">
            <w:pPr>
              <w:jc w:val="both"/>
              <w:rPr>
                <w:rFonts w:ascii="Arial" w:hAnsi="Arial" w:cs="Arial"/>
                <w:sz w:val="22"/>
                <w:szCs w:val="22"/>
              </w:rPr>
            </w:pPr>
            <w:r w:rsidRPr="00540679">
              <w:rPr>
                <w:rFonts w:ascii="Arial" w:hAnsi="Arial" w:cs="Arial"/>
                <w:sz w:val="22"/>
                <w:szCs w:val="22"/>
              </w:rPr>
              <w:t>Parkes</w:t>
            </w:r>
          </w:p>
        </w:tc>
        <w:tc>
          <w:tcPr>
            <w:tcW w:w="1134" w:type="dxa"/>
          </w:tcPr>
          <w:p w14:paraId="545C5E04" w14:textId="6EB43258" w:rsidR="00E8040A" w:rsidRPr="00540679" w:rsidRDefault="00E8040A" w:rsidP="00ED1D23">
            <w:pPr>
              <w:jc w:val="both"/>
              <w:rPr>
                <w:rFonts w:ascii="Arial" w:eastAsia="Calibri" w:hAnsi="Arial" w:cs="Arial"/>
                <w:sz w:val="22"/>
                <w:szCs w:val="22"/>
              </w:rPr>
            </w:pPr>
            <w:r w:rsidRPr="00540679">
              <w:rPr>
                <w:rFonts w:ascii="Arial" w:eastAsia="Calibri" w:hAnsi="Arial" w:cs="Arial"/>
                <w:sz w:val="22"/>
                <w:szCs w:val="22"/>
              </w:rPr>
              <w:t>NSW</w:t>
            </w:r>
          </w:p>
        </w:tc>
      </w:tr>
    </w:tbl>
    <w:p w14:paraId="7FC86598" w14:textId="77777777" w:rsidR="00B77551" w:rsidRPr="00540679" w:rsidRDefault="00B77551" w:rsidP="00450484">
      <w:pPr>
        <w:spacing w:line="276" w:lineRule="auto"/>
        <w:outlineLvl w:val="0"/>
        <w:rPr>
          <w:rFonts w:ascii="Arial" w:hAnsi="Arial" w:cs="Arial"/>
          <w:b/>
          <w:sz w:val="22"/>
          <w:szCs w:val="22"/>
        </w:rPr>
      </w:pPr>
      <w:bookmarkStart w:id="44" w:name="_Toc224114241"/>
      <w:bookmarkStart w:id="45" w:name="_Toc224114366"/>
      <w:bookmarkStart w:id="46" w:name="_Toc229297236"/>
      <w:bookmarkStart w:id="47" w:name="_Toc229297343"/>
      <w:bookmarkStart w:id="48" w:name="_Toc229298366"/>
      <w:bookmarkStart w:id="49" w:name="_Toc229307333"/>
      <w:bookmarkStart w:id="50" w:name="_Toc229308153"/>
      <w:bookmarkStart w:id="51" w:name="_Toc235338627"/>
      <w:bookmarkStart w:id="52" w:name="_Toc236472627"/>
      <w:bookmarkStart w:id="53" w:name="_Toc236473747"/>
      <w:bookmarkStart w:id="54" w:name="_Toc23337549"/>
    </w:p>
    <w:p w14:paraId="0D0A8444" w14:textId="27EE65E9" w:rsidR="00450484" w:rsidRPr="00540679" w:rsidRDefault="00450484" w:rsidP="00E10130">
      <w:pPr>
        <w:spacing w:line="276" w:lineRule="auto"/>
        <w:outlineLvl w:val="0"/>
        <w:rPr>
          <w:rFonts w:ascii="Arial" w:hAnsi="Arial" w:cs="Arial"/>
          <w:b/>
          <w:sz w:val="22"/>
          <w:szCs w:val="22"/>
        </w:rPr>
      </w:pPr>
      <w:r w:rsidRPr="00540679">
        <w:rPr>
          <w:rFonts w:ascii="Arial" w:hAnsi="Arial" w:cs="Arial"/>
          <w:b/>
          <w:sz w:val="22"/>
          <w:szCs w:val="22"/>
        </w:rPr>
        <w:t>5.  STUDY DESIGN</w:t>
      </w:r>
      <w:bookmarkEnd w:id="44"/>
      <w:bookmarkEnd w:id="45"/>
      <w:bookmarkEnd w:id="46"/>
      <w:bookmarkEnd w:id="47"/>
      <w:bookmarkEnd w:id="48"/>
      <w:bookmarkEnd w:id="49"/>
      <w:bookmarkEnd w:id="50"/>
      <w:bookmarkEnd w:id="51"/>
      <w:bookmarkEnd w:id="52"/>
      <w:bookmarkEnd w:id="53"/>
      <w:bookmarkEnd w:id="54"/>
    </w:p>
    <w:p w14:paraId="6780EEF4" w14:textId="77777777" w:rsidR="00450484" w:rsidRPr="00540679" w:rsidRDefault="00450484" w:rsidP="00E10130">
      <w:pPr>
        <w:spacing w:line="276" w:lineRule="auto"/>
        <w:outlineLvl w:val="0"/>
        <w:rPr>
          <w:rFonts w:ascii="Arial" w:hAnsi="Arial" w:cs="Arial"/>
          <w:b/>
          <w:sz w:val="22"/>
          <w:szCs w:val="22"/>
        </w:rPr>
      </w:pPr>
    </w:p>
    <w:p w14:paraId="23F7AA33" w14:textId="07F9FC61" w:rsidR="00C87444" w:rsidRPr="00540679" w:rsidRDefault="00C87444" w:rsidP="00E10130">
      <w:pPr>
        <w:spacing w:afterLines="80" w:after="192" w:line="276" w:lineRule="auto"/>
        <w:rPr>
          <w:rFonts w:ascii="Arial" w:hAnsi="Arial" w:cs="Arial"/>
          <w:b/>
          <w:bCs/>
          <w:color w:val="000000" w:themeColor="text1"/>
          <w:sz w:val="22"/>
          <w:szCs w:val="22"/>
        </w:rPr>
      </w:pPr>
      <w:r w:rsidRPr="00540679">
        <w:rPr>
          <w:rFonts w:ascii="Arial" w:hAnsi="Arial" w:cs="Arial"/>
          <w:b/>
          <w:bCs/>
          <w:color w:val="000000" w:themeColor="text1"/>
          <w:sz w:val="22"/>
          <w:szCs w:val="22"/>
        </w:rPr>
        <w:t xml:space="preserve">Aim 1: To determine the effectiveness of </w:t>
      </w:r>
      <w:r w:rsidRPr="00540679">
        <w:rPr>
          <w:rFonts w:ascii="Arial" w:hAnsi="Arial" w:cs="Arial"/>
          <w:b/>
          <w:bCs/>
          <w:sz w:val="22"/>
          <w:szCs w:val="22"/>
        </w:rPr>
        <w:t xml:space="preserve">the TIC TOC intervention </w:t>
      </w:r>
      <w:r w:rsidR="391C55DA" w:rsidRPr="00540679">
        <w:rPr>
          <w:rFonts w:ascii="Arial" w:hAnsi="Arial" w:cs="Arial"/>
          <w:b/>
          <w:bCs/>
          <w:sz w:val="22"/>
          <w:szCs w:val="22"/>
        </w:rPr>
        <w:t xml:space="preserve">in regional and rural hospitals </w:t>
      </w:r>
      <w:r w:rsidRPr="00540679">
        <w:rPr>
          <w:rFonts w:ascii="Arial" w:hAnsi="Arial" w:cs="Arial"/>
          <w:b/>
          <w:bCs/>
          <w:sz w:val="22"/>
          <w:szCs w:val="22"/>
        </w:rPr>
        <w:t xml:space="preserve">on hospital readmissions and ED presentations </w:t>
      </w:r>
      <w:r w:rsidRPr="00540679">
        <w:rPr>
          <w:rFonts w:ascii="Arial" w:hAnsi="Arial" w:cs="Arial"/>
          <w:b/>
          <w:bCs/>
          <w:color w:val="000000" w:themeColor="text1"/>
          <w:sz w:val="22"/>
          <w:szCs w:val="22"/>
        </w:rPr>
        <w:t xml:space="preserve"> </w:t>
      </w:r>
    </w:p>
    <w:p w14:paraId="6F492FE1" w14:textId="3C223B3E"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u w:val="single"/>
        </w:rPr>
        <w:t xml:space="preserve">Study Design and Setting: </w:t>
      </w:r>
      <w:r w:rsidRPr="00540679">
        <w:rPr>
          <w:rFonts w:ascii="Arial" w:hAnsi="Arial" w:cs="Arial"/>
          <w:sz w:val="22"/>
          <w:szCs w:val="22"/>
        </w:rPr>
        <w:t xml:space="preserve">The TIC TOC study is a prospective, randomised controlled clinical trial involving patients at high-risk of medication-related harm who are discharged from regional and rural hospitals to a domiciliary residence. This study will be conducted in </w:t>
      </w:r>
      <w:r w:rsidR="009327E4" w:rsidRPr="00540679">
        <w:rPr>
          <w:rFonts w:ascii="Arial" w:hAnsi="Arial" w:cs="Arial"/>
          <w:sz w:val="22"/>
          <w:szCs w:val="22"/>
        </w:rPr>
        <w:t>rural and regional hospitals in Western NSW Local Health District</w:t>
      </w:r>
      <w:r w:rsidRPr="00540679">
        <w:rPr>
          <w:rFonts w:ascii="Arial" w:hAnsi="Arial" w:cs="Arial"/>
          <w:sz w:val="22"/>
          <w:szCs w:val="22"/>
        </w:rPr>
        <w:t xml:space="preserve">. The patient recruitment will occur over 18 months with follow-up of all patients up to six months post-discharge. It will be registered on the Australian New Zealand Clinical Trials Registry and approved by relevant hospital ethics committees. </w:t>
      </w:r>
    </w:p>
    <w:p w14:paraId="65BEC445" w14:textId="316167E8"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rPr>
        <w:t xml:space="preserve">In total, </w:t>
      </w:r>
      <w:r w:rsidR="00DD6DE3" w:rsidRPr="00540679">
        <w:rPr>
          <w:rFonts w:ascii="Arial" w:hAnsi="Arial" w:cs="Arial"/>
          <w:sz w:val="22"/>
          <w:szCs w:val="22"/>
        </w:rPr>
        <w:t>19</w:t>
      </w:r>
      <w:r w:rsidRPr="00540679">
        <w:rPr>
          <w:rFonts w:ascii="Arial" w:hAnsi="Arial" w:cs="Arial"/>
          <w:sz w:val="22"/>
          <w:szCs w:val="22"/>
        </w:rPr>
        <w:t xml:space="preserve"> regional and rural hospitals will be included in this study from Western NSW Local Health Districts. Western NSW Local Health District is home to an estimated 309,700 people and is geographically dispersed over 433,379 square metres.</w:t>
      </w:r>
      <w:r w:rsidRPr="00540679">
        <w:rPr>
          <w:rFonts w:ascii="Arial" w:hAnsi="Arial" w:cs="Arial"/>
          <w:noProof/>
          <w:sz w:val="22"/>
          <w:szCs w:val="22"/>
          <w:vertAlign w:val="superscript"/>
        </w:rPr>
        <w:t>32</w:t>
      </w:r>
      <w:r w:rsidRPr="00540679">
        <w:rPr>
          <w:rFonts w:ascii="Arial" w:hAnsi="Arial" w:cs="Arial"/>
          <w:sz w:val="22"/>
          <w:szCs w:val="22"/>
        </w:rPr>
        <w:t xml:space="preserve"> It has 15% more preventable hospitalisations than the rest of NSW and contains significant vulnerable populations including 13% Aboriginal residents, 31% older residents (aged 55 years and over), socially disadvantaged residents (80% of the area occupies the five lowest 1-5 deciles for the index of relative socioeconomic disadvantage), and remote communities (44% are classified as remote or very remote).</w:t>
      </w:r>
      <w:r w:rsidRPr="00540679">
        <w:rPr>
          <w:rFonts w:ascii="Arial" w:hAnsi="Arial" w:cs="Arial"/>
          <w:noProof/>
          <w:sz w:val="22"/>
          <w:szCs w:val="22"/>
          <w:vertAlign w:val="superscript"/>
        </w:rPr>
        <w:t>32</w:t>
      </w:r>
      <w:r w:rsidRPr="00540679">
        <w:rPr>
          <w:rFonts w:ascii="Arial" w:hAnsi="Arial" w:cs="Arial"/>
          <w:sz w:val="22"/>
          <w:szCs w:val="22"/>
        </w:rPr>
        <w:t xml:space="preserve"> Hospitals included in this project are based in Baradine, Coolah, Coonamble, Dunedoo, Forbes, Gilgandra, Gulgong, Narromine, Wellington, Nyngan, Walgett, Warren, Blayney, Canowindra, Cowra, Grenfell, Mudgee, Oberon</w:t>
      </w:r>
      <w:r w:rsidR="0036020C" w:rsidRPr="00540679">
        <w:rPr>
          <w:rFonts w:ascii="Arial" w:hAnsi="Arial" w:cs="Arial"/>
          <w:sz w:val="22"/>
          <w:szCs w:val="22"/>
        </w:rPr>
        <w:t xml:space="preserve"> and</w:t>
      </w:r>
      <w:r w:rsidRPr="00540679">
        <w:rPr>
          <w:rFonts w:ascii="Arial" w:hAnsi="Arial" w:cs="Arial"/>
          <w:sz w:val="22"/>
          <w:szCs w:val="22"/>
        </w:rPr>
        <w:t xml:space="preserve"> Parkes, which have over 10,000 medical separations a year. </w:t>
      </w:r>
    </w:p>
    <w:p w14:paraId="54FC1089" w14:textId="77777777" w:rsidR="004F72BA" w:rsidRDefault="00DF3685" w:rsidP="004F72BA">
      <w:pPr>
        <w:spacing w:afterLines="80" w:after="192" w:line="276" w:lineRule="auto"/>
        <w:jc w:val="both"/>
        <w:rPr>
          <w:rFonts w:ascii="Arial" w:hAnsi="Arial" w:cs="Arial"/>
          <w:sz w:val="22"/>
          <w:szCs w:val="22"/>
        </w:rPr>
      </w:pPr>
      <w:r w:rsidRPr="7B8413B0">
        <w:rPr>
          <w:rFonts w:ascii="Arial" w:hAnsi="Arial" w:cs="Arial"/>
          <w:sz w:val="22"/>
          <w:szCs w:val="22"/>
          <w:u w:val="single"/>
        </w:rPr>
        <w:lastRenderedPageBreak/>
        <w:t>Consumer Engagement:</w:t>
      </w:r>
      <w:r w:rsidR="006D7965" w:rsidRPr="7B8413B0">
        <w:rPr>
          <w:rFonts w:ascii="Arial" w:hAnsi="Arial" w:cs="Arial"/>
          <w:sz w:val="22"/>
          <w:szCs w:val="22"/>
          <w:u w:val="single"/>
        </w:rPr>
        <w:t xml:space="preserve"> </w:t>
      </w:r>
      <w:r w:rsidR="00415F0B" w:rsidRPr="7B8413B0">
        <w:rPr>
          <w:rFonts w:ascii="Arial" w:hAnsi="Arial" w:cs="Arial"/>
          <w:sz w:val="22"/>
          <w:szCs w:val="22"/>
        </w:rPr>
        <w:t xml:space="preserve">The project team will harness consumer engagement mechanisms already existing in Western NSW Local Health District, allowing consumer collaboration for any required material, such as consent forms or patient surveys. In addition to the </w:t>
      </w:r>
      <w:r w:rsidR="56243954" w:rsidRPr="7B8413B0">
        <w:rPr>
          <w:rFonts w:ascii="Arial" w:hAnsi="Arial" w:cs="Arial"/>
          <w:sz w:val="22"/>
          <w:szCs w:val="22"/>
        </w:rPr>
        <w:t>district</w:t>
      </w:r>
      <w:r w:rsidR="00415F0B" w:rsidRPr="7B8413B0">
        <w:rPr>
          <w:rFonts w:ascii="Arial" w:hAnsi="Arial" w:cs="Arial"/>
          <w:sz w:val="22"/>
          <w:szCs w:val="22"/>
        </w:rPr>
        <w:t xml:space="preserve">-wide engagement process, the region has numerous program-specific committees with formalised consumer representation mechanisms, which can be canvased for consultation. For </w:t>
      </w:r>
      <w:r w:rsidR="00B06F40" w:rsidRPr="7B8413B0">
        <w:rPr>
          <w:rFonts w:ascii="Arial" w:hAnsi="Arial" w:cs="Arial"/>
          <w:sz w:val="22"/>
          <w:szCs w:val="22"/>
        </w:rPr>
        <w:t>instance</w:t>
      </w:r>
      <w:r w:rsidR="00415F0B" w:rsidRPr="7B8413B0">
        <w:rPr>
          <w:rFonts w:ascii="Arial" w:hAnsi="Arial" w:cs="Arial"/>
          <w:sz w:val="22"/>
          <w:szCs w:val="22"/>
        </w:rPr>
        <w:t xml:space="preserve">, integrated care programs for chronic disease and mental health </w:t>
      </w:r>
      <w:r w:rsidR="00712953" w:rsidRPr="7B8413B0">
        <w:rPr>
          <w:rFonts w:ascii="Arial" w:hAnsi="Arial" w:cs="Arial"/>
          <w:sz w:val="22"/>
          <w:szCs w:val="22"/>
        </w:rPr>
        <w:t>services. We</w:t>
      </w:r>
      <w:r w:rsidR="00D20C36" w:rsidRPr="7B8413B0">
        <w:rPr>
          <w:rFonts w:ascii="Arial" w:hAnsi="Arial" w:cs="Arial"/>
          <w:sz w:val="22"/>
          <w:szCs w:val="22"/>
        </w:rPr>
        <w:t xml:space="preserve"> will also be establishing the Aboriginal Reference Group for our study to ensure that our research is community-driven, culturally sensitive, and aligned with the specific needs of the Aboriginal community.</w:t>
      </w:r>
      <w:r w:rsidR="00D9443E" w:rsidRPr="7B8413B0">
        <w:rPr>
          <w:rFonts w:ascii="Arial" w:hAnsi="Arial" w:cs="Arial"/>
          <w:sz w:val="22"/>
          <w:szCs w:val="22"/>
        </w:rPr>
        <w:t xml:space="preserve"> We have also prepared a comprehensive invitation letter that outlines the specific details and objectives of the study.</w:t>
      </w:r>
    </w:p>
    <w:p w14:paraId="48A19D6C" w14:textId="25720DE4" w:rsidR="00AB6DE5" w:rsidRPr="00540679" w:rsidRDefault="004F72BA" w:rsidP="00743C7C">
      <w:pPr>
        <w:spacing w:afterLines="80" w:after="192" w:line="276" w:lineRule="auto"/>
        <w:jc w:val="both"/>
        <w:rPr>
          <w:rFonts w:ascii="Arial" w:hAnsi="Arial" w:cs="Arial"/>
          <w:sz w:val="22"/>
          <w:szCs w:val="22"/>
        </w:rPr>
      </w:pPr>
      <w:r w:rsidRPr="004F72BA">
        <w:rPr>
          <w:rFonts w:ascii="Arial" w:hAnsi="Arial" w:cs="Arial"/>
          <w:sz w:val="22"/>
          <w:szCs w:val="22"/>
        </w:rPr>
        <w:t>T</w:t>
      </w:r>
      <w:r w:rsidRPr="004F72BA">
        <w:rPr>
          <w:rFonts w:ascii="Arial" w:hAnsi="Arial" w:cs="Arial"/>
          <w:sz w:val="22"/>
          <w:szCs w:val="22"/>
        </w:rPr>
        <w:t xml:space="preserve">o ensure that the needs of Aboriginal and Torres Strait Islander patients are appropriately addressed, we have implemented several measures. Firstly, we have developed an Aboriginal Health Impact statement in collaboration with the Western NSW Local Health District. </w:t>
      </w:r>
      <w:r>
        <w:rPr>
          <w:rFonts w:ascii="Arial" w:hAnsi="Arial" w:cs="Arial"/>
          <w:sz w:val="22"/>
          <w:szCs w:val="22"/>
        </w:rPr>
        <w:t xml:space="preserve">Furthermore, we will </w:t>
      </w:r>
      <w:r w:rsidR="00415F0B" w:rsidRPr="00540679">
        <w:rPr>
          <w:rFonts w:ascii="Arial" w:hAnsi="Arial" w:cs="Arial"/>
          <w:sz w:val="22"/>
          <w:szCs w:val="22"/>
        </w:rPr>
        <w:t xml:space="preserve">submit ethics through Aboriginal Health and Medical Research Council (AH&amp;MRC). </w:t>
      </w:r>
      <w:r w:rsidRPr="004F72BA">
        <w:rPr>
          <w:rFonts w:ascii="Arial" w:hAnsi="Arial" w:cs="Arial"/>
          <w:sz w:val="22"/>
          <w:szCs w:val="22"/>
        </w:rPr>
        <w:t>By seeking ethics approval through AH&amp;MRC, we ensure that our research aligns with the highest ethical standards and addresses any potential risks or concerns for the Aboriginal community.</w:t>
      </w:r>
      <w:r>
        <w:rPr>
          <w:rFonts w:ascii="Arial" w:hAnsi="Arial" w:cs="Arial"/>
          <w:sz w:val="22"/>
          <w:szCs w:val="22"/>
        </w:rPr>
        <w:t xml:space="preserve"> </w:t>
      </w:r>
      <w:r w:rsidRPr="004F72BA">
        <w:rPr>
          <w:rFonts w:ascii="Arial" w:hAnsi="Arial" w:cs="Arial"/>
          <w:sz w:val="22"/>
          <w:szCs w:val="22"/>
        </w:rPr>
        <w:t xml:space="preserve">In addition, we are in the process of setting up an Aboriginal reference group. This group will comprise members from the local Aboriginal community who will actively participate in shaping and informing our research. Their valuable perspectives, cultural insights, and lived experiences will guide us in conducting research that is relevant, respectful, and beneficial to Aboriginal and Torres Strait Islander patients. </w:t>
      </w:r>
      <w:r w:rsidR="00415F0B" w:rsidRPr="00540679">
        <w:rPr>
          <w:rFonts w:ascii="Arial" w:hAnsi="Arial" w:cs="Arial"/>
          <w:sz w:val="22"/>
          <w:szCs w:val="22"/>
        </w:rPr>
        <w:t xml:space="preserve">Our team consists of experienced researchers who have conducted trials in Aboriginal and Torres Strait Islander patients and includes CIO, who is an Aboriginal (Wiradjuri) pharmacist researcher. Furthermore, AH&amp;MRC </w:t>
      </w:r>
      <w:r w:rsidR="0049080F" w:rsidRPr="00540679">
        <w:rPr>
          <w:rFonts w:ascii="Arial" w:hAnsi="Arial" w:cs="Arial"/>
          <w:sz w:val="22"/>
          <w:szCs w:val="22"/>
        </w:rPr>
        <w:t xml:space="preserve">is </w:t>
      </w:r>
      <w:r w:rsidR="00AB67E1" w:rsidRPr="00540679">
        <w:rPr>
          <w:rFonts w:ascii="Arial" w:hAnsi="Arial" w:cs="Arial"/>
          <w:sz w:val="22"/>
          <w:szCs w:val="22"/>
        </w:rPr>
        <w:t xml:space="preserve">our </w:t>
      </w:r>
      <w:r w:rsidR="00415F0B" w:rsidRPr="00540679">
        <w:rPr>
          <w:rFonts w:ascii="Arial" w:hAnsi="Arial" w:cs="Arial"/>
          <w:sz w:val="22"/>
          <w:szCs w:val="22"/>
        </w:rPr>
        <w:t xml:space="preserve">project partner to provide additional advice and support. </w:t>
      </w:r>
      <w:r w:rsidR="006A2BFB" w:rsidRPr="00540679">
        <w:rPr>
          <w:rFonts w:ascii="Arial" w:hAnsi="Arial" w:cs="Arial"/>
          <w:sz w:val="22"/>
          <w:szCs w:val="22"/>
        </w:rPr>
        <w:t xml:space="preserve">A support letter from AH&amp;MRC </w:t>
      </w:r>
      <w:r w:rsidR="00AB6DE5" w:rsidRPr="00540679">
        <w:rPr>
          <w:rFonts w:ascii="Arial" w:hAnsi="Arial" w:cs="Arial"/>
          <w:sz w:val="22"/>
          <w:szCs w:val="22"/>
        </w:rPr>
        <w:t>serves as a testament to the rigor and integrity of our research design, methodology, and commitment to community engagement.</w:t>
      </w:r>
    </w:p>
    <w:p w14:paraId="291B6C0B" w14:textId="44078C1A"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u w:val="single"/>
        </w:rPr>
        <w:t xml:space="preserve">Patient inclusion and exclusion criteria: </w:t>
      </w:r>
      <w:r w:rsidRPr="00540679">
        <w:rPr>
          <w:rFonts w:ascii="Arial" w:hAnsi="Arial" w:cs="Arial"/>
          <w:sz w:val="22"/>
          <w:szCs w:val="22"/>
        </w:rPr>
        <w:t xml:space="preserve">Eligible patients must be aged ≥18 years, admitted under a medical specialty, discharged to a domiciliary setting, have a GP, have a Medicare card and be at risk of readmission (defined as high-risk according to the </w:t>
      </w:r>
      <w:proofErr w:type="spellStart"/>
      <w:r w:rsidRPr="00540679">
        <w:rPr>
          <w:rFonts w:ascii="Arial" w:hAnsi="Arial" w:cs="Arial"/>
          <w:sz w:val="22"/>
          <w:szCs w:val="22"/>
        </w:rPr>
        <w:t>PHarmacie</w:t>
      </w:r>
      <w:proofErr w:type="spellEnd"/>
      <w:r w:rsidRPr="00540679">
        <w:rPr>
          <w:rFonts w:ascii="Arial" w:hAnsi="Arial" w:cs="Arial"/>
          <w:sz w:val="22"/>
          <w:szCs w:val="22"/>
        </w:rPr>
        <w:t xml:space="preserve">-R risk algorithm). </w:t>
      </w:r>
    </w:p>
    <w:p w14:paraId="1C0CB505" w14:textId="04793527"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rPr>
        <w:t>Exclusion criteria include unmanaged substance use disorder or mental health condition, active palliative care, homelessness, admission for planned dialysis, unsafe home environment (domestic violence or aggression), planning to change residence in six months or previously recruited.</w:t>
      </w:r>
    </w:p>
    <w:p w14:paraId="3C2E8359" w14:textId="64A196E2" w:rsidR="001B235F" w:rsidRDefault="001B235F" w:rsidP="00195290">
      <w:pPr>
        <w:spacing w:line="276" w:lineRule="auto"/>
        <w:jc w:val="both"/>
        <w:rPr>
          <w:rFonts w:ascii="Arial" w:hAnsi="Arial" w:cs="Arial"/>
          <w:sz w:val="22"/>
          <w:szCs w:val="22"/>
        </w:rPr>
      </w:pPr>
      <w:r w:rsidRPr="00540679">
        <w:rPr>
          <w:rFonts w:ascii="Arial" w:hAnsi="Arial" w:cs="Arial"/>
          <w:sz w:val="22"/>
          <w:szCs w:val="22"/>
          <w:u w:val="single"/>
        </w:rPr>
        <w:t>Screening</w:t>
      </w:r>
      <w:r w:rsidR="002D31C1">
        <w:rPr>
          <w:rFonts w:ascii="Arial" w:hAnsi="Arial" w:cs="Arial"/>
          <w:sz w:val="22"/>
          <w:szCs w:val="22"/>
          <w:u w:val="single"/>
        </w:rPr>
        <w:t xml:space="preserve">, </w:t>
      </w:r>
      <w:proofErr w:type="gramStart"/>
      <w:r w:rsidRPr="00540679">
        <w:rPr>
          <w:rFonts w:ascii="Arial" w:hAnsi="Arial" w:cs="Arial"/>
          <w:sz w:val="22"/>
          <w:szCs w:val="22"/>
          <w:u w:val="single"/>
        </w:rPr>
        <w:t>recruitment</w:t>
      </w:r>
      <w:proofErr w:type="gramEnd"/>
      <w:r w:rsidR="0094186E">
        <w:rPr>
          <w:rFonts w:ascii="Arial" w:hAnsi="Arial" w:cs="Arial"/>
          <w:sz w:val="22"/>
          <w:szCs w:val="22"/>
          <w:u w:val="single"/>
        </w:rPr>
        <w:t xml:space="preserve"> and consent</w:t>
      </w:r>
      <w:r w:rsidRPr="00540679">
        <w:rPr>
          <w:rFonts w:ascii="Arial" w:hAnsi="Arial" w:cs="Arial"/>
          <w:sz w:val="22"/>
          <w:szCs w:val="22"/>
          <w:u w:val="single"/>
        </w:rPr>
        <w:t>:</w:t>
      </w:r>
      <w:r w:rsidRPr="00540679">
        <w:rPr>
          <w:rFonts w:ascii="Arial" w:hAnsi="Arial" w:cs="Arial"/>
          <w:sz w:val="22"/>
          <w:szCs w:val="22"/>
        </w:rPr>
        <w:t xml:space="preserve"> Research assistant</w:t>
      </w:r>
      <w:r w:rsidR="00A85AA7">
        <w:rPr>
          <w:rFonts w:ascii="Arial" w:hAnsi="Arial" w:cs="Arial"/>
          <w:sz w:val="22"/>
          <w:szCs w:val="22"/>
        </w:rPr>
        <w:t>s</w:t>
      </w:r>
      <w:r w:rsidRPr="00540679">
        <w:rPr>
          <w:rFonts w:ascii="Arial" w:hAnsi="Arial" w:cs="Arial"/>
          <w:sz w:val="22"/>
          <w:szCs w:val="22"/>
        </w:rPr>
        <w:t xml:space="preserve"> </w:t>
      </w:r>
      <w:r w:rsidR="00120FFF">
        <w:rPr>
          <w:rFonts w:ascii="Arial" w:hAnsi="Arial" w:cs="Arial"/>
          <w:sz w:val="22"/>
          <w:szCs w:val="22"/>
        </w:rPr>
        <w:t xml:space="preserve">who </w:t>
      </w:r>
      <w:r w:rsidR="00A85AA7">
        <w:rPr>
          <w:rFonts w:ascii="Arial" w:hAnsi="Arial" w:cs="Arial"/>
          <w:sz w:val="22"/>
          <w:szCs w:val="22"/>
        </w:rPr>
        <w:t>are</w:t>
      </w:r>
      <w:r w:rsidR="00120FFF">
        <w:rPr>
          <w:rFonts w:ascii="Arial" w:hAnsi="Arial" w:cs="Arial"/>
          <w:sz w:val="22"/>
          <w:szCs w:val="22"/>
        </w:rPr>
        <w:t xml:space="preserve"> qualified researchers employed by the research team </w:t>
      </w:r>
      <w:r w:rsidR="00120FFF" w:rsidRPr="18CB43C2">
        <w:rPr>
          <w:rFonts w:ascii="Arial" w:hAnsi="Arial" w:cs="Arial"/>
          <w:sz w:val="22"/>
          <w:szCs w:val="22"/>
        </w:rPr>
        <w:t xml:space="preserve">will </w:t>
      </w:r>
      <w:r w:rsidRPr="00540679">
        <w:rPr>
          <w:rFonts w:ascii="Arial" w:hAnsi="Arial" w:cs="Arial"/>
          <w:sz w:val="22"/>
          <w:szCs w:val="22"/>
        </w:rPr>
        <w:t xml:space="preserve">identify potentially eligible patients using routinely collected data. </w:t>
      </w:r>
      <w:r w:rsidR="00D10060" w:rsidRPr="18CB43C2">
        <w:rPr>
          <w:rFonts w:ascii="Arial" w:hAnsi="Arial" w:cs="Arial"/>
          <w:sz w:val="22"/>
          <w:szCs w:val="22"/>
        </w:rPr>
        <w:t>Those meeting the inclusion criteria</w:t>
      </w:r>
      <w:r w:rsidR="00D10060">
        <w:rPr>
          <w:rFonts w:ascii="Arial" w:hAnsi="Arial" w:cs="Arial"/>
          <w:sz w:val="22"/>
          <w:szCs w:val="22"/>
        </w:rPr>
        <w:t xml:space="preserve"> (see below)</w:t>
      </w:r>
      <w:r w:rsidR="00D10060" w:rsidRPr="18CB43C2">
        <w:rPr>
          <w:rFonts w:ascii="Arial" w:hAnsi="Arial" w:cs="Arial"/>
          <w:sz w:val="22"/>
          <w:szCs w:val="22"/>
        </w:rPr>
        <w:t xml:space="preserve"> will be invited to participate in the study and sent an information s</w:t>
      </w:r>
      <w:r w:rsidR="00D10060">
        <w:rPr>
          <w:rFonts w:ascii="Arial" w:hAnsi="Arial" w:cs="Arial"/>
          <w:sz w:val="22"/>
          <w:szCs w:val="22"/>
        </w:rPr>
        <w:t>tatement</w:t>
      </w:r>
      <w:r w:rsidR="00D10060" w:rsidRPr="18CB43C2">
        <w:rPr>
          <w:rFonts w:ascii="Arial" w:hAnsi="Arial" w:cs="Arial"/>
          <w:sz w:val="22"/>
          <w:szCs w:val="22"/>
        </w:rPr>
        <w:t xml:space="preserve"> and consent form. </w:t>
      </w:r>
      <w:r w:rsidR="00195290" w:rsidRPr="00195290">
        <w:rPr>
          <w:rFonts w:ascii="Arial" w:hAnsi="Arial" w:cs="Arial"/>
          <w:sz w:val="22"/>
          <w:szCs w:val="22"/>
        </w:rPr>
        <w:t>To determine if a readmission was medication-related, which is the primary outcome of the study, we will conduct a thorough review of each case with a panel of experts and assign appropriate codes. This meticulous process will be applied to all readmissions to ensure accurate identification of medication-related factors.</w:t>
      </w:r>
      <w:r w:rsidR="002D31C1">
        <w:rPr>
          <w:rFonts w:ascii="Arial" w:hAnsi="Arial" w:cs="Arial"/>
          <w:sz w:val="22"/>
          <w:szCs w:val="22"/>
        </w:rPr>
        <w:t xml:space="preserve"> </w:t>
      </w:r>
      <w:r w:rsidR="00D10060" w:rsidRPr="18CB43C2">
        <w:rPr>
          <w:rFonts w:ascii="Arial" w:hAnsi="Arial" w:cs="Arial"/>
          <w:sz w:val="22"/>
          <w:szCs w:val="22"/>
        </w:rPr>
        <w:t>Con</w:t>
      </w:r>
      <w:r w:rsidR="0094186E">
        <w:rPr>
          <w:rFonts w:ascii="Arial" w:hAnsi="Arial" w:cs="Arial"/>
          <w:sz w:val="22"/>
          <w:szCs w:val="22"/>
        </w:rPr>
        <w:t>sent</w:t>
      </w:r>
      <w:r w:rsidR="00D10060" w:rsidRPr="18CB43C2">
        <w:rPr>
          <w:rFonts w:ascii="Arial" w:hAnsi="Arial" w:cs="Arial"/>
          <w:sz w:val="22"/>
          <w:szCs w:val="22"/>
        </w:rPr>
        <w:t xml:space="preserve"> forms will include provision of access </w:t>
      </w:r>
      <w:r w:rsidR="0008658E">
        <w:rPr>
          <w:rFonts w:ascii="Arial" w:hAnsi="Arial" w:cs="Arial"/>
          <w:sz w:val="22"/>
          <w:szCs w:val="22"/>
        </w:rPr>
        <w:t>My Health Record and</w:t>
      </w:r>
      <w:r w:rsidR="004174B7">
        <w:rPr>
          <w:rFonts w:ascii="Arial" w:hAnsi="Arial" w:cs="Arial"/>
          <w:sz w:val="22"/>
          <w:szCs w:val="22"/>
        </w:rPr>
        <w:t xml:space="preserve"> </w:t>
      </w:r>
      <w:r w:rsidR="007B7DBA" w:rsidRPr="007B7DBA">
        <w:rPr>
          <w:rStyle w:val="normaltextrun"/>
          <w:rFonts w:ascii="Arial" w:hAnsi="Arial" w:cs="Arial"/>
          <w:color w:val="000000"/>
          <w:sz w:val="22"/>
          <w:szCs w:val="22"/>
          <w:bdr w:val="none" w:sz="0" w:space="0" w:color="auto" w:frame="1"/>
          <w:lang w:val="en-GB"/>
        </w:rPr>
        <w:t>state-based government owned linked data</w:t>
      </w:r>
      <w:r w:rsidR="001731CA">
        <w:rPr>
          <w:rFonts w:ascii="Arial" w:hAnsi="Arial" w:cs="Arial"/>
          <w:sz w:val="22"/>
          <w:szCs w:val="22"/>
        </w:rPr>
        <w:t>.</w:t>
      </w:r>
      <w:r w:rsidR="001731CA" w:rsidRPr="18CB43C2">
        <w:rPr>
          <w:rFonts w:ascii="Arial" w:hAnsi="Arial" w:cs="Arial"/>
          <w:sz w:val="22"/>
          <w:szCs w:val="22"/>
        </w:rPr>
        <w:t xml:space="preserve"> Eligible</w:t>
      </w:r>
      <w:r w:rsidR="00D10060" w:rsidRPr="18CB43C2">
        <w:rPr>
          <w:rFonts w:ascii="Arial" w:hAnsi="Arial" w:cs="Arial"/>
          <w:sz w:val="22"/>
          <w:szCs w:val="22"/>
        </w:rPr>
        <w:t xml:space="preserve"> participants will be included after written informed consent is obtained. The participant will receive a study enrolment number, and this will be recorded on all study documents</w:t>
      </w:r>
      <w:r w:rsidR="00D10060">
        <w:rPr>
          <w:rFonts w:ascii="Arial" w:hAnsi="Arial" w:cs="Arial"/>
          <w:sz w:val="22"/>
          <w:szCs w:val="22"/>
        </w:rPr>
        <w:t xml:space="preserve"> pertaining to that participant</w:t>
      </w:r>
      <w:r w:rsidR="000871B1">
        <w:rPr>
          <w:rFonts w:ascii="Arial" w:hAnsi="Arial" w:cs="Arial"/>
          <w:sz w:val="22"/>
          <w:szCs w:val="22"/>
        </w:rPr>
        <w:t xml:space="preserve">. </w:t>
      </w:r>
      <w:r w:rsidRPr="00540679">
        <w:rPr>
          <w:rFonts w:ascii="Arial" w:hAnsi="Arial" w:cs="Arial"/>
          <w:sz w:val="22"/>
          <w:szCs w:val="22"/>
        </w:rPr>
        <w:t>(Figure 1).</w:t>
      </w:r>
    </w:p>
    <w:p w14:paraId="5CADDC0A" w14:textId="77777777" w:rsidR="00195290" w:rsidRPr="00540679" w:rsidRDefault="00195290" w:rsidP="00195290">
      <w:pPr>
        <w:spacing w:line="276" w:lineRule="auto"/>
        <w:rPr>
          <w:rFonts w:ascii="Arial" w:hAnsi="Arial" w:cs="Arial"/>
          <w:sz w:val="22"/>
          <w:szCs w:val="22"/>
        </w:rPr>
      </w:pPr>
    </w:p>
    <w:p w14:paraId="27BF7984" w14:textId="670E4220" w:rsidR="001B235F" w:rsidRPr="00540679" w:rsidRDefault="001B235F" w:rsidP="00E10130">
      <w:pPr>
        <w:spacing w:afterLines="80" w:after="192" w:line="276" w:lineRule="auto"/>
        <w:jc w:val="both"/>
        <w:rPr>
          <w:rFonts w:ascii="Arial" w:hAnsi="Arial" w:cs="Arial"/>
          <w:color w:val="000000" w:themeColor="text1"/>
          <w:sz w:val="22"/>
          <w:szCs w:val="22"/>
          <w:lang w:eastAsia="en-GB"/>
        </w:rPr>
      </w:pPr>
      <w:r w:rsidRPr="00540679">
        <w:rPr>
          <w:rFonts w:ascii="Arial" w:hAnsi="Arial" w:cs="Arial"/>
          <w:sz w:val="22"/>
          <w:szCs w:val="22"/>
          <w:u w:val="single"/>
        </w:rPr>
        <w:t xml:space="preserve">Randomisation: </w:t>
      </w:r>
      <w:r w:rsidRPr="00540679">
        <w:rPr>
          <w:rFonts w:ascii="Arial" w:hAnsi="Arial" w:cs="Arial"/>
          <w:color w:val="000000" w:themeColor="text1"/>
          <w:sz w:val="22"/>
          <w:szCs w:val="22"/>
          <w:lang w:eastAsia="en-GB"/>
        </w:rPr>
        <w:t xml:space="preserve">Participants will be randomised in a 1:1 ratio in permuted blocks of 2 and 4 to: (1) intervention; or (2) usual care. Randomisation will be conducted using a centralised service to ensure allocation concealment. </w:t>
      </w:r>
    </w:p>
    <w:p w14:paraId="56C3C3E1" w14:textId="2DD720D3" w:rsidR="001B235F" w:rsidRPr="00540679" w:rsidRDefault="001B235F" w:rsidP="00E10130">
      <w:pPr>
        <w:spacing w:afterLines="80" w:after="192" w:line="276" w:lineRule="auto"/>
        <w:rPr>
          <w:rFonts w:ascii="Arial" w:hAnsi="Arial" w:cs="Arial"/>
          <w:sz w:val="22"/>
          <w:szCs w:val="22"/>
        </w:rPr>
      </w:pPr>
      <w:r w:rsidRPr="7B8413B0">
        <w:rPr>
          <w:rFonts w:ascii="Arial" w:hAnsi="Arial" w:cs="Arial"/>
          <w:color w:val="000000" w:themeColor="text1"/>
          <w:sz w:val="22"/>
          <w:szCs w:val="22"/>
          <w:u w:val="single"/>
          <w:lang w:eastAsia="en-GB"/>
        </w:rPr>
        <w:t>Description of Control Arm</w:t>
      </w:r>
      <w:r w:rsidRPr="7B8413B0">
        <w:rPr>
          <w:rFonts w:ascii="Arial" w:hAnsi="Arial" w:cs="Arial"/>
          <w:color w:val="000000" w:themeColor="text1"/>
          <w:sz w:val="22"/>
          <w:szCs w:val="22"/>
          <w:lang w:eastAsia="en-GB"/>
        </w:rPr>
        <w:t xml:space="preserve">: </w:t>
      </w:r>
      <w:r w:rsidRPr="7B8413B0">
        <w:rPr>
          <w:rFonts w:ascii="Arial" w:hAnsi="Arial" w:cs="Arial"/>
          <w:sz w:val="22"/>
          <w:szCs w:val="22"/>
        </w:rPr>
        <w:t xml:space="preserve">Usual care will include informing the patient's clinical inpatient team that they are at high-risk of medication </w:t>
      </w:r>
      <w:r w:rsidR="00631B81" w:rsidRPr="7B8413B0">
        <w:rPr>
          <w:rFonts w:ascii="Arial" w:hAnsi="Arial" w:cs="Arial"/>
          <w:sz w:val="22"/>
          <w:szCs w:val="22"/>
        </w:rPr>
        <w:t>misadventure,</w:t>
      </w:r>
      <w:r w:rsidRPr="7B8413B0">
        <w:rPr>
          <w:rFonts w:ascii="Arial" w:hAnsi="Arial" w:cs="Arial"/>
          <w:sz w:val="22"/>
          <w:szCs w:val="22"/>
        </w:rPr>
        <w:t xml:space="preserve"> and they may benefit from </w:t>
      </w:r>
      <w:proofErr w:type="gramStart"/>
      <w:r w:rsidR="4097B56D" w:rsidRPr="7B8413B0">
        <w:rPr>
          <w:rFonts w:ascii="Arial" w:hAnsi="Arial" w:cs="Arial"/>
          <w:sz w:val="22"/>
          <w:szCs w:val="22"/>
        </w:rPr>
        <w:t>a</w:t>
      </w:r>
      <w:proofErr w:type="gramEnd"/>
      <w:r w:rsidRPr="7B8413B0">
        <w:rPr>
          <w:rFonts w:ascii="Arial" w:hAnsi="Arial" w:cs="Arial"/>
          <w:sz w:val="22"/>
          <w:szCs w:val="22"/>
        </w:rPr>
        <w:t xml:space="preserve"> HMR. Usual pathways to communicate the need for a HMR to the patient's regular GP will be used.</w:t>
      </w:r>
    </w:p>
    <w:p w14:paraId="38F8CF1E" w14:textId="18226611" w:rsidR="001B235F" w:rsidRPr="00540679" w:rsidRDefault="00FE2647" w:rsidP="00E10130">
      <w:pPr>
        <w:spacing w:afterLines="80" w:after="192" w:line="276" w:lineRule="auto"/>
        <w:jc w:val="both"/>
        <w:rPr>
          <w:rFonts w:ascii="Arial" w:hAnsi="Arial" w:cs="Arial"/>
          <w:sz w:val="22"/>
          <w:szCs w:val="22"/>
        </w:rPr>
      </w:pPr>
      <w:r w:rsidRPr="00540679">
        <w:rPr>
          <w:rFonts w:ascii="Arial" w:hAnsi="Arial" w:cs="Arial"/>
          <w:color w:val="000000" w:themeColor="text1"/>
          <w:sz w:val="22"/>
          <w:szCs w:val="22"/>
          <w:u w:val="single"/>
          <w:lang w:eastAsia="en-GB"/>
        </w:rPr>
        <w:t>Description of Intervention Arm</w:t>
      </w:r>
      <w:r w:rsidRPr="00540679">
        <w:rPr>
          <w:rFonts w:ascii="Arial" w:hAnsi="Arial" w:cs="Arial"/>
          <w:color w:val="000000" w:themeColor="text1"/>
          <w:sz w:val="22"/>
          <w:szCs w:val="22"/>
          <w:lang w:eastAsia="en-GB"/>
        </w:rPr>
        <w:t xml:space="preserve">: </w:t>
      </w:r>
      <w:r w:rsidRPr="00540679">
        <w:rPr>
          <w:rFonts w:ascii="Arial" w:hAnsi="Arial" w:cs="Arial"/>
          <w:sz w:val="22"/>
          <w:szCs w:val="22"/>
        </w:rPr>
        <w:t>The intervention is based on the C</w:t>
      </w:r>
      <w:r w:rsidR="00EE2591" w:rsidRPr="00540679">
        <w:rPr>
          <w:rFonts w:ascii="Arial" w:hAnsi="Arial" w:cs="Arial"/>
          <w:sz w:val="22"/>
          <w:szCs w:val="22"/>
        </w:rPr>
        <w:t xml:space="preserve">onsolidated </w:t>
      </w:r>
      <w:r w:rsidRPr="00540679">
        <w:rPr>
          <w:rFonts w:ascii="Arial" w:hAnsi="Arial" w:cs="Arial"/>
          <w:sz w:val="22"/>
          <w:szCs w:val="22"/>
        </w:rPr>
        <w:t>F</w:t>
      </w:r>
      <w:r w:rsidR="00EE2591" w:rsidRPr="00540679">
        <w:rPr>
          <w:rFonts w:ascii="Arial" w:hAnsi="Arial" w:cs="Arial"/>
          <w:sz w:val="22"/>
          <w:szCs w:val="22"/>
        </w:rPr>
        <w:t xml:space="preserve">ramework of </w:t>
      </w:r>
      <w:r w:rsidRPr="00540679">
        <w:rPr>
          <w:rFonts w:ascii="Arial" w:hAnsi="Arial" w:cs="Arial"/>
          <w:sz w:val="22"/>
          <w:szCs w:val="22"/>
        </w:rPr>
        <w:t>I</w:t>
      </w:r>
      <w:r w:rsidR="00EE2591" w:rsidRPr="00540679">
        <w:rPr>
          <w:rFonts w:ascii="Arial" w:hAnsi="Arial" w:cs="Arial"/>
          <w:sz w:val="22"/>
          <w:szCs w:val="22"/>
        </w:rPr>
        <w:t xml:space="preserve">mplementation </w:t>
      </w:r>
      <w:r w:rsidRPr="00540679">
        <w:rPr>
          <w:rFonts w:ascii="Arial" w:hAnsi="Arial" w:cs="Arial"/>
          <w:sz w:val="22"/>
          <w:szCs w:val="22"/>
        </w:rPr>
        <w:t>R</w:t>
      </w:r>
      <w:r w:rsidR="00EE2591" w:rsidRPr="00540679">
        <w:rPr>
          <w:rFonts w:ascii="Arial" w:hAnsi="Arial" w:cs="Arial"/>
          <w:sz w:val="22"/>
          <w:szCs w:val="22"/>
        </w:rPr>
        <w:t>esearch</w:t>
      </w:r>
      <w:r w:rsidRPr="00540679">
        <w:rPr>
          <w:rFonts w:ascii="Arial" w:hAnsi="Arial" w:cs="Arial"/>
          <w:sz w:val="22"/>
          <w:szCs w:val="22"/>
        </w:rPr>
        <w:t xml:space="preserve"> as it has been used extensively to implement health services (Figure 2).</w:t>
      </w:r>
      <w:r w:rsidRPr="00540679">
        <w:rPr>
          <w:rFonts w:ascii="Arial" w:hAnsi="Arial" w:cs="Arial"/>
          <w:noProof/>
          <w:sz w:val="22"/>
          <w:szCs w:val="22"/>
          <w:vertAlign w:val="superscript"/>
        </w:rPr>
        <w:t>20</w:t>
      </w:r>
      <w:r w:rsidRPr="00540679">
        <w:rPr>
          <w:rFonts w:ascii="Arial" w:hAnsi="Arial" w:cs="Arial"/>
          <w:sz w:val="22"/>
          <w:szCs w:val="22"/>
        </w:rPr>
        <w:t xml:space="preserve"> The intervention will include virtual TOCS pharmacists to ensure patients receive discharge counselling, discharge medical reconciliation</w:t>
      </w:r>
      <w:r w:rsidR="00C05E0A" w:rsidRPr="00540679">
        <w:rPr>
          <w:rFonts w:ascii="Arial" w:hAnsi="Arial" w:cs="Arial"/>
          <w:sz w:val="22"/>
          <w:szCs w:val="22"/>
        </w:rPr>
        <w:t>,</w:t>
      </w:r>
      <w:r w:rsidRPr="00540679">
        <w:rPr>
          <w:rFonts w:ascii="Arial" w:hAnsi="Arial" w:cs="Arial"/>
          <w:sz w:val="22"/>
          <w:szCs w:val="22"/>
        </w:rPr>
        <w:t xml:space="preserve"> and communicate directly with primary care providers (GPs, practice nurses, community pharmacies and accredited pharmacists). They will provide accurate and timely medication handover to facilitate a timely post-discharge medication review. </w:t>
      </w:r>
      <w:r w:rsidR="00805462" w:rsidRPr="00540679">
        <w:rPr>
          <w:rFonts w:ascii="Arial" w:hAnsi="Arial" w:cs="Arial"/>
          <w:sz w:val="22"/>
          <w:szCs w:val="22"/>
        </w:rPr>
        <w:t>Patients’</w:t>
      </w:r>
      <w:r w:rsidRPr="00540679">
        <w:rPr>
          <w:rFonts w:ascii="Arial" w:hAnsi="Arial" w:cs="Arial"/>
          <w:sz w:val="22"/>
          <w:szCs w:val="22"/>
        </w:rPr>
        <w:t xml:space="preserve"> autonomy is central to the intervention, as they can choose whether they prefer a face-to-face HMR or a virtual HMR. Patients will also receive lay summaries of the HMR reports to empower them to take responsibility of their medication </w:t>
      </w:r>
      <w:r w:rsidR="003A0CF8" w:rsidRPr="00540679">
        <w:rPr>
          <w:rFonts w:ascii="Arial" w:hAnsi="Arial" w:cs="Arial"/>
          <w:sz w:val="22"/>
          <w:szCs w:val="22"/>
        </w:rPr>
        <w:t>management</w:t>
      </w:r>
      <w:r w:rsidRPr="00540679">
        <w:rPr>
          <w:rFonts w:ascii="Arial" w:hAnsi="Arial" w:cs="Arial"/>
          <w:sz w:val="22"/>
          <w:szCs w:val="22"/>
        </w:rPr>
        <w:t xml:space="preserve">. Furthermore, GPs, </w:t>
      </w:r>
      <w:r w:rsidR="0094013C" w:rsidRPr="00540679">
        <w:rPr>
          <w:rFonts w:ascii="Arial" w:hAnsi="Arial" w:cs="Arial"/>
          <w:sz w:val="22"/>
          <w:szCs w:val="22"/>
        </w:rPr>
        <w:t>accredited and community pharmacists’ collaboration will be encouraged through case conferences to discuss complex patients (remunerated for their time). The intervention will also be adapted to local needs.</w:t>
      </w:r>
      <w:r w:rsidR="0094013C" w:rsidRPr="00540679">
        <w:rPr>
          <w:rFonts w:ascii="Arial" w:hAnsi="Arial" w:cs="Arial"/>
          <w:noProof/>
          <w:sz w:val="22"/>
          <w:szCs w:val="22"/>
          <w:vertAlign w:val="superscript"/>
        </w:rPr>
        <w:t>20</w:t>
      </w:r>
      <w:r w:rsidR="0094013C" w:rsidRPr="00540679">
        <w:rPr>
          <w:rFonts w:ascii="Arial" w:hAnsi="Arial" w:cs="Arial"/>
          <w:sz w:val="22"/>
          <w:szCs w:val="22"/>
        </w:rPr>
        <w:t xml:space="preserve"> Pharmacists caring for Aboriginal and Torres Strait Islander peoples will complete Cultural Responsiveness Training by the Indigenous Allied Health Australia.</w:t>
      </w:r>
      <w:r w:rsidR="0094013C" w:rsidRPr="00540679">
        <w:rPr>
          <w:rFonts w:ascii="Arial" w:hAnsi="Arial" w:cs="Arial"/>
          <w:noProof/>
          <w:sz w:val="22"/>
          <w:szCs w:val="22"/>
          <w:vertAlign w:val="superscript"/>
        </w:rPr>
        <w:t>33</w:t>
      </w:r>
      <w:r w:rsidR="0094013C" w:rsidRPr="00540679">
        <w:rPr>
          <w:rFonts w:ascii="Arial" w:hAnsi="Arial" w:cs="Arial"/>
          <w:sz w:val="22"/>
          <w:szCs w:val="22"/>
        </w:rPr>
        <w:t xml:space="preserve"> Furthermore, aim 3 will explore implementation aspects of the study.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410"/>
      </w:tblGrid>
      <w:tr w:rsidR="0094013C" w:rsidRPr="00540679" w14:paraId="1AD2A055" w14:textId="77777777" w:rsidTr="2688972B">
        <w:tc>
          <w:tcPr>
            <w:tcW w:w="5556" w:type="dxa"/>
          </w:tcPr>
          <w:p w14:paraId="2E893E2F" w14:textId="77777777" w:rsidR="00C87444" w:rsidRPr="00540679" w:rsidRDefault="00C87444">
            <w:pPr>
              <w:tabs>
                <w:tab w:val="left" w:pos="426"/>
              </w:tabs>
              <w:spacing w:afterLines="80" w:after="192"/>
              <w:contextualSpacing/>
              <w:rPr>
                <w:rFonts w:ascii="Arial" w:hAnsi="Arial" w:cs="Arial"/>
                <w:sz w:val="22"/>
                <w:szCs w:val="22"/>
              </w:rPr>
            </w:pPr>
            <w:r w:rsidRPr="00540679">
              <w:rPr>
                <w:rFonts w:ascii="Arial" w:hAnsi="Arial" w:cs="Arial"/>
                <w:noProof/>
                <w:sz w:val="22"/>
                <w:szCs w:val="22"/>
              </w:rPr>
              <w:lastRenderedPageBreak/>
              <w:drawing>
                <wp:inline distT="0" distB="0" distL="0" distR="0" wp14:anchorId="7B7B486A" wp14:editId="5D657382">
                  <wp:extent cx="3428013" cy="4305300"/>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3433207" cy="4311824"/>
                          </a:xfrm>
                          <a:prstGeom prst="rect">
                            <a:avLst/>
                          </a:prstGeom>
                        </pic:spPr>
                      </pic:pic>
                    </a:graphicData>
                  </a:graphic>
                </wp:inline>
              </w:drawing>
            </w:r>
          </w:p>
          <w:p w14:paraId="01FDD5E3" w14:textId="77777777" w:rsidR="001B235F" w:rsidRPr="00540679" w:rsidRDefault="001B235F">
            <w:pPr>
              <w:tabs>
                <w:tab w:val="left" w:pos="426"/>
              </w:tabs>
              <w:spacing w:afterLines="80" w:after="192"/>
              <w:contextualSpacing/>
              <w:rPr>
                <w:rFonts w:ascii="Arial" w:hAnsi="Arial" w:cs="Arial"/>
                <w:b/>
                <w:bCs/>
                <w:sz w:val="22"/>
                <w:szCs w:val="22"/>
              </w:rPr>
            </w:pPr>
          </w:p>
          <w:p w14:paraId="567D9488" w14:textId="77777777" w:rsidR="00C87444" w:rsidRPr="00540679" w:rsidRDefault="00C87444">
            <w:pPr>
              <w:tabs>
                <w:tab w:val="left" w:pos="426"/>
              </w:tabs>
              <w:spacing w:afterLines="80" w:after="192"/>
              <w:contextualSpacing/>
              <w:rPr>
                <w:rFonts w:ascii="Arial" w:hAnsi="Arial" w:cs="Arial"/>
                <w:sz w:val="22"/>
                <w:szCs w:val="22"/>
              </w:rPr>
            </w:pPr>
            <w:r w:rsidRPr="00540679">
              <w:rPr>
                <w:rFonts w:ascii="Arial" w:hAnsi="Arial" w:cs="Arial"/>
                <w:b/>
                <w:bCs/>
                <w:sz w:val="22"/>
                <w:szCs w:val="22"/>
              </w:rPr>
              <w:t xml:space="preserve">Figure 1. </w:t>
            </w:r>
            <w:r w:rsidRPr="00540679">
              <w:rPr>
                <w:rFonts w:ascii="Arial" w:hAnsi="Arial" w:cs="Arial"/>
                <w:sz w:val="22"/>
                <w:szCs w:val="22"/>
              </w:rPr>
              <w:t>Flowchart of TIC TOC clinical trial</w:t>
            </w:r>
          </w:p>
          <w:p w14:paraId="622361D8" w14:textId="33657671" w:rsidR="00FE2647" w:rsidRPr="00540679" w:rsidRDefault="00FE2647">
            <w:pPr>
              <w:tabs>
                <w:tab w:val="left" w:pos="426"/>
              </w:tabs>
              <w:spacing w:afterLines="80" w:after="192"/>
              <w:contextualSpacing/>
              <w:rPr>
                <w:rFonts w:ascii="Arial" w:hAnsi="Arial" w:cs="Arial"/>
                <w:sz w:val="22"/>
                <w:szCs w:val="22"/>
              </w:rPr>
            </w:pPr>
          </w:p>
        </w:tc>
        <w:tc>
          <w:tcPr>
            <w:tcW w:w="4082" w:type="dxa"/>
          </w:tcPr>
          <w:p w14:paraId="1F7D0918" w14:textId="04704B1D" w:rsidR="001B235F" w:rsidRPr="00540679" w:rsidRDefault="001B235F" w:rsidP="2688972B">
            <w:pPr>
              <w:spacing w:afterLines="80" w:after="192"/>
              <w:jc w:val="both"/>
              <w:rPr>
                <w:rFonts w:ascii="Arial" w:hAnsi="Arial" w:cs="Arial"/>
                <w:sz w:val="22"/>
                <w:szCs w:val="22"/>
              </w:rPr>
            </w:pPr>
          </w:p>
        </w:tc>
      </w:tr>
    </w:tbl>
    <w:p w14:paraId="2C38050C" w14:textId="77777777" w:rsidR="00C87444" w:rsidRPr="00540679" w:rsidRDefault="00C87444" w:rsidP="005630F8">
      <w:pPr>
        <w:spacing w:afterLines="80" w:after="192"/>
        <w:rPr>
          <w:rFonts w:ascii="Arial" w:hAnsi="Arial" w:cs="Arial"/>
          <w:bCs/>
          <w:sz w:val="22"/>
          <w:szCs w:val="22"/>
        </w:rPr>
      </w:pPr>
      <w:r w:rsidRPr="00540679">
        <w:rPr>
          <w:rFonts w:ascii="Arial" w:hAnsi="Arial" w:cs="Arial"/>
          <w:noProof/>
          <w:sz w:val="22"/>
          <w:szCs w:val="22"/>
        </w:rPr>
        <w:drawing>
          <wp:inline distT="0" distB="0" distL="0" distR="0" wp14:anchorId="6AB6216F" wp14:editId="2EA75763">
            <wp:extent cx="5061851" cy="3234690"/>
            <wp:effectExtent l="0" t="0" r="5715"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stretch>
                      <a:fillRect/>
                    </a:stretch>
                  </pic:blipFill>
                  <pic:spPr>
                    <a:xfrm>
                      <a:off x="0" y="0"/>
                      <a:ext cx="5124463" cy="3274701"/>
                    </a:xfrm>
                    <a:prstGeom prst="rect">
                      <a:avLst/>
                    </a:prstGeom>
                  </pic:spPr>
                </pic:pic>
              </a:graphicData>
            </a:graphic>
          </wp:inline>
        </w:drawing>
      </w:r>
    </w:p>
    <w:p w14:paraId="05F2AAB7" w14:textId="4B62029E" w:rsidR="00024F25" w:rsidRPr="00540679" w:rsidRDefault="00C87444" w:rsidP="00C87444">
      <w:pPr>
        <w:spacing w:afterLines="80" w:after="192"/>
        <w:rPr>
          <w:rFonts w:ascii="Arial" w:hAnsi="Arial" w:cs="Arial"/>
          <w:b/>
          <w:bCs/>
          <w:sz w:val="22"/>
          <w:szCs w:val="22"/>
        </w:rPr>
      </w:pPr>
      <w:r w:rsidRPr="00540679">
        <w:rPr>
          <w:rFonts w:ascii="Arial" w:hAnsi="Arial" w:cs="Arial"/>
          <w:bCs/>
          <w:sz w:val="22"/>
          <w:szCs w:val="22"/>
        </w:rPr>
        <w:t>HIMR: Hospital-initiated medicines review</w:t>
      </w:r>
      <w:r w:rsidR="004107F6" w:rsidRPr="00540679">
        <w:rPr>
          <w:rFonts w:ascii="Arial" w:hAnsi="Arial" w:cs="Arial"/>
          <w:bCs/>
          <w:sz w:val="22"/>
          <w:szCs w:val="22"/>
        </w:rPr>
        <w:t xml:space="preserve">, </w:t>
      </w:r>
      <w:r w:rsidR="0048576D" w:rsidRPr="00540679">
        <w:rPr>
          <w:rFonts w:ascii="Arial" w:hAnsi="Arial" w:cs="Arial"/>
          <w:bCs/>
          <w:sz w:val="22"/>
          <w:szCs w:val="22"/>
        </w:rPr>
        <w:t>GPs: General Practitioners, TOCS: Transition of Care Stewardship</w:t>
      </w:r>
      <w:r w:rsidR="00A31F08" w:rsidRPr="00540679">
        <w:rPr>
          <w:rFonts w:ascii="Arial" w:hAnsi="Arial" w:cs="Arial"/>
          <w:bCs/>
          <w:sz w:val="22"/>
          <w:szCs w:val="22"/>
        </w:rPr>
        <w:t xml:space="preserve">, HMR: Home Review Medicine, SHPA: The Society of Hospital Pharmacists of </w:t>
      </w:r>
      <w:r w:rsidR="00860589" w:rsidRPr="00540679">
        <w:rPr>
          <w:rFonts w:ascii="Arial" w:hAnsi="Arial" w:cs="Arial"/>
          <w:bCs/>
          <w:sz w:val="22"/>
          <w:szCs w:val="22"/>
        </w:rPr>
        <w:t>Australia.</w:t>
      </w:r>
      <w:r w:rsidRPr="00540679">
        <w:rPr>
          <w:rFonts w:ascii="Arial" w:hAnsi="Arial" w:cs="Arial"/>
          <w:b/>
          <w:bCs/>
          <w:sz w:val="22"/>
          <w:szCs w:val="22"/>
        </w:rPr>
        <w:t xml:space="preserve"> </w:t>
      </w:r>
      <w:r w:rsidR="00024F25" w:rsidRPr="00540679">
        <w:rPr>
          <w:rFonts w:ascii="Arial" w:hAnsi="Arial" w:cs="Arial"/>
          <w:b/>
          <w:bCs/>
          <w:sz w:val="22"/>
          <w:szCs w:val="22"/>
        </w:rPr>
        <w:t xml:space="preserve"> </w:t>
      </w:r>
    </w:p>
    <w:p w14:paraId="68D1E70E" w14:textId="1DF86F35" w:rsidR="00C87444" w:rsidRPr="00540679" w:rsidRDefault="00C87444" w:rsidP="00C87444">
      <w:pPr>
        <w:spacing w:afterLines="80" w:after="192"/>
        <w:rPr>
          <w:rFonts w:ascii="Arial" w:hAnsi="Arial" w:cs="Arial"/>
          <w:sz w:val="22"/>
          <w:szCs w:val="22"/>
          <w:u w:val="single"/>
        </w:rPr>
      </w:pPr>
      <w:r w:rsidRPr="7B8413B0">
        <w:rPr>
          <w:rFonts w:ascii="Arial" w:hAnsi="Arial" w:cs="Arial"/>
          <w:b/>
          <w:bCs/>
          <w:sz w:val="22"/>
          <w:szCs w:val="22"/>
        </w:rPr>
        <w:lastRenderedPageBreak/>
        <w:t>Figure 2:</w:t>
      </w:r>
      <w:r w:rsidRPr="7B8413B0">
        <w:rPr>
          <w:rFonts w:ascii="Arial" w:hAnsi="Arial" w:cs="Arial"/>
          <w:sz w:val="22"/>
          <w:szCs w:val="22"/>
        </w:rPr>
        <w:t xml:space="preserve"> Intervention components based on </w:t>
      </w:r>
      <w:r w:rsidR="6C90119E" w:rsidRPr="7B8413B0">
        <w:rPr>
          <w:rFonts w:ascii="Arial" w:hAnsi="Arial" w:cs="Arial"/>
          <w:sz w:val="22"/>
          <w:szCs w:val="22"/>
        </w:rPr>
        <w:t>Consolidated Framework for Implementation Research</w:t>
      </w:r>
      <w:r w:rsidRPr="7B8413B0">
        <w:rPr>
          <w:rFonts w:ascii="Arial" w:hAnsi="Arial" w:cs="Arial"/>
          <w:sz w:val="22"/>
          <w:szCs w:val="22"/>
        </w:rPr>
        <w:t>.</w:t>
      </w:r>
    </w:p>
    <w:p w14:paraId="5799E378" w14:textId="08152257" w:rsidR="00C87444" w:rsidRPr="00540679" w:rsidRDefault="00C87444" w:rsidP="00024F25">
      <w:pPr>
        <w:spacing w:afterLines="80" w:after="192"/>
        <w:jc w:val="both"/>
        <w:rPr>
          <w:rFonts w:ascii="Arial" w:hAnsi="Arial" w:cs="Arial"/>
          <w:sz w:val="22"/>
          <w:szCs w:val="22"/>
          <w:u w:val="single"/>
        </w:rPr>
      </w:pPr>
      <w:r w:rsidRPr="00540679">
        <w:rPr>
          <w:rFonts w:ascii="Arial" w:hAnsi="Arial" w:cs="Arial"/>
          <w:sz w:val="22"/>
          <w:szCs w:val="22"/>
          <w:u w:val="single"/>
        </w:rPr>
        <w:t>Safety Monitoring:</w:t>
      </w:r>
      <w:r w:rsidRPr="00540679">
        <w:rPr>
          <w:rFonts w:ascii="Arial" w:hAnsi="Arial" w:cs="Arial"/>
          <w:sz w:val="22"/>
          <w:szCs w:val="22"/>
        </w:rPr>
        <w:t xml:space="preserve"> Accredited pharmacists are trained to prioritise recommendations for resolution or prevention of any identified medication-related problems. Any critical issues will be verbally communicated to the referring medical practitioner.</w:t>
      </w:r>
      <w:r w:rsidRPr="00540679">
        <w:rPr>
          <w:rFonts w:ascii="Arial" w:hAnsi="Arial" w:cs="Arial"/>
          <w:noProof/>
          <w:sz w:val="22"/>
          <w:szCs w:val="22"/>
          <w:vertAlign w:val="superscript"/>
        </w:rPr>
        <w:t>3</w:t>
      </w:r>
      <w:r w:rsidR="55AC93BF" w:rsidRPr="00540679">
        <w:rPr>
          <w:rFonts w:ascii="Arial" w:hAnsi="Arial" w:cs="Arial"/>
          <w:noProof/>
          <w:sz w:val="22"/>
          <w:szCs w:val="22"/>
          <w:vertAlign w:val="superscript"/>
        </w:rPr>
        <w:t>4</w:t>
      </w:r>
      <w:r w:rsidRPr="00540679">
        <w:rPr>
          <w:rFonts w:ascii="Arial" w:hAnsi="Arial" w:cs="Arial"/>
          <w:sz w:val="22"/>
          <w:szCs w:val="22"/>
        </w:rPr>
        <w:t xml:space="preserve"> If necessary, 000 will be called for the patient. </w:t>
      </w:r>
    </w:p>
    <w:p w14:paraId="45B85533" w14:textId="63DD38EB" w:rsidR="00C87444" w:rsidRPr="00540679" w:rsidRDefault="00C87444" w:rsidP="2688972B">
      <w:pPr>
        <w:spacing w:afterLines="80" w:after="192"/>
        <w:jc w:val="both"/>
        <w:rPr>
          <w:rFonts w:ascii="Arial" w:hAnsi="Arial" w:cs="Arial"/>
          <w:sz w:val="22"/>
          <w:szCs w:val="22"/>
        </w:rPr>
      </w:pPr>
      <w:r w:rsidRPr="00540679">
        <w:rPr>
          <w:rFonts w:ascii="Arial" w:hAnsi="Arial" w:cs="Arial"/>
          <w:sz w:val="22"/>
          <w:szCs w:val="22"/>
          <w:u w:val="single"/>
        </w:rPr>
        <w:t xml:space="preserve">Outcome measures: </w:t>
      </w:r>
      <w:bookmarkStart w:id="55" w:name="_Hlk112843947"/>
      <w:r w:rsidRPr="00540679">
        <w:rPr>
          <w:rFonts w:ascii="Arial" w:hAnsi="Arial" w:cs="Arial"/>
          <w:color w:val="000000" w:themeColor="text1"/>
          <w:sz w:val="22"/>
          <w:szCs w:val="22"/>
          <w:lang w:eastAsia="en-GB"/>
        </w:rPr>
        <w:t xml:space="preserve">Our primary outcome </w:t>
      </w:r>
      <w:r w:rsidRPr="00540679">
        <w:rPr>
          <w:rFonts w:ascii="Arial" w:hAnsi="Arial" w:cs="Arial"/>
          <w:sz w:val="22"/>
          <w:szCs w:val="22"/>
        </w:rPr>
        <w:t>is the composite of a first unplanned</w:t>
      </w:r>
      <w:r w:rsidR="1AAF7C6F" w:rsidRPr="00540679">
        <w:rPr>
          <w:rFonts w:ascii="Arial" w:hAnsi="Arial" w:cs="Arial"/>
          <w:sz w:val="22"/>
          <w:szCs w:val="22"/>
        </w:rPr>
        <w:t xml:space="preserve"> medication-related</w:t>
      </w:r>
      <w:r w:rsidRPr="00540679">
        <w:rPr>
          <w:rFonts w:ascii="Arial" w:hAnsi="Arial" w:cs="Arial"/>
          <w:sz w:val="22"/>
          <w:szCs w:val="22"/>
        </w:rPr>
        <w:t xml:space="preserve"> hospitalisation or ED presentation within 30 days of hospital discharge</w:t>
      </w:r>
      <w:bookmarkEnd w:id="55"/>
      <w:r w:rsidRPr="00540679">
        <w:rPr>
          <w:rFonts w:ascii="Arial" w:hAnsi="Arial" w:cs="Arial"/>
          <w:sz w:val="22"/>
          <w:szCs w:val="22"/>
        </w:rPr>
        <w:t xml:space="preserve">. </w:t>
      </w:r>
      <w:r w:rsidRPr="00540679">
        <w:rPr>
          <w:rFonts w:ascii="Arial" w:hAnsi="Arial" w:cs="Arial"/>
          <w:color w:val="000000" w:themeColor="text1"/>
          <w:sz w:val="22"/>
          <w:szCs w:val="22"/>
          <w:lang w:eastAsia="en-GB"/>
        </w:rPr>
        <w:t xml:space="preserve">Other outcomes are described in Table </w:t>
      </w:r>
      <w:r w:rsidR="005630F8" w:rsidRPr="00540679">
        <w:rPr>
          <w:rFonts w:ascii="Arial" w:hAnsi="Arial" w:cs="Arial"/>
          <w:color w:val="000000" w:themeColor="text1"/>
          <w:sz w:val="22"/>
          <w:szCs w:val="22"/>
          <w:lang w:eastAsia="en-GB"/>
        </w:rPr>
        <w:t>3</w:t>
      </w:r>
      <w:r w:rsidRPr="00540679">
        <w:rPr>
          <w:rFonts w:ascii="Arial" w:hAnsi="Arial" w:cs="Arial"/>
          <w:color w:val="000000" w:themeColor="text1"/>
          <w:sz w:val="22"/>
          <w:szCs w:val="22"/>
          <w:lang w:eastAsia="en-GB"/>
        </w:rPr>
        <w:t>.</w:t>
      </w:r>
    </w:p>
    <w:p w14:paraId="4BA960DD" w14:textId="6749ABC1" w:rsidR="00C87444" w:rsidRPr="00540679" w:rsidRDefault="00C87444" w:rsidP="00024F25">
      <w:pPr>
        <w:jc w:val="both"/>
        <w:rPr>
          <w:rFonts w:ascii="Arial" w:hAnsi="Arial" w:cs="Arial"/>
          <w:sz w:val="22"/>
          <w:szCs w:val="22"/>
        </w:rPr>
      </w:pPr>
      <w:r w:rsidRPr="00540679">
        <w:rPr>
          <w:rFonts w:ascii="Arial" w:hAnsi="Arial" w:cs="Arial"/>
          <w:b/>
          <w:bCs/>
          <w:sz w:val="22"/>
          <w:szCs w:val="22"/>
        </w:rPr>
        <w:t xml:space="preserve">Table </w:t>
      </w:r>
      <w:r w:rsidR="005630F8" w:rsidRPr="00540679">
        <w:rPr>
          <w:rFonts w:ascii="Arial" w:hAnsi="Arial" w:cs="Arial"/>
          <w:b/>
          <w:bCs/>
          <w:sz w:val="22"/>
          <w:szCs w:val="22"/>
        </w:rPr>
        <w:t>3</w:t>
      </w:r>
      <w:r w:rsidRPr="00540679">
        <w:rPr>
          <w:rFonts w:ascii="Arial" w:hAnsi="Arial" w:cs="Arial"/>
          <w:b/>
          <w:bCs/>
          <w:sz w:val="22"/>
          <w:szCs w:val="22"/>
        </w:rPr>
        <w:t xml:space="preserve">. </w:t>
      </w:r>
      <w:r w:rsidRPr="00540679">
        <w:rPr>
          <w:rFonts w:ascii="Arial" w:hAnsi="Arial" w:cs="Arial"/>
          <w:sz w:val="22"/>
          <w:szCs w:val="22"/>
        </w:rPr>
        <w:t>Measures and data collected at set timepoints</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5"/>
        <w:gridCol w:w="2694"/>
        <w:gridCol w:w="371"/>
        <w:gridCol w:w="557"/>
        <w:gridCol w:w="523"/>
        <w:gridCol w:w="595"/>
      </w:tblGrid>
      <w:tr w:rsidR="00C87444" w:rsidRPr="00540679" w14:paraId="7A4ACFD1" w14:textId="77777777" w:rsidTr="2688972B">
        <w:trPr>
          <w:trHeight w:val="275"/>
        </w:trPr>
        <w:tc>
          <w:tcPr>
            <w:tcW w:w="5195" w:type="dxa"/>
            <w:vMerge w:val="restart"/>
            <w:shd w:val="clear" w:color="auto" w:fill="auto"/>
          </w:tcPr>
          <w:p w14:paraId="3BF5E83C" w14:textId="77777777" w:rsidR="00C87444" w:rsidRPr="00540679" w:rsidRDefault="00C87444" w:rsidP="00024F25">
            <w:pPr>
              <w:jc w:val="both"/>
              <w:rPr>
                <w:rFonts w:ascii="Arial" w:hAnsi="Arial" w:cs="Arial"/>
                <w:b/>
                <w:bCs/>
                <w:sz w:val="22"/>
                <w:szCs w:val="22"/>
              </w:rPr>
            </w:pPr>
            <w:r w:rsidRPr="00540679">
              <w:rPr>
                <w:rFonts w:ascii="Arial" w:hAnsi="Arial" w:cs="Arial"/>
                <w:b/>
                <w:bCs/>
                <w:sz w:val="22"/>
                <w:szCs w:val="22"/>
              </w:rPr>
              <w:t>Outcome Measure</w:t>
            </w:r>
          </w:p>
        </w:tc>
        <w:tc>
          <w:tcPr>
            <w:tcW w:w="2694" w:type="dxa"/>
            <w:vMerge w:val="restart"/>
            <w:shd w:val="clear" w:color="auto" w:fill="auto"/>
          </w:tcPr>
          <w:p w14:paraId="63DB197D" w14:textId="77777777" w:rsidR="00C87444" w:rsidRPr="00540679" w:rsidRDefault="00C87444" w:rsidP="00024F25">
            <w:pPr>
              <w:jc w:val="both"/>
              <w:rPr>
                <w:rFonts w:ascii="Arial" w:hAnsi="Arial" w:cs="Arial"/>
                <w:b/>
                <w:bCs/>
                <w:sz w:val="22"/>
                <w:szCs w:val="22"/>
              </w:rPr>
            </w:pPr>
            <w:r w:rsidRPr="00540679">
              <w:rPr>
                <w:rFonts w:ascii="Arial" w:hAnsi="Arial" w:cs="Arial"/>
                <w:b/>
                <w:bCs/>
                <w:sz w:val="22"/>
                <w:szCs w:val="22"/>
              </w:rPr>
              <w:t>Data source</w:t>
            </w:r>
          </w:p>
        </w:tc>
        <w:tc>
          <w:tcPr>
            <w:tcW w:w="2046" w:type="dxa"/>
            <w:gridSpan w:val="4"/>
            <w:shd w:val="clear" w:color="auto" w:fill="auto"/>
          </w:tcPr>
          <w:p w14:paraId="676DCC7D" w14:textId="77777777" w:rsidR="00C87444" w:rsidRPr="00540679" w:rsidRDefault="00C87444" w:rsidP="00024F25">
            <w:pPr>
              <w:jc w:val="both"/>
              <w:rPr>
                <w:rFonts w:ascii="Arial" w:hAnsi="Arial" w:cs="Arial"/>
                <w:b/>
                <w:bCs/>
                <w:sz w:val="22"/>
                <w:szCs w:val="22"/>
              </w:rPr>
            </w:pPr>
            <w:r w:rsidRPr="00540679">
              <w:rPr>
                <w:rFonts w:ascii="Arial" w:hAnsi="Arial" w:cs="Arial"/>
                <w:b/>
                <w:bCs/>
                <w:sz w:val="22"/>
                <w:szCs w:val="22"/>
              </w:rPr>
              <w:t>Post-discharge (days)</w:t>
            </w:r>
          </w:p>
        </w:tc>
      </w:tr>
      <w:tr w:rsidR="00C87444" w:rsidRPr="00540679" w14:paraId="6ED1FFFC" w14:textId="77777777" w:rsidTr="2688972B">
        <w:trPr>
          <w:trHeight w:val="147"/>
        </w:trPr>
        <w:tc>
          <w:tcPr>
            <w:tcW w:w="5195" w:type="dxa"/>
            <w:vMerge/>
          </w:tcPr>
          <w:p w14:paraId="23138129" w14:textId="77777777" w:rsidR="00C87444" w:rsidRPr="00540679" w:rsidRDefault="00C87444" w:rsidP="00024F25">
            <w:pPr>
              <w:jc w:val="both"/>
              <w:rPr>
                <w:rFonts w:ascii="Arial" w:hAnsi="Arial" w:cs="Arial"/>
                <w:b/>
                <w:bCs/>
                <w:sz w:val="22"/>
                <w:szCs w:val="22"/>
              </w:rPr>
            </w:pPr>
          </w:p>
        </w:tc>
        <w:tc>
          <w:tcPr>
            <w:tcW w:w="2694" w:type="dxa"/>
            <w:vMerge/>
          </w:tcPr>
          <w:p w14:paraId="3E4EBBAA" w14:textId="77777777" w:rsidR="00C87444" w:rsidRPr="00540679" w:rsidRDefault="00C87444" w:rsidP="00024F25">
            <w:pPr>
              <w:jc w:val="both"/>
              <w:rPr>
                <w:rFonts w:ascii="Arial" w:hAnsi="Arial" w:cs="Arial"/>
                <w:b/>
                <w:bCs/>
                <w:sz w:val="22"/>
                <w:szCs w:val="22"/>
              </w:rPr>
            </w:pPr>
          </w:p>
        </w:tc>
        <w:tc>
          <w:tcPr>
            <w:tcW w:w="371" w:type="dxa"/>
            <w:shd w:val="clear" w:color="auto" w:fill="auto"/>
          </w:tcPr>
          <w:p w14:paraId="6D824451" w14:textId="77777777" w:rsidR="00C87444" w:rsidRPr="00540679" w:rsidRDefault="00C87444" w:rsidP="00024F25">
            <w:pPr>
              <w:jc w:val="both"/>
              <w:rPr>
                <w:rFonts w:ascii="Arial" w:hAnsi="Arial" w:cs="Arial"/>
                <w:b/>
                <w:bCs/>
                <w:sz w:val="22"/>
                <w:szCs w:val="22"/>
              </w:rPr>
            </w:pPr>
            <w:r w:rsidRPr="00540679">
              <w:rPr>
                <w:rFonts w:ascii="Arial" w:hAnsi="Arial" w:cs="Arial"/>
                <w:b/>
                <w:bCs/>
                <w:sz w:val="22"/>
                <w:szCs w:val="22"/>
              </w:rPr>
              <w:t>0</w:t>
            </w:r>
          </w:p>
        </w:tc>
        <w:tc>
          <w:tcPr>
            <w:tcW w:w="557" w:type="dxa"/>
          </w:tcPr>
          <w:p w14:paraId="3983D648" w14:textId="77777777" w:rsidR="00C87444" w:rsidRPr="00540679" w:rsidRDefault="00C87444" w:rsidP="00024F25">
            <w:pPr>
              <w:jc w:val="both"/>
              <w:rPr>
                <w:rFonts w:ascii="Arial" w:hAnsi="Arial" w:cs="Arial"/>
                <w:b/>
                <w:bCs/>
                <w:sz w:val="22"/>
                <w:szCs w:val="22"/>
              </w:rPr>
            </w:pPr>
            <w:r w:rsidRPr="00540679">
              <w:rPr>
                <w:rFonts w:ascii="Arial" w:hAnsi="Arial" w:cs="Arial"/>
                <w:b/>
                <w:bCs/>
                <w:sz w:val="22"/>
                <w:szCs w:val="22"/>
              </w:rPr>
              <w:t>30</w:t>
            </w:r>
          </w:p>
        </w:tc>
        <w:tc>
          <w:tcPr>
            <w:tcW w:w="523" w:type="dxa"/>
          </w:tcPr>
          <w:p w14:paraId="11C04F91" w14:textId="77777777" w:rsidR="00C87444" w:rsidRPr="00540679" w:rsidRDefault="00C87444" w:rsidP="00024F25">
            <w:pPr>
              <w:jc w:val="both"/>
              <w:rPr>
                <w:rFonts w:ascii="Arial" w:hAnsi="Arial" w:cs="Arial"/>
                <w:b/>
                <w:bCs/>
                <w:sz w:val="22"/>
                <w:szCs w:val="22"/>
              </w:rPr>
            </w:pPr>
            <w:r w:rsidRPr="00540679">
              <w:rPr>
                <w:rFonts w:ascii="Arial" w:hAnsi="Arial" w:cs="Arial"/>
                <w:b/>
                <w:bCs/>
                <w:sz w:val="22"/>
                <w:szCs w:val="22"/>
              </w:rPr>
              <w:t>90</w:t>
            </w:r>
          </w:p>
        </w:tc>
        <w:tc>
          <w:tcPr>
            <w:tcW w:w="595" w:type="dxa"/>
          </w:tcPr>
          <w:p w14:paraId="19B92520" w14:textId="77777777" w:rsidR="00C87444" w:rsidRPr="00540679" w:rsidRDefault="00C87444" w:rsidP="00024F25">
            <w:pPr>
              <w:jc w:val="both"/>
              <w:rPr>
                <w:rFonts w:ascii="Arial" w:hAnsi="Arial" w:cs="Arial"/>
                <w:b/>
                <w:bCs/>
                <w:sz w:val="22"/>
                <w:szCs w:val="22"/>
              </w:rPr>
            </w:pPr>
            <w:r w:rsidRPr="00540679">
              <w:rPr>
                <w:rFonts w:ascii="Arial" w:hAnsi="Arial" w:cs="Arial"/>
                <w:b/>
                <w:bCs/>
                <w:sz w:val="22"/>
                <w:szCs w:val="22"/>
              </w:rPr>
              <w:t>180</w:t>
            </w:r>
          </w:p>
        </w:tc>
      </w:tr>
      <w:tr w:rsidR="00C87444" w:rsidRPr="00540679" w14:paraId="2B089F0D" w14:textId="77777777" w:rsidTr="2688972B">
        <w:trPr>
          <w:trHeight w:val="331"/>
        </w:trPr>
        <w:tc>
          <w:tcPr>
            <w:tcW w:w="5195" w:type="dxa"/>
            <w:shd w:val="clear" w:color="auto" w:fill="auto"/>
          </w:tcPr>
          <w:p w14:paraId="09564BB4" w14:textId="77777777" w:rsidR="00C87444" w:rsidRPr="00540679" w:rsidRDefault="00C87444" w:rsidP="00024F25">
            <w:pPr>
              <w:jc w:val="both"/>
              <w:rPr>
                <w:rFonts w:ascii="Arial" w:hAnsi="Arial" w:cs="Arial"/>
                <w:sz w:val="22"/>
                <w:szCs w:val="22"/>
              </w:rPr>
            </w:pPr>
            <w:r w:rsidRPr="00540679">
              <w:rPr>
                <w:rFonts w:ascii="Arial" w:hAnsi="Arial" w:cs="Arial"/>
                <w:sz w:val="22"/>
                <w:szCs w:val="22"/>
              </w:rPr>
              <w:t>Medication-related readmission/ED presentation</w:t>
            </w:r>
          </w:p>
        </w:tc>
        <w:tc>
          <w:tcPr>
            <w:tcW w:w="2694" w:type="dxa"/>
          </w:tcPr>
          <w:p w14:paraId="4EA2F442" w14:textId="77777777" w:rsidR="00C87444" w:rsidRPr="00540679" w:rsidRDefault="00C87444" w:rsidP="00024F25">
            <w:pPr>
              <w:jc w:val="both"/>
              <w:rPr>
                <w:rFonts w:ascii="Arial" w:hAnsi="Arial" w:cs="Arial"/>
                <w:sz w:val="22"/>
                <w:szCs w:val="22"/>
              </w:rPr>
            </w:pPr>
            <w:r w:rsidRPr="00540679">
              <w:rPr>
                <w:rFonts w:ascii="Arial" w:hAnsi="Arial" w:cs="Arial"/>
                <w:sz w:val="22"/>
                <w:szCs w:val="22"/>
              </w:rPr>
              <w:t>Linked data/expert panel</w:t>
            </w:r>
          </w:p>
        </w:tc>
        <w:tc>
          <w:tcPr>
            <w:tcW w:w="371" w:type="dxa"/>
            <w:shd w:val="clear" w:color="auto" w:fill="auto"/>
          </w:tcPr>
          <w:p w14:paraId="5C8166D6" w14:textId="77777777" w:rsidR="00C87444" w:rsidRPr="00540679" w:rsidRDefault="00C87444" w:rsidP="00024F25">
            <w:pPr>
              <w:jc w:val="both"/>
              <w:rPr>
                <w:rFonts w:ascii="Arial" w:hAnsi="Arial" w:cs="Arial"/>
                <w:color w:val="4D5156"/>
                <w:sz w:val="22"/>
                <w:szCs w:val="22"/>
              </w:rPr>
            </w:pPr>
          </w:p>
        </w:tc>
        <w:tc>
          <w:tcPr>
            <w:tcW w:w="557" w:type="dxa"/>
          </w:tcPr>
          <w:p w14:paraId="6B52F7EE" w14:textId="77777777" w:rsidR="00C87444" w:rsidRPr="00540679" w:rsidRDefault="00C87444" w:rsidP="00024F25">
            <w:pPr>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68FE5DA5" w14:textId="77777777" w:rsidR="00C87444" w:rsidRPr="00540679" w:rsidRDefault="00C87444" w:rsidP="00024F25">
            <w:pPr>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95" w:type="dxa"/>
          </w:tcPr>
          <w:p w14:paraId="015B6A46" w14:textId="77777777" w:rsidR="00C87444" w:rsidRPr="00540679" w:rsidRDefault="00C87444" w:rsidP="00024F25">
            <w:pPr>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r>
      <w:tr w:rsidR="00C87444" w:rsidRPr="00540679" w14:paraId="2499B80F" w14:textId="77777777" w:rsidTr="2688972B">
        <w:trPr>
          <w:trHeight w:val="147"/>
        </w:trPr>
        <w:tc>
          <w:tcPr>
            <w:tcW w:w="5195" w:type="dxa"/>
            <w:shd w:val="clear" w:color="auto" w:fill="auto"/>
          </w:tcPr>
          <w:p w14:paraId="04CA823B" w14:textId="77777777" w:rsidR="00C87444" w:rsidRPr="00540679" w:rsidRDefault="00C87444" w:rsidP="00024F25">
            <w:pPr>
              <w:jc w:val="both"/>
              <w:rPr>
                <w:rFonts w:ascii="Arial" w:hAnsi="Arial" w:cs="Arial"/>
                <w:sz w:val="22"/>
                <w:szCs w:val="22"/>
              </w:rPr>
            </w:pPr>
            <w:r w:rsidRPr="00540679">
              <w:rPr>
                <w:rFonts w:ascii="Arial" w:hAnsi="Arial" w:cs="Arial"/>
                <w:sz w:val="22"/>
                <w:szCs w:val="22"/>
              </w:rPr>
              <w:t>All-cause readmission or ED presentation</w:t>
            </w:r>
          </w:p>
        </w:tc>
        <w:tc>
          <w:tcPr>
            <w:tcW w:w="2694" w:type="dxa"/>
          </w:tcPr>
          <w:p w14:paraId="67F2BB81" w14:textId="77777777" w:rsidR="00C87444" w:rsidRPr="00540679" w:rsidRDefault="00C87444" w:rsidP="00024F25">
            <w:pPr>
              <w:jc w:val="both"/>
              <w:rPr>
                <w:rFonts w:ascii="Arial" w:hAnsi="Arial" w:cs="Arial"/>
                <w:sz w:val="22"/>
                <w:szCs w:val="22"/>
              </w:rPr>
            </w:pPr>
            <w:r w:rsidRPr="00540679">
              <w:rPr>
                <w:rFonts w:ascii="Arial" w:hAnsi="Arial" w:cs="Arial"/>
                <w:sz w:val="22"/>
                <w:szCs w:val="22"/>
              </w:rPr>
              <w:t>Linked data</w:t>
            </w:r>
          </w:p>
        </w:tc>
        <w:tc>
          <w:tcPr>
            <w:tcW w:w="371" w:type="dxa"/>
            <w:shd w:val="clear" w:color="auto" w:fill="auto"/>
          </w:tcPr>
          <w:p w14:paraId="6610308B" w14:textId="77777777" w:rsidR="00C87444" w:rsidRPr="00540679" w:rsidRDefault="00C87444" w:rsidP="00024F25">
            <w:pPr>
              <w:jc w:val="both"/>
              <w:rPr>
                <w:rFonts w:ascii="Arial" w:hAnsi="Arial" w:cs="Arial"/>
                <w:color w:val="4D5156"/>
                <w:sz w:val="22"/>
                <w:szCs w:val="22"/>
              </w:rPr>
            </w:pPr>
          </w:p>
        </w:tc>
        <w:tc>
          <w:tcPr>
            <w:tcW w:w="557" w:type="dxa"/>
          </w:tcPr>
          <w:p w14:paraId="16234394" w14:textId="77777777" w:rsidR="00C87444" w:rsidRPr="00540679" w:rsidRDefault="00C87444" w:rsidP="00024F25">
            <w:pPr>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61E43AA3" w14:textId="77777777" w:rsidR="00C87444" w:rsidRPr="00540679" w:rsidRDefault="00C87444" w:rsidP="00024F25">
            <w:pPr>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95" w:type="dxa"/>
          </w:tcPr>
          <w:p w14:paraId="0BAA700F" w14:textId="77777777" w:rsidR="00C87444" w:rsidRPr="00540679" w:rsidRDefault="00C87444" w:rsidP="00024F25">
            <w:pPr>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r>
      <w:tr w:rsidR="00C87444" w:rsidRPr="00540679" w14:paraId="5E962A29" w14:textId="77777777" w:rsidTr="2688972B">
        <w:trPr>
          <w:trHeight w:val="147"/>
        </w:trPr>
        <w:tc>
          <w:tcPr>
            <w:tcW w:w="5195" w:type="dxa"/>
            <w:shd w:val="clear" w:color="auto" w:fill="auto"/>
          </w:tcPr>
          <w:p w14:paraId="3836CB4D" w14:textId="77777777" w:rsidR="00C87444" w:rsidRPr="008F0D12" w:rsidRDefault="00C87444" w:rsidP="00024F25">
            <w:pPr>
              <w:jc w:val="both"/>
              <w:rPr>
                <w:rFonts w:ascii="Arial" w:hAnsi="Arial" w:cs="Arial"/>
                <w:sz w:val="22"/>
                <w:szCs w:val="22"/>
              </w:rPr>
            </w:pPr>
            <w:bookmarkStart w:id="56" w:name="_Hlk112843969"/>
            <w:r w:rsidRPr="008F0D12">
              <w:rPr>
                <w:rFonts w:ascii="Arial" w:hAnsi="Arial" w:cs="Arial"/>
                <w:bCs/>
                <w:sz w:val="22"/>
                <w:szCs w:val="22"/>
              </w:rPr>
              <w:t>Total length of unplanned hospitalisation</w:t>
            </w:r>
          </w:p>
        </w:tc>
        <w:tc>
          <w:tcPr>
            <w:tcW w:w="2694" w:type="dxa"/>
          </w:tcPr>
          <w:p w14:paraId="29221720" w14:textId="77777777" w:rsidR="00C87444" w:rsidRPr="00540679" w:rsidRDefault="00C87444" w:rsidP="00024F25">
            <w:pPr>
              <w:jc w:val="both"/>
              <w:rPr>
                <w:rFonts w:ascii="Arial" w:hAnsi="Arial" w:cs="Arial"/>
                <w:color w:val="000000"/>
                <w:sz w:val="22"/>
                <w:szCs w:val="22"/>
              </w:rPr>
            </w:pPr>
            <w:r w:rsidRPr="00540679">
              <w:rPr>
                <w:rFonts w:ascii="Arial" w:hAnsi="Arial" w:cs="Arial"/>
                <w:color w:val="000000"/>
                <w:sz w:val="22"/>
                <w:szCs w:val="22"/>
              </w:rPr>
              <w:t>Patient record</w:t>
            </w:r>
          </w:p>
        </w:tc>
        <w:tc>
          <w:tcPr>
            <w:tcW w:w="371" w:type="dxa"/>
            <w:shd w:val="clear" w:color="auto" w:fill="auto"/>
          </w:tcPr>
          <w:p w14:paraId="1BDDEB69" w14:textId="77777777" w:rsidR="00C87444" w:rsidRPr="00540679" w:rsidRDefault="00C87444" w:rsidP="00024F25">
            <w:pPr>
              <w:jc w:val="both"/>
              <w:rPr>
                <w:rFonts w:ascii="Arial" w:hAnsi="Arial" w:cs="Arial"/>
                <w:color w:val="4D5156"/>
                <w:sz w:val="22"/>
                <w:szCs w:val="22"/>
              </w:rPr>
            </w:pPr>
          </w:p>
        </w:tc>
        <w:tc>
          <w:tcPr>
            <w:tcW w:w="557" w:type="dxa"/>
          </w:tcPr>
          <w:p w14:paraId="2B9CEB3F" w14:textId="77777777" w:rsidR="00C87444" w:rsidRPr="00540679" w:rsidRDefault="00C87444" w:rsidP="00024F25">
            <w:pPr>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3DF98A08" w14:textId="77777777" w:rsidR="00C87444" w:rsidRPr="00540679" w:rsidRDefault="00C87444" w:rsidP="00024F25">
            <w:pPr>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95" w:type="dxa"/>
          </w:tcPr>
          <w:p w14:paraId="29312CF3" w14:textId="77777777" w:rsidR="00C87444" w:rsidRPr="00540679" w:rsidRDefault="00C87444" w:rsidP="00024F25">
            <w:pPr>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r>
      <w:tr w:rsidR="00C87444" w:rsidRPr="00540679" w14:paraId="6E1BC765" w14:textId="77777777" w:rsidTr="2688972B">
        <w:trPr>
          <w:trHeight w:val="147"/>
        </w:trPr>
        <w:tc>
          <w:tcPr>
            <w:tcW w:w="5195" w:type="dxa"/>
            <w:shd w:val="clear" w:color="auto" w:fill="auto"/>
          </w:tcPr>
          <w:p w14:paraId="41DC5677" w14:textId="77777777" w:rsidR="00C87444" w:rsidRPr="00540679" w:rsidRDefault="00C87444" w:rsidP="00024F25">
            <w:pPr>
              <w:jc w:val="both"/>
              <w:rPr>
                <w:rFonts w:ascii="Arial" w:hAnsi="Arial" w:cs="Arial"/>
                <w:sz w:val="22"/>
                <w:szCs w:val="22"/>
                <w:highlight w:val="yellow"/>
              </w:rPr>
            </w:pPr>
            <w:r w:rsidRPr="00540679">
              <w:rPr>
                <w:rFonts w:ascii="Arial" w:hAnsi="Arial" w:cs="Arial"/>
                <w:bCs/>
                <w:sz w:val="22"/>
                <w:szCs w:val="22"/>
              </w:rPr>
              <w:t xml:space="preserve">Patient's quality of life </w:t>
            </w:r>
          </w:p>
        </w:tc>
        <w:tc>
          <w:tcPr>
            <w:tcW w:w="2694" w:type="dxa"/>
          </w:tcPr>
          <w:p w14:paraId="3CEDD877" w14:textId="6191AD20" w:rsidR="00C87444" w:rsidRPr="00540679" w:rsidRDefault="00C87444" w:rsidP="11ACEDE0">
            <w:pPr>
              <w:jc w:val="both"/>
              <w:rPr>
                <w:rFonts w:ascii="Arial" w:hAnsi="Arial" w:cs="Arial"/>
                <w:sz w:val="22"/>
                <w:szCs w:val="22"/>
              </w:rPr>
            </w:pPr>
            <w:r w:rsidRPr="00540679">
              <w:rPr>
                <w:rFonts w:ascii="Arial" w:hAnsi="Arial" w:cs="Arial"/>
                <w:sz w:val="22"/>
                <w:szCs w:val="22"/>
              </w:rPr>
              <w:t>EQ5D-5L</w:t>
            </w:r>
            <w:r w:rsidRPr="00540679">
              <w:rPr>
                <w:rFonts w:ascii="Arial" w:hAnsi="Arial" w:cs="Arial"/>
                <w:noProof/>
                <w:sz w:val="22"/>
                <w:szCs w:val="22"/>
                <w:vertAlign w:val="superscript"/>
              </w:rPr>
              <w:t>3</w:t>
            </w:r>
            <w:r w:rsidR="123A967E" w:rsidRPr="00540679">
              <w:rPr>
                <w:rFonts w:ascii="Arial" w:hAnsi="Arial" w:cs="Arial"/>
                <w:noProof/>
                <w:sz w:val="22"/>
                <w:szCs w:val="22"/>
                <w:vertAlign w:val="superscript"/>
              </w:rPr>
              <w:t>5</w:t>
            </w:r>
          </w:p>
        </w:tc>
        <w:tc>
          <w:tcPr>
            <w:tcW w:w="371" w:type="dxa"/>
            <w:shd w:val="clear" w:color="auto" w:fill="auto"/>
          </w:tcPr>
          <w:p w14:paraId="0B9620C7" w14:textId="7A3352BE" w:rsidR="00C87444" w:rsidRPr="00540679" w:rsidRDefault="00554458" w:rsidP="00024F25">
            <w:pPr>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57" w:type="dxa"/>
          </w:tcPr>
          <w:p w14:paraId="19743A14" w14:textId="77777777" w:rsidR="00C87444" w:rsidRPr="00540679" w:rsidRDefault="00C87444" w:rsidP="00024F25">
            <w:pPr>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23" w:type="dxa"/>
          </w:tcPr>
          <w:p w14:paraId="1AE4C532" w14:textId="1DFA2B1A" w:rsidR="00C87444" w:rsidRPr="00540679" w:rsidRDefault="00554458" w:rsidP="00024F25">
            <w:pPr>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95" w:type="dxa"/>
          </w:tcPr>
          <w:p w14:paraId="556DBDEB" w14:textId="215451D9" w:rsidR="00C87444" w:rsidRPr="00540679" w:rsidRDefault="00554458" w:rsidP="00024F25">
            <w:pPr>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r>
      <w:tr w:rsidR="00C87444" w:rsidRPr="00540679" w14:paraId="4B86F001" w14:textId="77777777" w:rsidTr="2688972B">
        <w:trPr>
          <w:trHeight w:val="147"/>
        </w:trPr>
        <w:tc>
          <w:tcPr>
            <w:tcW w:w="5195" w:type="dxa"/>
            <w:shd w:val="clear" w:color="auto" w:fill="auto"/>
          </w:tcPr>
          <w:p w14:paraId="3ABD6487" w14:textId="77777777" w:rsidR="00C87444" w:rsidRPr="00540679" w:rsidRDefault="00C87444" w:rsidP="00024F25">
            <w:pPr>
              <w:spacing w:after="16"/>
              <w:jc w:val="both"/>
              <w:rPr>
                <w:rFonts w:ascii="Arial" w:hAnsi="Arial" w:cs="Arial"/>
                <w:sz w:val="22"/>
                <w:szCs w:val="22"/>
              </w:rPr>
            </w:pPr>
            <w:r w:rsidRPr="00540679">
              <w:rPr>
                <w:rFonts w:ascii="Arial" w:hAnsi="Arial" w:cs="Arial"/>
                <w:sz w:val="22"/>
                <w:szCs w:val="22"/>
              </w:rPr>
              <w:t>Patient experience of TOCS service (intervention)</w:t>
            </w:r>
          </w:p>
        </w:tc>
        <w:tc>
          <w:tcPr>
            <w:tcW w:w="2694" w:type="dxa"/>
          </w:tcPr>
          <w:p w14:paraId="0EC66C2F" w14:textId="77777777" w:rsidR="00C87444" w:rsidRPr="00540679" w:rsidRDefault="00C87444" w:rsidP="00024F25">
            <w:pPr>
              <w:spacing w:after="16"/>
              <w:jc w:val="both"/>
              <w:rPr>
                <w:rFonts w:ascii="Arial" w:hAnsi="Arial" w:cs="Arial"/>
                <w:sz w:val="22"/>
                <w:szCs w:val="22"/>
              </w:rPr>
            </w:pPr>
            <w:r w:rsidRPr="00540679">
              <w:rPr>
                <w:rFonts w:ascii="Arial" w:hAnsi="Arial" w:cs="Arial"/>
                <w:sz w:val="22"/>
                <w:szCs w:val="22"/>
              </w:rPr>
              <w:t>Patient survey</w:t>
            </w:r>
          </w:p>
        </w:tc>
        <w:tc>
          <w:tcPr>
            <w:tcW w:w="371" w:type="dxa"/>
            <w:shd w:val="clear" w:color="auto" w:fill="auto"/>
          </w:tcPr>
          <w:p w14:paraId="6D30F215" w14:textId="77777777" w:rsidR="00C87444" w:rsidRPr="00540679" w:rsidRDefault="00C87444" w:rsidP="00024F25">
            <w:pPr>
              <w:spacing w:after="16"/>
              <w:jc w:val="both"/>
              <w:rPr>
                <w:rFonts w:ascii="Arial" w:hAnsi="Arial" w:cs="Arial"/>
                <w:sz w:val="22"/>
                <w:szCs w:val="22"/>
              </w:rPr>
            </w:pPr>
          </w:p>
        </w:tc>
        <w:tc>
          <w:tcPr>
            <w:tcW w:w="557" w:type="dxa"/>
          </w:tcPr>
          <w:p w14:paraId="09C3F383"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rPr>
              <w:t>✓</w:t>
            </w:r>
          </w:p>
        </w:tc>
        <w:tc>
          <w:tcPr>
            <w:tcW w:w="523" w:type="dxa"/>
          </w:tcPr>
          <w:p w14:paraId="3D61A103" w14:textId="77777777" w:rsidR="00C87444" w:rsidRPr="00540679" w:rsidRDefault="00C87444" w:rsidP="00024F25">
            <w:pPr>
              <w:spacing w:after="16"/>
              <w:jc w:val="both"/>
              <w:rPr>
                <w:rFonts w:ascii="Arial" w:hAnsi="Arial" w:cs="Arial"/>
                <w:sz w:val="22"/>
                <w:szCs w:val="22"/>
              </w:rPr>
            </w:pPr>
          </w:p>
        </w:tc>
        <w:tc>
          <w:tcPr>
            <w:tcW w:w="595" w:type="dxa"/>
          </w:tcPr>
          <w:p w14:paraId="656AC14F" w14:textId="77777777" w:rsidR="00C87444" w:rsidRPr="00540679" w:rsidRDefault="00C87444" w:rsidP="00024F25">
            <w:pPr>
              <w:spacing w:after="16"/>
              <w:jc w:val="both"/>
              <w:rPr>
                <w:rFonts w:ascii="Arial" w:hAnsi="Arial" w:cs="Arial"/>
                <w:sz w:val="22"/>
                <w:szCs w:val="22"/>
              </w:rPr>
            </w:pPr>
          </w:p>
        </w:tc>
      </w:tr>
      <w:bookmarkEnd w:id="56"/>
      <w:tr w:rsidR="00C87444" w:rsidRPr="00540679" w14:paraId="7CFB61A4" w14:textId="77777777" w:rsidTr="2688972B">
        <w:trPr>
          <w:trHeight w:val="147"/>
        </w:trPr>
        <w:tc>
          <w:tcPr>
            <w:tcW w:w="7889" w:type="dxa"/>
            <w:gridSpan w:val="2"/>
            <w:shd w:val="clear" w:color="auto" w:fill="auto"/>
          </w:tcPr>
          <w:p w14:paraId="12B23D51" w14:textId="77777777" w:rsidR="00C87444" w:rsidRPr="00540679" w:rsidRDefault="00C87444" w:rsidP="00024F25">
            <w:pPr>
              <w:spacing w:after="16"/>
              <w:jc w:val="both"/>
              <w:rPr>
                <w:rFonts w:ascii="Arial" w:hAnsi="Arial" w:cs="Arial"/>
                <w:sz w:val="22"/>
                <w:szCs w:val="22"/>
              </w:rPr>
            </w:pPr>
            <w:r w:rsidRPr="00540679">
              <w:rPr>
                <w:rFonts w:ascii="Arial" w:hAnsi="Arial" w:cs="Arial"/>
                <w:b/>
                <w:bCs/>
                <w:sz w:val="22"/>
                <w:szCs w:val="22"/>
              </w:rPr>
              <w:t>Process measures</w:t>
            </w:r>
          </w:p>
        </w:tc>
        <w:tc>
          <w:tcPr>
            <w:tcW w:w="371" w:type="dxa"/>
            <w:shd w:val="clear" w:color="auto" w:fill="000000" w:themeFill="text1"/>
          </w:tcPr>
          <w:p w14:paraId="5AE715EE" w14:textId="77777777" w:rsidR="00C87444" w:rsidRPr="00540679" w:rsidRDefault="00C87444" w:rsidP="00024F25">
            <w:pPr>
              <w:spacing w:after="16"/>
              <w:jc w:val="both"/>
              <w:rPr>
                <w:rFonts w:ascii="Arial" w:hAnsi="Arial" w:cs="Arial"/>
                <w:sz w:val="22"/>
                <w:szCs w:val="22"/>
              </w:rPr>
            </w:pPr>
          </w:p>
        </w:tc>
        <w:tc>
          <w:tcPr>
            <w:tcW w:w="557" w:type="dxa"/>
            <w:shd w:val="clear" w:color="auto" w:fill="000000" w:themeFill="text1"/>
          </w:tcPr>
          <w:p w14:paraId="6E412C91" w14:textId="77777777" w:rsidR="00C87444" w:rsidRPr="00540679" w:rsidRDefault="00C87444" w:rsidP="00024F25">
            <w:pPr>
              <w:spacing w:after="16"/>
              <w:jc w:val="both"/>
              <w:rPr>
                <w:rFonts w:ascii="Arial" w:hAnsi="Arial" w:cs="Arial"/>
                <w:color w:val="4D5156"/>
                <w:sz w:val="22"/>
                <w:szCs w:val="22"/>
              </w:rPr>
            </w:pPr>
          </w:p>
        </w:tc>
        <w:tc>
          <w:tcPr>
            <w:tcW w:w="523" w:type="dxa"/>
            <w:shd w:val="clear" w:color="auto" w:fill="000000" w:themeFill="text1"/>
          </w:tcPr>
          <w:p w14:paraId="5557A019" w14:textId="77777777" w:rsidR="00C87444" w:rsidRPr="00540679" w:rsidRDefault="00C87444" w:rsidP="00024F25">
            <w:pPr>
              <w:spacing w:after="16"/>
              <w:jc w:val="both"/>
              <w:rPr>
                <w:rFonts w:ascii="Arial" w:hAnsi="Arial" w:cs="Arial"/>
                <w:sz w:val="22"/>
                <w:szCs w:val="22"/>
              </w:rPr>
            </w:pPr>
          </w:p>
        </w:tc>
        <w:tc>
          <w:tcPr>
            <w:tcW w:w="595" w:type="dxa"/>
            <w:shd w:val="clear" w:color="auto" w:fill="000000" w:themeFill="text1"/>
          </w:tcPr>
          <w:p w14:paraId="1DA5CECD" w14:textId="77777777" w:rsidR="00C87444" w:rsidRPr="00540679" w:rsidRDefault="00C87444" w:rsidP="00024F25">
            <w:pPr>
              <w:spacing w:after="16"/>
              <w:jc w:val="both"/>
              <w:rPr>
                <w:rFonts w:ascii="Arial" w:hAnsi="Arial" w:cs="Arial"/>
                <w:sz w:val="22"/>
                <w:szCs w:val="22"/>
              </w:rPr>
            </w:pPr>
          </w:p>
        </w:tc>
      </w:tr>
      <w:tr w:rsidR="00C87444" w:rsidRPr="00540679" w14:paraId="57B390B8" w14:textId="77777777" w:rsidTr="2688972B">
        <w:trPr>
          <w:trHeight w:val="147"/>
        </w:trPr>
        <w:tc>
          <w:tcPr>
            <w:tcW w:w="5195" w:type="dxa"/>
            <w:shd w:val="clear" w:color="auto" w:fill="auto"/>
          </w:tcPr>
          <w:p w14:paraId="52DDC23E" w14:textId="77777777" w:rsidR="00C87444" w:rsidRPr="00540679" w:rsidRDefault="00C87444" w:rsidP="00024F25">
            <w:pPr>
              <w:spacing w:after="16"/>
              <w:jc w:val="both"/>
              <w:rPr>
                <w:rFonts w:ascii="Arial" w:hAnsi="Arial" w:cs="Arial"/>
                <w:sz w:val="22"/>
                <w:szCs w:val="22"/>
              </w:rPr>
            </w:pPr>
            <w:bookmarkStart w:id="57" w:name="_Hlk112844121"/>
            <w:r w:rsidRPr="00540679">
              <w:rPr>
                <w:rFonts w:ascii="Arial" w:hAnsi="Arial" w:cs="Arial"/>
                <w:sz w:val="22"/>
                <w:szCs w:val="22"/>
              </w:rPr>
              <w:t xml:space="preserve">Patients recruited and </w:t>
            </w:r>
            <w:proofErr w:type="spellStart"/>
            <w:r w:rsidRPr="00540679">
              <w:rPr>
                <w:rFonts w:ascii="Arial" w:hAnsi="Arial" w:cs="Arial"/>
                <w:sz w:val="22"/>
                <w:szCs w:val="22"/>
              </w:rPr>
              <w:t>PHarmacie</w:t>
            </w:r>
            <w:proofErr w:type="spellEnd"/>
            <w:r w:rsidRPr="00540679">
              <w:rPr>
                <w:rFonts w:ascii="Arial" w:hAnsi="Arial" w:cs="Arial"/>
                <w:sz w:val="22"/>
                <w:szCs w:val="22"/>
              </w:rPr>
              <w:t>-R score</w:t>
            </w:r>
          </w:p>
        </w:tc>
        <w:tc>
          <w:tcPr>
            <w:tcW w:w="2694" w:type="dxa"/>
          </w:tcPr>
          <w:p w14:paraId="2071B37F" w14:textId="77777777" w:rsidR="00C87444" w:rsidRPr="00540679" w:rsidRDefault="00C87444" w:rsidP="00024F25">
            <w:pPr>
              <w:spacing w:after="16"/>
              <w:jc w:val="both"/>
              <w:rPr>
                <w:rFonts w:ascii="Arial" w:hAnsi="Arial" w:cs="Arial"/>
                <w:color w:val="4D5156"/>
                <w:sz w:val="22"/>
                <w:szCs w:val="22"/>
                <w:shd w:val="clear" w:color="auto" w:fill="FFFFFF"/>
              </w:rPr>
            </w:pPr>
            <w:r w:rsidRPr="00540679">
              <w:rPr>
                <w:rFonts w:ascii="Arial" w:hAnsi="Arial" w:cs="Arial"/>
                <w:color w:val="000000"/>
                <w:sz w:val="22"/>
                <w:szCs w:val="22"/>
              </w:rPr>
              <w:t>Patient record</w:t>
            </w:r>
          </w:p>
        </w:tc>
        <w:tc>
          <w:tcPr>
            <w:tcW w:w="371" w:type="dxa"/>
            <w:shd w:val="clear" w:color="auto" w:fill="auto"/>
          </w:tcPr>
          <w:p w14:paraId="44FFC2FD"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57" w:type="dxa"/>
          </w:tcPr>
          <w:p w14:paraId="22E83210" w14:textId="77777777" w:rsidR="00C87444" w:rsidRPr="00540679" w:rsidRDefault="00C87444" w:rsidP="00024F25">
            <w:pPr>
              <w:spacing w:after="16"/>
              <w:jc w:val="both"/>
              <w:rPr>
                <w:rFonts w:ascii="Arial" w:hAnsi="Arial" w:cs="Arial"/>
                <w:color w:val="4D5156"/>
                <w:sz w:val="22"/>
                <w:szCs w:val="22"/>
              </w:rPr>
            </w:pPr>
          </w:p>
        </w:tc>
        <w:tc>
          <w:tcPr>
            <w:tcW w:w="523" w:type="dxa"/>
          </w:tcPr>
          <w:p w14:paraId="40D55499" w14:textId="77777777" w:rsidR="00C87444" w:rsidRPr="00540679" w:rsidRDefault="00C87444" w:rsidP="00024F25">
            <w:pPr>
              <w:spacing w:after="16"/>
              <w:jc w:val="both"/>
              <w:rPr>
                <w:rFonts w:ascii="Arial" w:hAnsi="Arial" w:cs="Arial"/>
                <w:sz w:val="22"/>
                <w:szCs w:val="22"/>
              </w:rPr>
            </w:pPr>
          </w:p>
        </w:tc>
        <w:tc>
          <w:tcPr>
            <w:tcW w:w="595" w:type="dxa"/>
          </w:tcPr>
          <w:p w14:paraId="531B41AE" w14:textId="77777777" w:rsidR="00C87444" w:rsidRPr="00540679" w:rsidRDefault="00C87444" w:rsidP="00024F25">
            <w:pPr>
              <w:spacing w:after="16"/>
              <w:jc w:val="both"/>
              <w:rPr>
                <w:rFonts w:ascii="Arial" w:hAnsi="Arial" w:cs="Arial"/>
                <w:sz w:val="22"/>
                <w:szCs w:val="22"/>
              </w:rPr>
            </w:pPr>
          </w:p>
        </w:tc>
      </w:tr>
      <w:tr w:rsidR="00C87444" w:rsidRPr="00540679" w14:paraId="2737A1A1" w14:textId="77777777" w:rsidTr="2688972B">
        <w:trPr>
          <w:trHeight w:val="147"/>
        </w:trPr>
        <w:tc>
          <w:tcPr>
            <w:tcW w:w="5195" w:type="dxa"/>
            <w:shd w:val="clear" w:color="auto" w:fill="auto"/>
          </w:tcPr>
          <w:p w14:paraId="1EC3BAE3" w14:textId="77777777" w:rsidR="00C87444" w:rsidRPr="00540679" w:rsidRDefault="00C87444" w:rsidP="00024F25">
            <w:pPr>
              <w:spacing w:after="16"/>
              <w:jc w:val="both"/>
              <w:rPr>
                <w:rFonts w:ascii="Arial" w:hAnsi="Arial" w:cs="Arial"/>
                <w:sz w:val="22"/>
                <w:szCs w:val="22"/>
              </w:rPr>
            </w:pPr>
            <w:r w:rsidRPr="00540679">
              <w:rPr>
                <w:rFonts w:ascii="Arial" w:hAnsi="Arial" w:cs="Arial"/>
                <w:sz w:val="22"/>
                <w:szCs w:val="22"/>
              </w:rPr>
              <w:t>Medication reconciliation provided on discharge</w:t>
            </w:r>
          </w:p>
        </w:tc>
        <w:tc>
          <w:tcPr>
            <w:tcW w:w="2694" w:type="dxa"/>
          </w:tcPr>
          <w:p w14:paraId="55E55A59" w14:textId="77777777" w:rsidR="00C87444" w:rsidRPr="00540679" w:rsidRDefault="00C87444" w:rsidP="00024F25">
            <w:pPr>
              <w:spacing w:after="16"/>
              <w:jc w:val="both"/>
              <w:rPr>
                <w:rFonts w:ascii="Arial" w:hAnsi="Arial" w:cs="Arial"/>
                <w:color w:val="4D5156"/>
                <w:sz w:val="22"/>
                <w:szCs w:val="22"/>
              </w:rPr>
            </w:pPr>
            <w:r w:rsidRPr="00540679">
              <w:rPr>
                <w:rFonts w:ascii="Arial" w:hAnsi="Arial" w:cs="Arial"/>
                <w:color w:val="000000" w:themeColor="text1"/>
                <w:sz w:val="22"/>
                <w:szCs w:val="22"/>
              </w:rPr>
              <w:t>Patient record</w:t>
            </w:r>
          </w:p>
        </w:tc>
        <w:tc>
          <w:tcPr>
            <w:tcW w:w="371" w:type="dxa"/>
            <w:shd w:val="clear" w:color="auto" w:fill="auto"/>
          </w:tcPr>
          <w:p w14:paraId="5AC7F7E6"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rPr>
              <w:t>✓</w:t>
            </w:r>
          </w:p>
        </w:tc>
        <w:tc>
          <w:tcPr>
            <w:tcW w:w="557" w:type="dxa"/>
          </w:tcPr>
          <w:p w14:paraId="447E1E27" w14:textId="77777777" w:rsidR="00C87444" w:rsidRPr="00540679" w:rsidRDefault="00C87444" w:rsidP="00024F25">
            <w:pPr>
              <w:spacing w:after="16"/>
              <w:jc w:val="both"/>
              <w:rPr>
                <w:rFonts w:ascii="Arial" w:hAnsi="Arial" w:cs="Arial"/>
                <w:color w:val="4D5156"/>
                <w:sz w:val="22"/>
                <w:szCs w:val="22"/>
              </w:rPr>
            </w:pPr>
          </w:p>
        </w:tc>
        <w:tc>
          <w:tcPr>
            <w:tcW w:w="523" w:type="dxa"/>
          </w:tcPr>
          <w:p w14:paraId="355791B7" w14:textId="77777777" w:rsidR="00C87444" w:rsidRPr="00540679" w:rsidRDefault="00C87444" w:rsidP="00024F25">
            <w:pPr>
              <w:spacing w:after="16"/>
              <w:jc w:val="both"/>
              <w:rPr>
                <w:rFonts w:ascii="Arial" w:hAnsi="Arial" w:cs="Arial"/>
                <w:sz w:val="22"/>
                <w:szCs w:val="22"/>
              </w:rPr>
            </w:pPr>
          </w:p>
        </w:tc>
        <w:tc>
          <w:tcPr>
            <w:tcW w:w="595" w:type="dxa"/>
          </w:tcPr>
          <w:p w14:paraId="7B7DE142" w14:textId="77777777" w:rsidR="00C87444" w:rsidRPr="00540679" w:rsidRDefault="00C87444" w:rsidP="00024F25">
            <w:pPr>
              <w:spacing w:after="16"/>
              <w:jc w:val="both"/>
              <w:rPr>
                <w:rFonts w:ascii="Arial" w:hAnsi="Arial" w:cs="Arial"/>
                <w:sz w:val="22"/>
                <w:szCs w:val="22"/>
              </w:rPr>
            </w:pPr>
          </w:p>
        </w:tc>
      </w:tr>
      <w:tr w:rsidR="00C87444" w:rsidRPr="00540679" w14:paraId="71FCB626" w14:textId="77777777" w:rsidTr="2688972B">
        <w:trPr>
          <w:trHeight w:val="147"/>
        </w:trPr>
        <w:tc>
          <w:tcPr>
            <w:tcW w:w="5195" w:type="dxa"/>
            <w:shd w:val="clear" w:color="auto" w:fill="auto"/>
          </w:tcPr>
          <w:p w14:paraId="1C4072AF" w14:textId="77777777" w:rsidR="00C87444" w:rsidRPr="00540679" w:rsidRDefault="00C87444" w:rsidP="00024F25">
            <w:pPr>
              <w:spacing w:after="16"/>
              <w:jc w:val="both"/>
              <w:rPr>
                <w:rFonts w:ascii="Arial" w:hAnsi="Arial" w:cs="Arial"/>
                <w:sz w:val="22"/>
                <w:szCs w:val="22"/>
              </w:rPr>
            </w:pPr>
            <w:r w:rsidRPr="00540679">
              <w:rPr>
                <w:rFonts w:ascii="Arial" w:hAnsi="Arial" w:cs="Arial"/>
                <w:sz w:val="22"/>
                <w:szCs w:val="22"/>
              </w:rPr>
              <w:t>Discharge summary provided on discharge</w:t>
            </w:r>
          </w:p>
        </w:tc>
        <w:tc>
          <w:tcPr>
            <w:tcW w:w="2694" w:type="dxa"/>
          </w:tcPr>
          <w:p w14:paraId="6F7C6B34" w14:textId="77777777" w:rsidR="00C87444" w:rsidRPr="00540679" w:rsidRDefault="00C87444" w:rsidP="00024F25">
            <w:pPr>
              <w:spacing w:after="16"/>
              <w:jc w:val="both"/>
              <w:rPr>
                <w:rFonts w:ascii="Arial" w:hAnsi="Arial" w:cs="Arial"/>
                <w:color w:val="4D5156"/>
                <w:sz w:val="22"/>
                <w:szCs w:val="22"/>
              </w:rPr>
            </w:pPr>
            <w:r w:rsidRPr="00540679">
              <w:rPr>
                <w:rFonts w:ascii="Arial" w:hAnsi="Arial" w:cs="Arial"/>
                <w:color w:val="000000"/>
                <w:sz w:val="22"/>
                <w:szCs w:val="22"/>
              </w:rPr>
              <w:t>Patient record</w:t>
            </w:r>
          </w:p>
        </w:tc>
        <w:tc>
          <w:tcPr>
            <w:tcW w:w="371" w:type="dxa"/>
            <w:shd w:val="clear" w:color="auto" w:fill="auto"/>
          </w:tcPr>
          <w:p w14:paraId="13299C9C"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rPr>
              <w:t>✓</w:t>
            </w:r>
          </w:p>
        </w:tc>
        <w:tc>
          <w:tcPr>
            <w:tcW w:w="557" w:type="dxa"/>
          </w:tcPr>
          <w:p w14:paraId="3E69C3BF" w14:textId="77777777" w:rsidR="00C87444" w:rsidRPr="00540679" w:rsidRDefault="00C87444" w:rsidP="00024F25">
            <w:pPr>
              <w:spacing w:after="16"/>
              <w:jc w:val="both"/>
              <w:rPr>
                <w:rFonts w:ascii="Arial" w:hAnsi="Arial" w:cs="Arial"/>
                <w:color w:val="4D5156"/>
                <w:sz w:val="22"/>
                <w:szCs w:val="22"/>
              </w:rPr>
            </w:pPr>
          </w:p>
        </w:tc>
        <w:tc>
          <w:tcPr>
            <w:tcW w:w="523" w:type="dxa"/>
          </w:tcPr>
          <w:p w14:paraId="7A873D44" w14:textId="77777777" w:rsidR="00C87444" w:rsidRPr="00540679" w:rsidRDefault="00C87444" w:rsidP="00024F25">
            <w:pPr>
              <w:spacing w:after="16"/>
              <w:jc w:val="both"/>
              <w:rPr>
                <w:rFonts w:ascii="Arial" w:hAnsi="Arial" w:cs="Arial"/>
                <w:sz w:val="22"/>
                <w:szCs w:val="22"/>
              </w:rPr>
            </w:pPr>
          </w:p>
        </w:tc>
        <w:tc>
          <w:tcPr>
            <w:tcW w:w="595" w:type="dxa"/>
          </w:tcPr>
          <w:p w14:paraId="31465376" w14:textId="77777777" w:rsidR="00C87444" w:rsidRPr="00540679" w:rsidRDefault="00C87444" w:rsidP="00024F25">
            <w:pPr>
              <w:spacing w:after="16"/>
              <w:jc w:val="both"/>
              <w:rPr>
                <w:rFonts w:ascii="Arial" w:hAnsi="Arial" w:cs="Arial"/>
                <w:sz w:val="22"/>
                <w:szCs w:val="22"/>
              </w:rPr>
            </w:pPr>
          </w:p>
        </w:tc>
      </w:tr>
      <w:tr w:rsidR="00C87444" w:rsidRPr="00540679" w14:paraId="3CA789A4" w14:textId="77777777" w:rsidTr="2688972B">
        <w:trPr>
          <w:trHeight w:val="147"/>
        </w:trPr>
        <w:tc>
          <w:tcPr>
            <w:tcW w:w="5195" w:type="dxa"/>
            <w:shd w:val="clear" w:color="auto" w:fill="auto"/>
          </w:tcPr>
          <w:p w14:paraId="06E4B94F" w14:textId="77777777" w:rsidR="00C87444" w:rsidRPr="00540679" w:rsidRDefault="00C87444" w:rsidP="00024F25">
            <w:pPr>
              <w:spacing w:after="16"/>
              <w:jc w:val="both"/>
              <w:rPr>
                <w:rFonts w:ascii="Arial" w:hAnsi="Arial" w:cs="Arial"/>
                <w:sz w:val="22"/>
                <w:szCs w:val="22"/>
              </w:rPr>
            </w:pPr>
            <w:r w:rsidRPr="00540679">
              <w:rPr>
                <w:rFonts w:ascii="Arial" w:hAnsi="Arial" w:cs="Arial"/>
                <w:sz w:val="22"/>
                <w:szCs w:val="22"/>
              </w:rPr>
              <w:t xml:space="preserve">Discharge medication list provided to patient </w:t>
            </w:r>
          </w:p>
        </w:tc>
        <w:tc>
          <w:tcPr>
            <w:tcW w:w="2694" w:type="dxa"/>
          </w:tcPr>
          <w:p w14:paraId="0FA5B596" w14:textId="77777777" w:rsidR="00C87444" w:rsidRPr="00540679" w:rsidRDefault="00C87444" w:rsidP="00024F25">
            <w:pPr>
              <w:spacing w:after="16"/>
              <w:jc w:val="both"/>
              <w:rPr>
                <w:rFonts w:ascii="Arial" w:hAnsi="Arial" w:cs="Arial"/>
                <w:color w:val="4D5156"/>
                <w:sz w:val="22"/>
                <w:szCs w:val="22"/>
              </w:rPr>
            </w:pPr>
            <w:r w:rsidRPr="00540679">
              <w:rPr>
                <w:rFonts w:ascii="Arial" w:hAnsi="Arial" w:cs="Arial"/>
                <w:color w:val="000000" w:themeColor="text1"/>
                <w:sz w:val="22"/>
                <w:szCs w:val="22"/>
              </w:rPr>
              <w:t>Patient record</w:t>
            </w:r>
          </w:p>
        </w:tc>
        <w:tc>
          <w:tcPr>
            <w:tcW w:w="371" w:type="dxa"/>
            <w:shd w:val="clear" w:color="auto" w:fill="auto"/>
          </w:tcPr>
          <w:p w14:paraId="63340392"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rPr>
              <w:t>✓</w:t>
            </w:r>
          </w:p>
        </w:tc>
        <w:tc>
          <w:tcPr>
            <w:tcW w:w="557" w:type="dxa"/>
          </w:tcPr>
          <w:p w14:paraId="5D79EE33" w14:textId="77777777" w:rsidR="00C87444" w:rsidRPr="00540679" w:rsidRDefault="00C87444" w:rsidP="00024F25">
            <w:pPr>
              <w:spacing w:after="16"/>
              <w:jc w:val="both"/>
              <w:rPr>
                <w:rFonts w:ascii="Arial" w:hAnsi="Arial" w:cs="Arial"/>
                <w:color w:val="4D5156"/>
                <w:sz w:val="22"/>
                <w:szCs w:val="22"/>
              </w:rPr>
            </w:pPr>
          </w:p>
        </w:tc>
        <w:tc>
          <w:tcPr>
            <w:tcW w:w="523" w:type="dxa"/>
          </w:tcPr>
          <w:p w14:paraId="29B40587" w14:textId="77777777" w:rsidR="00C87444" w:rsidRPr="00540679" w:rsidRDefault="00C87444" w:rsidP="00024F25">
            <w:pPr>
              <w:spacing w:after="16"/>
              <w:jc w:val="both"/>
              <w:rPr>
                <w:rFonts w:ascii="Arial" w:hAnsi="Arial" w:cs="Arial"/>
                <w:sz w:val="22"/>
                <w:szCs w:val="22"/>
              </w:rPr>
            </w:pPr>
          </w:p>
        </w:tc>
        <w:tc>
          <w:tcPr>
            <w:tcW w:w="595" w:type="dxa"/>
          </w:tcPr>
          <w:p w14:paraId="7A44CE34" w14:textId="77777777" w:rsidR="00C87444" w:rsidRPr="00540679" w:rsidRDefault="00C87444" w:rsidP="00024F25">
            <w:pPr>
              <w:spacing w:after="16"/>
              <w:jc w:val="both"/>
              <w:rPr>
                <w:rFonts w:ascii="Arial" w:hAnsi="Arial" w:cs="Arial"/>
                <w:sz w:val="22"/>
                <w:szCs w:val="22"/>
              </w:rPr>
            </w:pPr>
          </w:p>
        </w:tc>
      </w:tr>
      <w:tr w:rsidR="00C87444" w:rsidRPr="00540679" w14:paraId="1D2BDC03" w14:textId="77777777" w:rsidTr="2688972B">
        <w:trPr>
          <w:trHeight w:val="147"/>
        </w:trPr>
        <w:tc>
          <w:tcPr>
            <w:tcW w:w="5195" w:type="dxa"/>
            <w:shd w:val="clear" w:color="auto" w:fill="auto"/>
          </w:tcPr>
          <w:p w14:paraId="02583006" w14:textId="77777777" w:rsidR="00C87444" w:rsidRPr="00540679" w:rsidRDefault="00C87444" w:rsidP="00024F25">
            <w:pPr>
              <w:spacing w:after="16"/>
              <w:jc w:val="both"/>
              <w:rPr>
                <w:rFonts w:ascii="Arial" w:hAnsi="Arial" w:cs="Arial"/>
                <w:sz w:val="22"/>
                <w:szCs w:val="22"/>
              </w:rPr>
            </w:pPr>
            <w:r w:rsidRPr="00540679">
              <w:rPr>
                <w:rFonts w:ascii="Arial" w:hAnsi="Arial" w:cs="Arial"/>
                <w:sz w:val="22"/>
                <w:szCs w:val="22"/>
              </w:rPr>
              <w:t>Time to post-discharge medication review</w:t>
            </w:r>
          </w:p>
        </w:tc>
        <w:tc>
          <w:tcPr>
            <w:tcW w:w="2694" w:type="dxa"/>
          </w:tcPr>
          <w:p w14:paraId="0C3708AF" w14:textId="77777777" w:rsidR="00C87444" w:rsidRPr="00540679" w:rsidRDefault="00C87444" w:rsidP="00024F25">
            <w:pPr>
              <w:spacing w:after="16"/>
              <w:jc w:val="both"/>
              <w:rPr>
                <w:rFonts w:ascii="Arial" w:hAnsi="Arial" w:cs="Arial"/>
                <w:color w:val="4D5156"/>
                <w:sz w:val="22"/>
                <w:szCs w:val="22"/>
              </w:rPr>
            </w:pPr>
            <w:r w:rsidRPr="00540679">
              <w:rPr>
                <w:rFonts w:ascii="Arial" w:hAnsi="Arial" w:cs="Arial"/>
                <w:color w:val="000000"/>
                <w:sz w:val="22"/>
                <w:szCs w:val="22"/>
              </w:rPr>
              <w:t>Accredited pharmacist</w:t>
            </w:r>
          </w:p>
        </w:tc>
        <w:tc>
          <w:tcPr>
            <w:tcW w:w="371" w:type="dxa"/>
            <w:shd w:val="clear" w:color="auto" w:fill="auto"/>
          </w:tcPr>
          <w:p w14:paraId="3654E563" w14:textId="77777777" w:rsidR="00C87444" w:rsidRPr="00540679" w:rsidRDefault="00C87444" w:rsidP="00024F25">
            <w:pPr>
              <w:spacing w:after="16"/>
              <w:jc w:val="both"/>
              <w:rPr>
                <w:rFonts w:ascii="Arial" w:hAnsi="Arial" w:cs="Arial"/>
                <w:sz w:val="22"/>
                <w:szCs w:val="22"/>
              </w:rPr>
            </w:pPr>
          </w:p>
        </w:tc>
        <w:tc>
          <w:tcPr>
            <w:tcW w:w="557" w:type="dxa"/>
          </w:tcPr>
          <w:p w14:paraId="71F0E031" w14:textId="77777777" w:rsidR="00C87444" w:rsidRPr="00540679" w:rsidRDefault="00C87444" w:rsidP="00024F25">
            <w:pPr>
              <w:spacing w:after="16"/>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40D5B588" w14:textId="77777777" w:rsidR="00C87444" w:rsidRPr="00540679" w:rsidRDefault="00C87444" w:rsidP="00024F25">
            <w:pPr>
              <w:spacing w:after="16"/>
              <w:jc w:val="both"/>
              <w:rPr>
                <w:rFonts w:ascii="Arial" w:hAnsi="Arial" w:cs="Arial"/>
                <w:sz w:val="22"/>
                <w:szCs w:val="22"/>
              </w:rPr>
            </w:pPr>
          </w:p>
        </w:tc>
        <w:tc>
          <w:tcPr>
            <w:tcW w:w="595" w:type="dxa"/>
          </w:tcPr>
          <w:p w14:paraId="61A1F473" w14:textId="77777777" w:rsidR="00C87444" w:rsidRPr="00540679" w:rsidRDefault="00C87444" w:rsidP="00024F25">
            <w:pPr>
              <w:spacing w:after="16"/>
              <w:jc w:val="both"/>
              <w:rPr>
                <w:rFonts w:ascii="Arial" w:hAnsi="Arial" w:cs="Arial"/>
                <w:sz w:val="22"/>
                <w:szCs w:val="22"/>
              </w:rPr>
            </w:pPr>
          </w:p>
        </w:tc>
      </w:tr>
      <w:tr w:rsidR="00C87444" w:rsidRPr="00540679" w14:paraId="6EE93512" w14:textId="77777777" w:rsidTr="2688972B">
        <w:trPr>
          <w:trHeight w:val="147"/>
        </w:trPr>
        <w:tc>
          <w:tcPr>
            <w:tcW w:w="5195" w:type="dxa"/>
            <w:shd w:val="clear" w:color="auto" w:fill="auto"/>
          </w:tcPr>
          <w:p w14:paraId="36A418B6" w14:textId="77777777" w:rsidR="00C87444" w:rsidRPr="00540679" w:rsidRDefault="00C87444" w:rsidP="00024F25">
            <w:pPr>
              <w:spacing w:after="16"/>
              <w:jc w:val="both"/>
              <w:rPr>
                <w:rFonts w:ascii="Arial" w:hAnsi="Arial" w:cs="Arial"/>
                <w:sz w:val="22"/>
                <w:szCs w:val="22"/>
              </w:rPr>
            </w:pPr>
            <w:r w:rsidRPr="00540679">
              <w:rPr>
                <w:rFonts w:ascii="Arial" w:hAnsi="Arial" w:cs="Arial"/>
                <w:sz w:val="22"/>
                <w:szCs w:val="22"/>
              </w:rPr>
              <w:t>Received follow up for HMR</w:t>
            </w:r>
          </w:p>
        </w:tc>
        <w:tc>
          <w:tcPr>
            <w:tcW w:w="2694" w:type="dxa"/>
          </w:tcPr>
          <w:p w14:paraId="5054CBBE" w14:textId="77777777" w:rsidR="00C87444" w:rsidRPr="00540679" w:rsidRDefault="00C87444" w:rsidP="00024F25">
            <w:pPr>
              <w:spacing w:after="16"/>
              <w:jc w:val="both"/>
              <w:rPr>
                <w:rFonts w:ascii="Arial" w:hAnsi="Arial" w:cs="Arial"/>
                <w:color w:val="000000"/>
                <w:sz w:val="22"/>
                <w:szCs w:val="22"/>
              </w:rPr>
            </w:pPr>
            <w:r w:rsidRPr="00540679">
              <w:rPr>
                <w:rFonts w:ascii="Arial" w:hAnsi="Arial" w:cs="Arial"/>
                <w:color w:val="000000"/>
                <w:sz w:val="22"/>
                <w:szCs w:val="22"/>
              </w:rPr>
              <w:t>Accredited pharmacist</w:t>
            </w:r>
          </w:p>
        </w:tc>
        <w:tc>
          <w:tcPr>
            <w:tcW w:w="371" w:type="dxa"/>
            <w:shd w:val="clear" w:color="auto" w:fill="auto"/>
          </w:tcPr>
          <w:p w14:paraId="601918C1" w14:textId="77777777" w:rsidR="00C87444" w:rsidRPr="00540679" w:rsidRDefault="00C87444" w:rsidP="00024F25">
            <w:pPr>
              <w:spacing w:after="16"/>
              <w:jc w:val="both"/>
              <w:rPr>
                <w:rFonts w:ascii="Arial" w:hAnsi="Arial" w:cs="Arial"/>
                <w:color w:val="4D5156"/>
                <w:sz w:val="22"/>
                <w:szCs w:val="22"/>
                <w:shd w:val="clear" w:color="auto" w:fill="FFFFFF"/>
              </w:rPr>
            </w:pPr>
          </w:p>
        </w:tc>
        <w:tc>
          <w:tcPr>
            <w:tcW w:w="557" w:type="dxa"/>
          </w:tcPr>
          <w:p w14:paraId="3DD7910F" w14:textId="77777777" w:rsidR="00C87444" w:rsidRPr="00540679" w:rsidRDefault="00C87444" w:rsidP="00024F25">
            <w:pPr>
              <w:spacing w:after="16"/>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c>
          <w:tcPr>
            <w:tcW w:w="523" w:type="dxa"/>
          </w:tcPr>
          <w:p w14:paraId="11E4CA56" w14:textId="77777777" w:rsidR="00C87444" w:rsidRPr="00540679" w:rsidRDefault="00C87444" w:rsidP="00024F25">
            <w:pPr>
              <w:spacing w:after="16"/>
              <w:jc w:val="both"/>
              <w:rPr>
                <w:rStyle w:val="CommentReference"/>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95" w:type="dxa"/>
          </w:tcPr>
          <w:p w14:paraId="11330F93"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r>
      <w:tr w:rsidR="00C87444" w:rsidRPr="00540679" w14:paraId="1866BE4C" w14:textId="77777777" w:rsidTr="2688972B">
        <w:trPr>
          <w:trHeight w:val="147"/>
        </w:trPr>
        <w:tc>
          <w:tcPr>
            <w:tcW w:w="5195" w:type="dxa"/>
            <w:shd w:val="clear" w:color="auto" w:fill="auto"/>
          </w:tcPr>
          <w:p w14:paraId="03A5D600" w14:textId="77777777" w:rsidR="00C87444" w:rsidRPr="00540679" w:rsidRDefault="00C87444" w:rsidP="00024F25">
            <w:pPr>
              <w:spacing w:after="16"/>
              <w:jc w:val="both"/>
              <w:rPr>
                <w:rFonts w:ascii="Arial" w:hAnsi="Arial" w:cs="Arial"/>
                <w:sz w:val="22"/>
                <w:szCs w:val="22"/>
              </w:rPr>
            </w:pPr>
            <w:r w:rsidRPr="00540679">
              <w:rPr>
                <w:rFonts w:ascii="Arial" w:hAnsi="Arial" w:cs="Arial"/>
                <w:bCs/>
                <w:sz w:val="22"/>
                <w:szCs w:val="22"/>
              </w:rPr>
              <w:t xml:space="preserve">Number, </w:t>
            </w:r>
            <w:proofErr w:type="gramStart"/>
            <w:r w:rsidRPr="00540679">
              <w:rPr>
                <w:rFonts w:ascii="Arial" w:hAnsi="Arial" w:cs="Arial"/>
                <w:bCs/>
                <w:sz w:val="22"/>
                <w:szCs w:val="22"/>
              </w:rPr>
              <w:t>type</w:t>
            </w:r>
            <w:proofErr w:type="gramEnd"/>
            <w:r w:rsidRPr="00540679">
              <w:rPr>
                <w:rFonts w:ascii="Arial" w:hAnsi="Arial" w:cs="Arial"/>
                <w:bCs/>
                <w:sz w:val="22"/>
                <w:szCs w:val="22"/>
              </w:rPr>
              <w:t xml:space="preserve"> and severity of medication-related problems resolved by TOCS </w:t>
            </w:r>
            <w:r w:rsidRPr="00540679">
              <w:rPr>
                <w:rFonts w:ascii="Arial" w:hAnsi="Arial" w:cs="Arial"/>
                <w:sz w:val="22"/>
                <w:szCs w:val="22"/>
              </w:rPr>
              <w:t>pharmacist</w:t>
            </w:r>
            <w:r w:rsidRPr="00540679">
              <w:rPr>
                <w:rFonts w:ascii="Arial" w:hAnsi="Arial" w:cs="Arial"/>
                <w:bCs/>
                <w:noProof/>
                <w:sz w:val="22"/>
                <w:szCs w:val="22"/>
                <w:vertAlign w:val="superscript"/>
              </w:rPr>
              <w:t>37</w:t>
            </w:r>
          </w:p>
        </w:tc>
        <w:tc>
          <w:tcPr>
            <w:tcW w:w="2694" w:type="dxa"/>
          </w:tcPr>
          <w:p w14:paraId="0C0F6531" w14:textId="3831C492" w:rsidR="00C87444" w:rsidRPr="00540679" w:rsidRDefault="00C87444" w:rsidP="00024F25">
            <w:pPr>
              <w:spacing w:after="16"/>
              <w:jc w:val="both"/>
              <w:rPr>
                <w:rFonts w:ascii="Arial" w:hAnsi="Arial" w:cs="Arial"/>
                <w:color w:val="4D5156"/>
                <w:sz w:val="22"/>
                <w:szCs w:val="22"/>
              </w:rPr>
            </w:pPr>
            <w:r w:rsidRPr="00540679">
              <w:rPr>
                <w:rFonts w:ascii="Arial" w:hAnsi="Arial" w:cs="Arial"/>
                <w:sz w:val="22"/>
                <w:szCs w:val="22"/>
              </w:rPr>
              <w:t>Indicators</w:t>
            </w:r>
            <w:r w:rsidRPr="00540679">
              <w:rPr>
                <w:rFonts w:ascii="Arial" w:hAnsi="Arial" w:cs="Arial"/>
                <w:noProof/>
                <w:sz w:val="22"/>
                <w:szCs w:val="22"/>
                <w:vertAlign w:val="superscript"/>
              </w:rPr>
              <w:t>3</w:t>
            </w:r>
            <w:r w:rsidR="3B79B508" w:rsidRPr="00540679">
              <w:rPr>
                <w:rFonts w:ascii="Arial" w:hAnsi="Arial" w:cs="Arial"/>
                <w:noProof/>
                <w:sz w:val="22"/>
                <w:szCs w:val="22"/>
                <w:vertAlign w:val="superscript"/>
              </w:rPr>
              <w:t>6</w:t>
            </w:r>
            <w:r w:rsidRPr="00540679">
              <w:rPr>
                <w:rFonts w:ascii="Arial" w:hAnsi="Arial" w:cs="Arial"/>
                <w:sz w:val="22"/>
                <w:szCs w:val="22"/>
              </w:rPr>
              <w:t xml:space="preserve"> and expert panel</w:t>
            </w:r>
          </w:p>
        </w:tc>
        <w:tc>
          <w:tcPr>
            <w:tcW w:w="371" w:type="dxa"/>
            <w:shd w:val="clear" w:color="auto" w:fill="auto"/>
          </w:tcPr>
          <w:p w14:paraId="45A9BC34" w14:textId="4A267BB8" w:rsidR="00C87444" w:rsidRPr="00540679" w:rsidRDefault="007E6258" w:rsidP="00024F25">
            <w:pPr>
              <w:spacing w:after="16"/>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57" w:type="dxa"/>
          </w:tcPr>
          <w:p w14:paraId="1BA5E199" w14:textId="77777777" w:rsidR="00C87444" w:rsidRPr="00540679" w:rsidRDefault="00C87444" w:rsidP="00024F25">
            <w:pPr>
              <w:spacing w:after="16"/>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45CC61BB" w14:textId="77777777" w:rsidR="00C87444" w:rsidRPr="00540679" w:rsidRDefault="00C87444" w:rsidP="00024F25">
            <w:pPr>
              <w:spacing w:after="16"/>
              <w:jc w:val="both"/>
              <w:rPr>
                <w:rFonts w:ascii="Arial" w:hAnsi="Arial" w:cs="Arial"/>
                <w:sz w:val="22"/>
                <w:szCs w:val="22"/>
              </w:rPr>
            </w:pPr>
          </w:p>
        </w:tc>
        <w:tc>
          <w:tcPr>
            <w:tcW w:w="595" w:type="dxa"/>
          </w:tcPr>
          <w:p w14:paraId="4CCE10C9" w14:textId="77777777" w:rsidR="00C87444" w:rsidRPr="00540679" w:rsidRDefault="00C87444" w:rsidP="00024F25">
            <w:pPr>
              <w:spacing w:after="16"/>
              <w:jc w:val="both"/>
              <w:rPr>
                <w:rFonts w:ascii="Arial" w:hAnsi="Arial" w:cs="Arial"/>
                <w:sz w:val="22"/>
                <w:szCs w:val="22"/>
              </w:rPr>
            </w:pPr>
          </w:p>
        </w:tc>
      </w:tr>
      <w:tr w:rsidR="00C87444" w:rsidRPr="00540679" w14:paraId="64B84D4B" w14:textId="77777777" w:rsidTr="2688972B">
        <w:trPr>
          <w:trHeight w:val="147"/>
        </w:trPr>
        <w:tc>
          <w:tcPr>
            <w:tcW w:w="5195" w:type="dxa"/>
            <w:shd w:val="clear" w:color="auto" w:fill="auto"/>
          </w:tcPr>
          <w:p w14:paraId="389F23D4" w14:textId="77777777" w:rsidR="00C87444" w:rsidRPr="00540679" w:rsidRDefault="00C87444" w:rsidP="00024F25">
            <w:pPr>
              <w:spacing w:after="16"/>
              <w:jc w:val="both"/>
              <w:rPr>
                <w:rFonts w:ascii="Arial" w:hAnsi="Arial" w:cs="Arial"/>
                <w:sz w:val="22"/>
                <w:szCs w:val="22"/>
              </w:rPr>
            </w:pPr>
            <w:r w:rsidRPr="00540679">
              <w:rPr>
                <w:rFonts w:ascii="Arial" w:hAnsi="Arial" w:cs="Arial"/>
                <w:bCs/>
                <w:sz w:val="22"/>
                <w:szCs w:val="22"/>
              </w:rPr>
              <w:t xml:space="preserve">Number, </w:t>
            </w:r>
            <w:proofErr w:type="gramStart"/>
            <w:r w:rsidRPr="00540679">
              <w:rPr>
                <w:rFonts w:ascii="Arial" w:hAnsi="Arial" w:cs="Arial"/>
                <w:bCs/>
                <w:sz w:val="22"/>
                <w:szCs w:val="22"/>
              </w:rPr>
              <w:t>type</w:t>
            </w:r>
            <w:proofErr w:type="gramEnd"/>
            <w:r w:rsidRPr="00540679">
              <w:rPr>
                <w:rFonts w:ascii="Arial" w:hAnsi="Arial" w:cs="Arial"/>
                <w:bCs/>
                <w:sz w:val="22"/>
                <w:szCs w:val="22"/>
              </w:rPr>
              <w:t xml:space="preserve"> and severity of medication-related problems resolved during HMR</w:t>
            </w:r>
            <w:r w:rsidRPr="00540679">
              <w:rPr>
                <w:rFonts w:ascii="Arial" w:hAnsi="Arial" w:cs="Arial"/>
                <w:bCs/>
                <w:noProof/>
                <w:sz w:val="22"/>
                <w:szCs w:val="22"/>
                <w:vertAlign w:val="superscript"/>
              </w:rPr>
              <w:t>37</w:t>
            </w:r>
          </w:p>
        </w:tc>
        <w:tc>
          <w:tcPr>
            <w:tcW w:w="2694" w:type="dxa"/>
          </w:tcPr>
          <w:p w14:paraId="4C2E5B06" w14:textId="6E4C329D" w:rsidR="00C87444" w:rsidRPr="00540679" w:rsidRDefault="00C87444" w:rsidP="00024F25">
            <w:pPr>
              <w:spacing w:after="16"/>
              <w:jc w:val="both"/>
              <w:rPr>
                <w:rFonts w:ascii="Arial" w:hAnsi="Arial" w:cs="Arial"/>
                <w:color w:val="4D5156"/>
                <w:sz w:val="22"/>
                <w:szCs w:val="22"/>
              </w:rPr>
            </w:pPr>
            <w:r w:rsidRPr="00540679">
              <w:rPr>
                <w:rFonts w:ascii="Arial" w:hAnsi="Arial" w:cs="Arial"/>
                <w:sz w:val="22"/>
                <w:szCs w:val="22"/>
              </w:rPr>
              <w:t>Indicators</w:t>
            </w:r>
            <w:r w:rsidRPr="00540679">
              <w:rPr>
                <w:rFonts w:ascii="Arial" w:hAnsi="Arial" w:cs="Arial"/>
                <w:noProof/>
                <w:sz w:val="22"/>
                <w:szCs w:val="22"/>
                <w:vertAlign w:val="superscript"/>
              </w:rPr>
              <w:t>3</w:t>
            </w:r>
            <w:r w:rsidR="64BDD98C" w:rsidRPr="00540679">
              <w:rPr>
                <w:rFonts w:ascii="Arial" w:hAnsi="Arial" w:cs="Arial"/>
                <w:noProof/>
                <w:sz w:val="22"/>
                <w:szCs w:val="22"/>
                <w:vertAlign w:val="superscript"/>
              </w:rPr>
              <w:t>6</w:t>
            </w:r>
            <w:r w:rsidRPr="00540679">
              <w:rPr>
                <w:rFonts w:ascii="Arial" w:hAnsi="Arial" w:cs="Arial"/>
                <w:sz w:val="22"/>
                <w:szCs w:val="22"/>
              </w:rPr>
              <w:t xml:space="preserve"> and expert panel</w:t>
            </w:r>
          </w:p>
        </w:tc>
        <w:tc>
          <w:tcPr>
            <w:tcW w:w="371" w:type="dxa"/>
            <w:shd w:val="clear" w:color="auto" w:fill="auto"/>
          </w:tcPr>
          <w:p w14:paraId="2966DB4F" w14:textId="77777777" w:rsidR="00C87444" w:rsidRPr="00540679" w:rsidRDefault="00C87444" w:rsidP="00024F25">
            <w:pPr>
              <w:spacing w:after="16"/>
              <w:jc w:val="both"/>
              <w:rPr>
                <w:rFonts w:ascii="Arial" w:hAnsi="Arial" w:cs="Arial"/>
                <w:sz w:val="22"/>
                <w:szCs w:val="22"/>
              </w:rPr>
            </w:pPr>
          </w:p>
        </w:tc>
        <w:tc>
          <w:tcPr>
            <w:tcW w:w="557" w:type="dxa"/>
          </w:tcPr>
          <w:p w14:paraId="69F82F47" w14:textId="77777777" w:rsidR="00C87444" w:rsidRPr="00540679" w:rsidRDefault="00C87444" w:rsidP="00024F25">
            <w:pPr>
              <w:spacing w:after="16"/>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713A9EDE" w14:textId="77777777" w:rsidR="00C87444" w:rsidRPr="00540679" w:rsidRDefault="00C87444" w:rsidP="00024F25">
            <w:pPr>
              <w:spacing w:after="16"/>
              <w:jc w:val="both"/>
              <w:rPr>
                <w:rFonts w:ascii="Arial" w:hAnsi="Arial" w:cs="Arial"/>
                <w:sz w:val="22"/>
                <w:szCs w:val="22"/>
              </w:rPr>
            </w:pPr>
          </w:p>
        </w:tc>
        <w:tc>
          <w:tcPr>
            <w:tcW w:w="595" w:type="dxa"/>
          </w:tcPr>
          <w:p w14:paraId="70ED8FF3" w14:textId="77777777" w:rsidR="00C87444" w:rsidRPr="00540679" w:rsidRDefault="00C87444" w:rsidP="00024F25">
            <w:pPr>
              <w:spacing w:after="16"/>
              <w:jc w:val="both"/>
              <w:rPr>
                <w:rFonts w:ascii="Arial" w:hAnsi="Arial" w:cs="Arial"/>
                <w:sz w:val="22"/>
                <w:szCs w:val="22"/>
              </w:rPr>
            </w:pPr>
          </w:p>
        </w:tc>
      </w:tr>
      <w:tr w:rsidR="00C87444" w:rsidRPr="00540679" w14:paraId="1843A643" w14:textId="77777777" w:rsidTr="2688972B">
        <w:trPr>
          <w:trHeight w:val="147"/>
        </w:trPr>
        <w:tc>
          <w:tcPr>
            <w:tcW w:w="5195" w:type="dxa"/>
            <w:shd w:val="clear" w:color="auto" w:fill="auto"/>
          </w:tcPr>
          <w:p w14:paraId="0D7A255E" w14:textId="77777777" w:rsidR="00C87444" w:rsidRPr="00540679" w:rsidRDefault="00C87444" w:rsidP="00024F25">
            <w:pPr>
              <w:spacing w:after="16"/>
              <w:jc w:val="both"/>
              <w:rPr>
                <w:rFonts w:ascii="Arial" w:hAnsi="Arial" w:cs="Arial"/>
                <w:sz w:val="22"/>
                <w:szCs w:val="22"/>
              </w:rPr>
            </w:pPr>
            <w:r w:rsidRPr="00540679">
              <w:rPr>
                <w:rFonts w:ascii="Arial" w:hAnsi="Arial" w:cs="Arial"/>
                <w:bCs/>
                <w:sz w:val="22"/>
                <w:szCs w:val="22"/>
              </w:rPr>
              <w:t>Consumers’ self-efficacy for medication use</w:t>
            </w:r>
          </w:p>
        </w:tc>
        <w:tc>
          <w:tcPr>
            <w:tcW w:w="2694" w:type="dxa"/>
          </w:tcPr>
          <w:p w14:paraId="21F848F0" w14:textId="6086B982" w:rsidR="00C87444" w:rsidRPr="00540679" w:rsidRDefault="00C87444" w:rsidP="00024F25">
            <w:pPr>
              <w:spacing w:after="16"/>
              <w:jc w:val="both"/>
              <w:rPr>
                <w:rFonts w:ascii="Arial" w:hAnsi="Arial" w:cs="Arial"/>
                <w:color w:val="4D5156"/>
                <w:sz w:val="22"/>
                <w:szCs w:val="22"/>
              </w:rPr>
            </w:pPr>
            <w:r w:rsidRPr="00540679">
              <w:rPr>
                <w:rFonts w:ascii="Arial" w:hAnsi="Arial" w:cs="Arial"/>
                <w:color w:val="000000" w:themeColor="text1"/>
                <w:sz w:val="22"/>
                <w:szCs w:val="22"/>
              </w:rPr>
              <w:t>SEAMS Survey</w:t>
            </w:r>
            <w:r w:rsidRPr="00540679">
              <w:rPr>
                <w:rFonts w:ascii="Arial" w:hAnsi="Arial" w:cs="Arial"/>
                <w:noProof/>
                <w:sz w:val="22"/>
                <w:szCs w:val="22"/>
                <w:vertAlign w:val="superscript"/>
              </w:rPr>
              <w:t>3</w:t>
            </w:r>
            <w:r w:rsidR="11723305" w:rsidRPr="00540679">
              <w:rPr>
                <w:rFonts w:ascii="Arial" w:hAnsi="Arial" w:cs="Arial"/>
                <w:noProof/>
                <w:sz w:val="22"/>
                <w:szCs w:val="22"/>
                <w:vertAlign w:val="superscript"/>
              </w:rPr>
              <w:t>7</w:t>
            </w:r>
          </w:p>
        </w:tc>
        <w:tc>
          <w:tcPr>
            <w:tcW w:w="371" w:type="dxa"/>
            <w:shd w:val="clear" w:color="auto" w:fill="auto"/>
          </w:tcPr>
          <w:p w14:paraId="4D12E518" w14:textId="77777777" w:rsidR="00C87444" w:rsidRPr="00540679" w:rsidRDefault="00C87444" w:rsidP="00024F25">
            <w:pPr>
              <w:spacing w:after="16"/>
              <w:jc w:val="both"/>
              <w:rPr>
                <w:rFonts w:ascii="Arial" w:hAnsi="Arial" w:cs="Arial"/>
                <w:sz w:val="22"/>
                <w:szCs w:val="22"/>
              </w:rPr>
            </w:pPr>
          </w:p>
        </w:tc>
        <w:tc>
          <w:tcPr>
            <w:tcW w:w="557" w:type="dxa"/>
          </w:tcPr>
          <w:p w14:paraId="68EBB59D" w14:textId="77777777" w:rsidR="00C87444" w:rsidRPr="00540679" w:rsidRDefault="00C87444" w:rsidP="00024F25">
            <w:pPr>
              <w:spacing w:after="16"/>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35A33774" w14:textId="77777777" w:rsidR="00C87444" w:rsidRPr="00540679" w:rsidRDefault="00C87444" w:rsidP="00024F25">
            <w:pPr>
              <w:spacing w:after="16"/>
              <w:jc w:val="both"/>
              <w:rPr>
                <w:rFonts w:ascii="Arial" w:hAnsi="Arial" w:cs="Arial"/>
                <w:sz w:val="22"/>
                <w:szCs w:val="22"/>
              </w:rPr>
            </w:pPr>
          </w:p>
        </w:tc>
        <w:tc>
          <w:tcPr>
            <w:tcW w:w="595" w:type="dxa"/>
          </w:tcPr>
          <w:p w14:paraId="51933ACD" w14:textId="77777777" w:rsidR="00C87444" w:rsidRPr="00540679" w:rsidRDefault="00C87444" w:rsidP="00024F25">
            <w:pPr>
              <w:spacing w:after="16"/>
              <w:jc w:val="both"/>
              <w:rPr>
                <w:rFonts w:ascii="Arial" w:hAnsi="Arial" w:cs="Arial"/>
                <w:sz w:val="22"/>
                <w:szCs w:val="22"/>
              </w:rPr>
            </w:pPr>
          </w:p>
        </w:tc>
      </w:tr>
      <w:tr w:rsidR="00C87444" w:rsidRPr="00540679" w14:paraId="5569BF56" w14:textId="77777777" w:rsidTr="2688972B">
        <w:trPr>
          <w:trHeight w:val="147"/>
        </w:trPr>
        <w:tc>
          <w:tcPr>
            <w:tcW w:w="5195" w:type="dxa"/>
            <w:shd w:val="clear" w:color="auto" w:fill="auto"/>
          </w:tcPr>
          <w:p w14:paraId="764E1F5E" w14:textId="77777777" w:rsidR="00C87444" w:rsidRPr="00540679" w:rsidRDefault="00C87444" w:rsidP="00024F25">
            <w:pPr>
              <w:spacing w:after="16"/>
              <w:jc w:val="both"/>
              <w:rPr>
                <w:rFonts w:ascii="Arial" w:hAnsi="Arial" w:cs="Arial"/>
                <w:sz w:val="22"/>
                <w:szCs w:val="22"/>
              </w:rPr>
            </w:pPr>
            <w:r w:rsidRPr="00540679">
              <w:rPr>
                <w:rFonts w:ascii="Arial" w:hAnsi="Arial" w:cs="Arial"/>
                <w:bCs/>
                <w:sz w:val="22"/>
                <w:szCs w:val="22"/>
              </w:rPr>
              <w:t>Number of medicines</w:t>
            </w:r>
          </w:p>
        </w:tc>
        <w:tc>
          <w:tcPr>
            <w:tcW w:w="2694" w:type="dxa"/>
          </w:tcPr>
          <w:p w14:paraId="2E1660D8" w14:textId="769B5787" w:rsidR="00C87444" w:rsidRPr="00540679" w:rsidRDefault="00C87444" w:rsidP="00024F25">
            <w:pPr>
              <w:spacing w:after="16"/>
              <w:jc w:val="both"/>
              <w:rPr>
                <w:rFonts w:ascii="Arial" w:hAnsi="Arial" w:cs="Arial"/>
                <w:color w:val="4D5156"/>
                <w:sz w:val="22"/>
                <w:szCs w:val="22"/>
              </w:rPr>
            </w:pPr>
            <w:r w:rsidRPr="00540679">
              <w:rPr>
                <w:rFonts w:ascii="Arial" w:hAnsi="Arial" w:cs="Arial"/>
                <w:color w:val="000000"/>
                <w:sz w:val="22"/>
                <w:szCs w:val="22"/>
              </w:rPr>
              <w:t>Patient/My health record</w:t>
            </w:r>
            <w:r w:rsidR="00503630" w:rsidRPr="00540679">
              <w:rPr>
                <w:rFonts w:ascii="Arial" w:hAnsi="Arial" w:cs="Arial"/>
                <w:color w:val="000000"/>
                <w:sz w:val="22"/>
                <w:szCs w:val="22"/>
              </w:rPr>
              <w:t xml:space="preserve"> community Px</w:t>
            </w:r>
          </w:p>
        </w:tc>
        <w:tc>
          <w:tcPr>
            <w:tcW w:w="371" w:type="dxa"/>
            <w:shd w:val="clear" w:color="auto" w:fill="auto"/>
          </w:tcPr>
          <w:p w14:paraId="2B8E1683"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57" w:type="dxa"/>
          </w:tcPr>
          <w:p w14:paraId="0502637B" w14:textId="77777777" w:rsidR="00C87444" w:rsidRPr="00540679" w:rsidRDefault="00C87444" w:rsidP="00024F25">
            <w:pPr>
              <w:spacing w:after="16"/>
              <w:jc w:val="both"/>
              <w:rPr>
                <w:rFonts w:ascii="Arial" w:hAnsi="Arial" w:cs="Arial"/>
                <w:color w:val="4D5156"/>
                <w:sz w:val="22"/>
                <w:szCs w:val="22"/>
              </w:rPr>
            </w:pPr>
            <w:r w:rsidRPr="00540679">
              <w:rPr>
                <w:rFonts w:ascii="Segoe UI Symbol" w:hAnsi="Segoe UI Symbol" w:cs="Segoe UI Symbol"/>
                <w:color w:val="4D5156"/>
                <w:sz w:val="22"/>
                <w:szCs w:val="22"/>
                <w:shd w:val="clear" w:color="auto" w:fill="FFFFFF"/>
              </w:rPr>
              <w:t>✓</w:t>
            </w:r>
          </w:p>
        </w:tc>
        <w:tc>
          <w:tcPr>
            <w:tcW w:w="523" w:type="dxa"/>
          </w:tcPr>
          <w:p w14:paraId="47AF0886"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c>
          <w:tcPr>
            <w:tcW w:w="595" w:type="dxa"/>
          </w:tcPr>
          <w:p w14:paraId="20E6E847" w14:textId="77777777" w:rsidR="00C87444" w:rsidRPr="00540679" w:rsidRDefault="00C87444" w:rsidP="00024F25">
            <w:pPr>
              <w:spacing w:after="16"/>
              <w:jc w:val="both"/>
              <w:rPr>
                <w:rFonts w:ascii="Arial" w:hAnsi="Arial" w:cs="Arial"/>
                <w:sz w:val="22"/>
                <w:szCs w:val="22"/>
              </w:rPr>
            </w:pPr>
            <w:r w:rsidRPr="00540679">
              <w:rPr>
                <w:rFonts w:ascii="Segoe UI Symbol" w:hAnsi="Segoe UI Symbol" w:cs="Segoe UI Symbol"/>
                <w:color w:val="4D5156"/>
                <w:sz w:val="22"/>
                <w:szCs w:val="22"/>
                <w:shd w:val="clear" w:color="auto" w:fill="FFFFFF"/>
              </w:rPr>
              <w:t>✓</w:t>
            </w:r>
          </w:p>
        </w:tc>
      </w:tr>
      <w:tr w:rsidR="00503630" w:rsidRPr="00540679" w14:paraId="0E13F888" w14:textId="77777777" w:rsidTr="2688972B">
        <w:trPr>
          <w:trHeight w:val="147"/>
        </w:trPr>
        <w:tc>
          <w:tcPr>
            <w:tcW w:w="5195" w:type="dxa"/>
            <w:shd w:val="clear" w:color="auto" w:fill="auto"/>
          </w:tcPr>
          <w:p w14:paraId="258574B7" w14:textId="5F8E5F49" w:rsidR="00503630" w:rsidRPr="00540679" w:rsidRDefault="00416873" w:rsidP="00503630">
            <w:pPr>
              <w:spacing w:after="16"/>
              <w:jc w:val="both"/>
              <w:rPr>
                <w:rFonts w:ascii="Arial" w:hAnsi="Arial" w:cs="Arial"/>
                <w:bCs/>
                <w:sz w:val="22"/>
                <w:szCs w:val="22"/>
              </w:rPr>
            </w:pPr>
            <w:r w:rsidRPr="00540679">
              <w:rPr>
                <w:rFonts w:ascii="Arial" w:hAnsi="Arial" w:cs="Arial"/>
                <w:bCs/>
                <w:sz w:val="22"/>
                <w:szCs w:val="22"/>
              </w:rPr>
              <w:t>Appropriate medicines indicators</w:t>
            </w:r>
          </w:p>
        </w:tc>
        <w:tc>
          <w:tcPr>
            <w:tcW w:w="2694" w:type="dxa"/>
          </w:tcPr>
          <w:p w14:paraId="0BDB4B3A" w14:textId="57925124" w:rsidR="00503630" w:rsidRPr="00540679" w:rsidRDefault="00503630" w:rsidP="00503630">
            <w:pPr>
              <w:spacing w:after="16"/>
              <w:jc w:val="both"/>
              <w:rPr>
                <w:rFonts w:ascii="Arial" w:hAnsi="Arial" w:cs="Arial"/>
                <w:color w:val="000000"/>
                <w:sz w:val="22"/>
                <w:szCs w:val="22"/>
              </w:rPr>
            </w:pPr>
            <w:r w:rsidRPr="00540679">
              <w:rPr>
                <w:rFonts w:ascii="Arial" w:hAnsi="Arial" w:cs="Arial"/>
                <w:color w:val="000000"/>
                <w:sz w:val="22"/>
                <w:szCs w:val="22"/>
              </w:rPr>
              <w:t>Patient/My health record community Px</w:t>
            </w:r>
          </w:p>
        </w:tc>
        <w:tc>
          <w:tcPr>
            <w:tcW w:w="371" w:type="dxa"/>
            <w:shd w:val="clear" w:color="auto" w:fill="auto"/>
          </w:tcPr>
          <w:p w14:paraId="76E1B321" w14:textId="54E7056A" w:rsidR="00503630" w:rsidRPr="00540679" w:rsidRDefault="00503630" w:rsidP="00503630">
            <w:pPr>
              <w:spacing w:after="16"/>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c>
          <w:tcPr>
            <w:tcW w:w="557" w:type="dxa"/>
          </w:tcPr>
          <w:p w14:paraId="4BA1E8A2" w14:textId="3DC783AE" w:rsidR="00503630" w:rsidRPr="00540679" w:rsidRDefault="00503630" w:rsidP="00503630">
            <w:pPr>
              <w:spacing w:after="16"/>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c>
          <w:tcPr>
            <w:tcW w:w="523" w:type="dxa"/>
          </w:tcPr>
          <w:p w14:paraId="1D665B35" w14:textId="2A1391B0" w:rsidR="00503630" w:rsidRPr="00540679" w:rsidRDefault="00503630" w:rsidP="00503630">
            <w:pPr>
              <w:spacing w:after="16"/>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c>
          <w:tcPr>
            <w:tcW w:w="595" w:type="dxa"/>
          </w:tcPr>
          <w:p w14:paraId="7AC5B73F" w14:textId="4BC8E0DB" w:rsidR="00503630" w:rsidRPr="00540679" w:rsidRDefault="00503630" w:rsidP="00503630">
            <w:pPr>
              <w:spacing w:after="16"/>
              <w:jc w:val="both"/>
              <w:rPr>
                <w:rFonts w:ascii="Arial" w:hAnsi="Arial" w:cs="Arial"/>
                <w:color w:val="4D5156"/>
                <w:sz w:val="22"/>
                <w:szCs w:val="22"/>
                <w:shd w:val="clear" w:color="auto" w:fill="FFFFFF"/>
              </w:rPr>
            </w:pPr>
            <w:r w:rsidRPr="00540679">
              <w:rPr>
                <w:rFonts w:ascii="Segoe UI Symbol" w:hAnsi="Segoe UI Symbol" w:cs="Segoe UI Symbol"/>
                <w:color w:val="4D5156"/>
                <w:sz w:val="22"/>
                <w:szCs w:val="22"/>
                <w:shd w:val="clear" w:color="auto" w:fill="FFFFFF"/>
              </w:rPr>
              <w:t>✓</w:t>
            </w:r>
          </w:p>
        </w:tc>
      </w:tr>
      <w:bookmarkEnd w:id="57"/>
    </w:tbl>
    <w:p w14:paraId="0FA01947" w14:textId="77777777" w:rsidR="002A5B44" w:rsidRPr="00540679" w:rsidRDefault="002A5B44" w:rsidP="00E10130">
      <w:pPr>
        <w:spacing w:afterLines="80" w:after="192" w:line="276" w:lineRule="auto"/>
        <w:jc w:val="both"/>
        <w:rPr>
          <w:rFonts w:ascii="Arial" w:hAnsi="Arial" w:cs="Arial"/>
          <w:sz w:val="22"/>
          <w:szCs w:val="22"/>
          <w:u w:val="single"/>
        </w:rPr>
      </w:pPr>
    </w:p>
    <w:p w14:paraId="54DE3463" w14:textId="107C67A0" w:rsidR="00C87444"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u w:val="single"/>
        </w:rPr>
        <w:t xml:space="preserve">Data collection methods: </w:t>
      </w:r>
      <w:r w:rsidRPr="00540679">
        <w:rPr>
          <w:rFonts w:ascii="Arial" w:hAnsi="Arial" w:cs="Arial"/>
          <w:sz w:val="22"/>
          <w:szCs w:val="22"/>
        </w:rPr>
        <w:t xml:space="preserve">Patient demographics, comorbidities, </w:t>
      </w:r>
      <w:proofErr w:type="spellStart"/>
      <w:r w:rsidRPr="00540679">
        <w:rPr>
          <w:rFonts w:ascii="Arial" w:hAnsi="Arial" w:cs="Arial"/>
          <w:sz w:val="22"/>
          <w:szCs w:val="22"/>
        </w:rPr>
        <w:t>Charlson</w:t>
      </w:r>
      <w:proofErr w:type="spellEnd"/>
      <w:r w:rsidRPr="00540679">
        <w:rPr>
          <w:rFonts w:ascii="Arial" w:hAnsi="Arial" w:cs="Arial"/>
          <w:sz w:val="22"/>
          <w:szCs w:val="22"/>
        </w:rPr>
        <w:t xml:space="preserve"> Comorbidity Index, frailty index, medications, length of stay and re-presentations will be obtained from hospital information systems and GPs. Patients will be telephoned at 30, 90 and 180 days after discharge. Death data will be obtained from death registers.</w:t>
      </w:r>
    </w:p>
    <w:p w14:paraId="6B8C9440" w14:textId="77777777" w:rsidR="00C87444" w:rsidRPr="00540679" w:rsidRDefault="00C87444" w:rsidP="00E10130">
      <w:pPr>
        <w:spacing w:afterLines="80" w:after="192" w:line="276" w:lineRule="auto"/>
        <w:jc w:val="both"/>
        <w:rPr>
          <w:rFonts w:ascii="Arial" w:hAnsi="Arial" w:cs="Arial"/>
          <w:bCs/>
          <w:sz w:val="22"/>
          <w:szCs w:val="22"/>
        </w:rPr>
      </w:pPr>
      <w:r w:rsidRPr="00540679">
        <w:rPr>
          <w:rFonts w:ascii="Arial" w:hAnsi="Arial" w:cs="Arial"/>
          <w:sz w:val="22"/>
          <w:szCs w:val="22"/>
          <w:u w:val="single"/>
        </w:rPr>
        <w:t xml:space="preserve">Blinding: </w:t>
      </w:r>
      <w:r w:rsidRPr="00540679">
        <w:rPr>
          <w:rFonts w:ascii="Arial" w:hAnsi="Arial" w:cs="Arial"/>
          <w:bCs/>
          <w:sz w:val="22"/>
          <w:szCs w:val="22"/>
        </w:rPr>
        <w:t>Due to the nature of the intervention, it is not possible to blind the hospitals or clinicians. However, the research staff collecting follow-up data and the data analyst will be blinded.</w:t>
      </w:r>
    </w:p>
    <w:p w14:paraId="0B2056BC" w14:textId="77777777"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u w:val="single"/>
        </w:rPr>
        <w:t xml:space="preserve">Sample size: </w:t>
      </w:r>
      <w:r w:rsidRPr="00540679">
        <w:rPr>
          <w:rFonts w:ascii="Arial" w:hAnsi="Arial" w:cs="Arial"/>
          <w:sz w:val="22"/>
          <w:szCs w:val="22"/>
        </w:rPr>
        <w:t>Based on an effect size of 10% absolute reduction (40% to 30%)</w:t>
      </w:r>
      <w:r w:rsidRPr="00540679">
        <w:rPr>
          <w:rFonts w:ascii="Arial" w:hAnsi="Arial" w:cs="Arial"/>
          <w:noProof/>
          <w:sz w:val="22"/>
          <w:szCs w:val="22"/>
          <w:vertAlign w:val="superscript"/>
        </w:rPr>
        <w:t>10,12</w:t>
      </w:r>
      <w:r w:rsidRPr="00540679">
        <w:rPr>
          <w:rFonts w:ascii="Arial" w:hAnsi="Arial" w:cs="Arial"/>
          <w:sz w:val="22"/>
          <w:szCs w:val="22"/>
        </w:rPr>
        <w:t xml:space="preserve"> in 30-day readmission or ED presentation, an alpha of 0.05 and power of 0.8, a 356 patients per group (712 total) is required. Accounting for an attrition rate of 15%,</w:t>
      </w:r>
      <w:r w:rsidRPr="00540679">
        <w:rPr>
          <w:rFonts w:ascii="Arial" w:hAnsi="Arial" w:cs="Arial"/>
          <w:noProof/>
          <w:sz w:val="22"/>
          <w:szCs w:val="22"/>
          <w:vertAlign w:val="superscript"/>
        </w:rPr>
        <w:t>12</w:t>
      </w:r>
      <w:r w:rsidRPr="00540679">
        <w:rPr>
          <w:rFonts w:ascii="Arial" w:hAnsi="Arial" w:cs="Arial"/>
          <w:sz w:val="22"/>
          <w:szCs w:val="22"/>
        </w:rPr>
        <w:t xml:space="preserve"> the sample size will be </w:t>
      </w:r>
      <w:r w:rsidRPr="00540679">
        <w:rPr>
          <w:rFonts w:ascii="Arial" w:hAnsi="Arial" w:cs="Arial"/>
          <w:sz w:val="22"/>
          <w:szCs w:val="22"/>
        </w:rPr>
        <w:lastRenderedPageBreak/>
        <w:t>increased to 838 patients. In addition, to allow for the clustering design, using a variance inflation factor of 1.1 (i.e., intra class correlation 0.002 between sites), the total sample size required will be 922.</w:t>
      </w:r>
    </w:p>
    <w:p w14:paraId="72AC2AF5" w14:textId="6F1A6032"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u w:val="single"/>
        </w:rPr>
        <w:t xml:space="preserve">Statistical analysis: </w:t>
      </w:r>
      <w:r w:rsidRPr="00540679">
        <w:rPr>
          <w:rFonts w:ascii="Arial" w:hAnsi="Arial" w:cs="Arial"/>
          <w:sz w:val="22"/>
          <w:szCs w:val="22"/>
        </w:rPr>
        <w:t>All analyses will be performed on an intent-to-treat basis. Standard summary statistics will be reported for all</w:t>
      </w:r>
      <w:r w:rsidRPr="00540679">
        <w:rPr>
          <w:rStyle w:val="CommentReference"/>
          <w:rFonts w:ascii="Arial" w:hAnsi="Arial" w:cs="Arial"/>
          <w:sz w:val="22"/>
          <w:szCs w:val="22"/>
        </w:rPr>
        <w:t xml:space="preserve"> </w:t>
      </w:r>
      <w:r w:rsidRPr="00540679">
        <w:rPr>
          <w:rFonts w:ascii="Arial" w:hAnsi="Arial" w:cs="Arial"/>
          <w:sz w:val="22"/>
          <w:szCs w:val="22"/>
        </w:rPr>
        <w:t xml:space="preserve">variables. Comparisons between the intervention and usual care groups will be made using t-tests, Mann-Whitney </w:t>
      </w:r>
      <w:proofErr w:type="gramStart"/>
      <w:r w:rsidRPr="00540679">
        <w:rPr>
          <w:rFonts w:ascii="Arial" w:hAnsi="Arial" w:cs="Arial"/>
          <w:sz w:val="22"/>
          <w:szCs w:val="22"/>
        </w:rPr>
        <w:t>tests</w:t>
      </w:r>
      <w:proofErr w:type="gramEnd"/>
      <w:r w:rsidRPr="00540679">
        <w:rPr>
          <w:rFonts w:ascii="Arial" w:hAnsi="Arial" w:cs="Arial"/>
          <w:sz w:val="22"/>
          <w:szCs w:val="22"/>
        </w:rPr>
        <w:t xml:space="preserve"> or chi-squared tests, depending on the variable of interest. The primary outcome (composite of a first unplanned</w:t>
      </w:r>
      <w:r w:rsidR="595461A0" w:rsidRPr="00540679">
        <w:rPr>
          <w:rFonts w:ascii="Arial" w:hAnsi="Arial" w:cs="Arial"/>
          <w:sz w:val="22"/>
          <w:szCs w:val="22"/>
        </w:rPr>
        <w:t xml:space="preserve"> medication-related</w:t>
      </w:r>
      <w:r w:rsidRPr="00540679">
        <w:rPr>
          <w:rFonts w:ascii="Arial" w:hAnsi="Arial" w:cs="Arial"/>
          <w:sz w:val="22"/>
          <w:szCs w:val="22"/>
        </w:rPr>
        <w:t xml:space="preserve"> hospitalisation or ED presentation within 30 days of hospital discharge) will be assessed using a logistic regression analysis with stratification by site. Subsequently, potential confounders such as age, comorbidities, number of medicines and socioeconomic status will be considered. A competing risk analysis will be performed (death as the competing risk) should there be a considerable number of deaths within 30 days of hospital discharge Sub-group analyses will also be carried out between sites and with Aboriginal and Torres Strait Islander patients. Secondary outcomes will be analysed similarly to the primary outcome. Appropriate regressions will be used to compare the two groups' unplanned bed days and medicine counts. Sensitivity analyses using a per-protocol approach will also be performed. A two-sided p-value ≤ 0.05 will be considered statistically significant.</w:t>
      </w:r>
    </w:p>
    <w:p w14:paraId="51F8EFD7" w14:textId="77777777" w:rsidR="00C87444" w:rsidRPr="00540679" w:rsidRDefault="00C87444" w:rsidP="00E10130">
      <w:pPr>
        <w:spacing w:afterLines="80" w:after="192" w:line="276" w:lineRule="auto"/>
        <w:rPr>
          <w:rFonts w:ascii="Arial" w:hAnsi="Arial" w:cs="Arial"/>
          <w:b/>
          <w:bCs/>
          <w:sz w:val="22"/>
          <w:szCs w:val="22"/>
        </w:rPr>
      </w:pPr>
      <w:r w:rsidRPr="00540679">
        <w:rPr>
          <w:rFonts w:ascii="Arial" w:hAnsi="Arial" w:cs="Arial"/>
          <w:b/>
          <w:bCs/>
          <w:sz w:val="22"/>
          <w:szCs w:val="22"/>
        </w:rPr>
        <w:t xml:space="preserve">Aim 2: </w:t>
      </w:r>
      <w:r w:rsidRPr="00540679">
        <w:rPr>
          <w:rFonts w:ascii="Arial" w:hAnsi="Arial" w:cs="Arial"/>
          <w:b/>
          <w:bCs/>
          <w:color w:val="000000" w:themeColor="text1"/>
          <w:sz w:val="22"/>
          <w:szCs w:val="22"/>
        </w:rPr>
        <w:t xml:space="preserve">To determine the cost-effectiveness of </w:t>
      </w:r>
      <w:r w:rsidRPr="00540679">
        <w:rPr>
          <w:rFonts w:ascii="Arial" w:hAnsi="Arial" w:cs="Arial"/>
          <w:b/>
          <w:bCs/>
          <w:sz w:val="22"/>
          <w:szCs w:val="22"/>
        </w:rPr>
        <w:t>the TIC TOC intervention compared to the usual care scenario</w:t>
      </w:r>
    </w:p>
    <w:p w14:paraId="5615E83E" w14:textId="77777777"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rPr>
        <w:t xml:space="preserve">A within-trial cost-effectiveness analysis of the </w:t>
      </w:r>
      <w:r w:rsidRPr="00540679">
        <w:rPr>
          <w:rFonts w:ascii="Arial" w:hAnsi="Arial" w:cs="Arial"/>
          <w:color w:val="000000" w:themeColor="text1"/>
          <w:sz w:val="22"/>
          <w:szCs w:val="22"/>
        </w:rPr>
        <w:t>TIC TOC intervention on 30-day hospital readmissions and ED presentations in regional and rural hospitals</w:t>
      </w:r>
      <w:r w:rsidRPr="00540679">
        <w:rPr>
          <w:rFonts w:ascii="Arial" w:hAnsi="Arial" w:cs="Arial"/>
          <w:sz w:val="22"/>
          <w:szCs w:val="22"/>
        </w:rPr>
        <w:t xml:space="preserve"> will be undertaken from the health system perspective. The comparator will be the current model of care, and the primary outcomes of the economic analyses include unplanned readmissions and ED visits and medication-related problems identified during the post-discharge 'cycle of care'). Incremental cost-effectiveness ratios (ICERs) will be calculated as the incremental cost per unplanned hospitalisation/ED visit (for all unplanned cases and medication-related harm cases).</w:t>
      </w:r>
    </w:p>
    <w:p w14:paraId="61C23408" w14:textId="77777777" w:rsidR="00E735A5"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rPr>
        <w:t xml:space="preserve">The analysis will consist of three main parts. First, primary outcomes for each treatment arm are calculated (TIC TOC intervention versus best usual care). Second, all costs to implement the intervention and usual care throughout the trial are accounted. Costs might include staff time, training, and any additional resources required to deliver and engage stakeholders. For each patient, we will collect information related to their health service use within each care cycle. These data be either captured by the hospitals' electronic record systems or follow-up enquiries (see description below). Costs will be valued based on government charges using publicly available data and reported in Australian dollars. Third, the cost-effectiveness analysis will be modelled using techniques appropriate for RCT and the non-normal nature of both the cost and outcome variables (e.g., a generalised linear model with robust standard errors). </w:t>
      </w:r>
    </w:p>
    <w:p w14:paraId="2E0FE9CE" w14:textId="77777777" w:rsidR="00E735A5" w:rsidRPr="00540679" w:rsidRDefault="00C87444" w:rsidP="00E10130">
      <w:pPr>
        <w:spacing w:afterLines="80" w:after="192" w:line="276" w:lineRule="auto"/>
        <w:jc w:val="both"/>
        <w:rPr>
          <w:rFonts w:ascii="Arial" w:hAnsi="Arial" w:cs="Arial"/>
          <w:noProof/>
          <w:sz w:val="22"/>
          <w:szCs w:val="22"/>
          <w:vertAlign w:val="superscript"/>
        </w:rPr>
      </w:pPr>
      <w:r w:rsidRPr="00540679">
        <w:rPr>
          <w:rFonts w:ascii="Arial" w:hAnsi="Arial" w:cs="Arial"/>
          <w:sz w:val="22"/>
          <w:szCs w:val="22"/>
        </w:rPr>
        <w:t>Following the base case analysis, univariate and probabilistic sensitivity analyses will be conducted around key parameters likely to influence the cost and effectiveness estimates, including variability in the sampling, trial sites, and patient populations by risk factors.</w:t>
      </w:r>
      <w:r w:rsidRPr="00540679">
        <w:rPr>
          <w:rFonts w:ascii="Arial" w:hAnsi="Arial" w:cs="Arial"/>
          <w:noProof/>
          <w:sz w:val="22"/>
          <w:szCs w:val="22"/>
          <w:vertAlign w:val="superscript"/>
        </w:rPr>
        <w:t>3</w:t>
      </w:r>
      <w:r w:rsidR="7CD4CFD6" w:rsidRPr="00540679">
        <w:rPr>
          <w:rFonts w:ascii="Arial" w:hAnsi="Arial" w:cs="Arial"/>
          <w:noProof/>
          <w:sz w:val="22"/>
          <w:szCs w:val="22"/>
          <w:vertAlign w:val="superscript"/>
        </w:rPr>
        <w:t>5</w:t>
      </w:r>
      <w:r w:rsidRPr="00540679">
        <w:rPr>
          <w:rFonts w:ascii="Arial" w:hAnsi="Arial" w:cs="Arial"/>
          <w:noProof/>
          <w:sz w:val="22"/>
          <w:szCs w:val="22"/>
          <w:vertAlign w:val="superscript"/>
        </w:rPr>
        <w:t xml:space="preserve"> </w:t>
      </w:r>
    </w:p>
    <w:p w14:paraId="217B63E6" w14:textId="2654F93B" w:rsidR="00C87444" w:rsidRPr="00540679" w:rsidRDefault="00E735A5" w:rsidP="00E10130">
      <w:pPr>
        <w:spacing w:afterLines="80" w:after="192" w:line="276" w:lineRule="auto"/>
        <w:jc w:val="both"/>
        <w:rPr>
          <w:rFonts w:ascii="Arial" w:hAnsi="Arial" w:cs="Arial"/>
          <w:sz w:val="22"/>
          <w:szCs w:val="22"/>
        </w:rPr>
      </w:pPr>
      <w:r w:rsidRPr="00540679">
        <w:rPr>
          <w:rFonts w:ascii="Arial" w:hAnsi="Arial" w:cs="Arial"/>
          <w:sz w:val="22"/>
          <w:szCs w:val="22"/>
        </w:rPr>
        <w:t xml:space="preserve">We will conduct a supplementary economic analysis using an alternative outcome - health related quality of life </w:t>
      </w:r>
      <w:r w:rsidR="003C2986" w:rsidRPr="00540679">
        <w:rPr>
          <w:rFonts w:ascii="Arial" w:hAnsi="Arial" w:cs="Arial"/>
          <w:sz w:val="22"/>
          <w:szCs w:val="22"/>
        </w:rPr>
        <w:t xml:space="preserve">measured by the </w:t>
      </w:r>
      <w:r w:rsidR="00C87444" w:rsidRPr="00540679">
        <w:rPr>
          <w:rFonts w:ascii="Arial" w:hAnsi="Arial" w:cs="Arial"/>
          <w:sz w:val="22"/>
          <w:szCs w:val="22"/>
        </w:rPr>
        <w:t>EQ5D-5L,</w:t>
      </w:r>
      <w:r w:rsidRPr="00540679">
        <w:rPr>
          <w:rFonts w:ascii="Arial" w:hAnsi="Arial" w:cs="Arial"/>
          <w:sz w:val="22"/>
          <w:szCs w:val="22"/>
        </w:rPr>
        <w:t xml:space="preserve"> to </w:t>
      </w:r>
      <w:r w:rsidR="00C87444" w:rsidRPr="00540679">
        <w:rPr>
          <w:rFonts w:ascii="Arial" w:hAnsi="Arial" w:cs="Arial"/>
          <w:sz w:val="22"/>
          <w:szCs w:val="22"/>
        </w:rPr>
        <w:t>compar</w:t>
      </w:r>
      <w:r w:rsidRPr="00540679">
        <w:rPr>
          <w:rFonts w:ascii="Arial" w:hAnsi="Arial" w:cs="Arial"/>
          <w:sz w:val="22"/>
          <w:szCs w:val="22"/>
        </w:rPr>
        <w:t>e</w:t>
      </w:r>
      <w:r w:rsidR="00C87444" w:rsidRPr="00540679">
        <w:rPr>
          <w:rFonts w:ascii="Arial" w:hAnsi="Arial" w:cs="Arial"/>
          <w:sz w:val="22"/>
          <w:szCs w:val="22"/>
        </w:rPr>
        <w:t xml:space="preserve"> </w:t>
      </w:r>
      <w:r w:rsidRPr="00540679">
        <w:rPr>
          <w:rFonts w:ascii="Arial" w:hAnsi="Arial" w:cs="Arial"/>
          <w:sz w:val="22"/>
          <w:szCs w:val="22"/>
        </w:rPr>
        <w:t xml:space="preserve">the cost effectiveness of </w:t>
      </w:r>
      <w:r w:rsidR="00C87444" w:rsidRPr="00540679">
        <w:rPr>
          <w:rFonts w:ascii="Arial" w:hAnsi="Arial" w:cs="Arial"/>
          <w:sz w:val="22"/>
          <w:szCs w:val="22"/>
        </w:rPr>
        <w:t xml:space="preserve">TIC TOC intervention </w:t>
      </w:r>
      <w:r w:rsidR="003C2986" w:rsidRPr="00540679">
        <w:rPr>
          <w:rFonts w:ascii="Arial" w:hAnsi="Arial" w:cs="Arial"/>
          <w:sz w:val="22"/>
          <w:szCs w:val="22"/>
        </w:rPr>
        <w:t xml:space="preserve">to </w:t>
      </w:r>
      <w:r w:rsidR="00C87444" w:rsidRPr="00540679">
        <w:rPr>
          <w:rFonts w:ascii="Arial" w:hAnsi="Arial" w:cs="Arial"/>
          <w:sz w:val="22"/>
          <w:szCs w:val="22"/>
        </w:rPr>
        <w:t>best usual care</w:t>
      </w:r>
      <w:r w:rsidR="003C2986" w:rsidRPr="00540679">
        <w:rPr>
          <w:rFonts w:ascii="Arial" w:hAnsi="Arial" w:cs="Arial"/>
          <w:sz w:val="22"/>
          <w:szCs w:val="22"/>
        </w:rPr>
        <w:t xml:space="preserve"> from </w:t>
      </w:r>
      <w:r w:rsidR="004107F6" w:rsidRPr="00540679">
        <w:rPr>
          <w:rFonts w:ascii="Arial" w:hAnsi="Arial" w:cs="Arial"/>
          <w:sz w:val="22"/>
          <w:szCs w:val="22"/>
        </w:rPr>
        <w:t>quality-of-life</w:t>
      </w:r>
      <w:r w:rsidR="003C2986" w:rsidRPr="00540679">
        <w:rPr>
          <w:rFonts w:ascii="Arial" w:hAnsi="Arial" w:cs="Arial"/>
          <w:sz w:val="22"/>
          <w:szCs w:val="22"/>
        </w:rPr>
        <w:t xml:space="preserve"> perspective. W</w:t>
      </w:r>
      <w:r w:rsidR="00C87444" w:rsidRPr="00540679">
        <w:rPr>
          <w:rFonts w:ascii="Arial" w:hAnsi="Arial" w:cs="Arial"/>
          <w:sz w:val="22"/>
          <w:szCs w:val="22"/>
        </w:rPr>
        <w:t xml:space="preserve">e will convert the </w:t>
      </w:r>
      <w:r w:rsidR="003C2986" w:rsidRPr="00540679">
        <w:rPr>
          <w:rFonts w:ascii="Arial" w:hAnsi="Arial" w:cs="Arial"/>
          <w:sz w:val="22"/>
          <w:szCs w:val="22"/>
        </w:rPr>
        <w:t xml:space="preserve">EQ5D-5L scores into </w:t>
      </w:r>
      <w:r w:rsidR="00C87444" w:rsidRPr="00540679">
        <w:rPr>
          <w:rFonts w:ascii="Arial" w:hAnsi="Arial" w:cs="Arial"/>
          <w:sz w:val="22"/>
          <w:szCs w:val="22"/>
        </w:rPr>
        <w:t>utility</w:t>
      </w:r>
      <w:r w:rsidR="003C2986" w:rsidRPr="00540679">
        <w:rPr>
          <w:rFonts w:ascii="Arial" w:hAnsi="Arial" w:cs="Arial"/>
          <w:sz w:val="22"/>
          <w:szCs w:val="22"/>
        </w:rPr>
        <w:t xml:space="preserve">, which will be used as the input for the </w:t>
      </w:r>
      <w:r w:rsidR="00C87444" w:rsidRPr="00540679">
        <w:rPr>
          <w:rFonts w:ascii="Arial" w:hAnsi="Arial" w:cs="Arial"/>
          <w:sz w:val="22"/>
          <w:szCs w:val="22"/>
        </w:rPr>
        <w:t>cost-utility analysis. This analysis follows the same procedure and uses similar econometrics techniques as the (primary) cost-</w:t>
      </w:r>
      <w:r w:rsidR="00C87444" w:rsidRPr="00540679">
        <w:rPr>
          <w:rFonts w:ascii="Arial" w:hAnsi="Arial" w:cs="Arial"/>
          <w:sz w:val="22"/>
          <w:szCs w:val="22"/>
        </w:rPr>
        <w:lastRenderedPageBreak/>
        <w:t xml:space="preserve">effectiveness analysis described above. Its outcome will offer additional evidence regarding the cost-effectiveness nature of the intervention. </w:t>
      </w:r>
    </w:p>
    <w:p w14:paraId="15B42C13" w14:textId="77777777" w:rsidR="00C87444" w:rsidRPr="00540679" w:rsidRDefault="00C87444" w:rsidP="00E10130">
      <w:pPr>
        <w:spacing w:afterLines="80" w:after="192" w:line="276" w:lineRule="auto"/>
        <w:rPr>
          <w:rFonts w:ascii="Arial" w:hAnsi="Arial" w:cs="Arial"/>
          <w:b/>
          <w:bCs/>
          <w:color w:val="000000" w:themeColor="text1"/>
          <w:sz w:val="22"/>
          <w:szCs w:val="22"/>
        </w:rPr>
      </w:pPr>
      <w:r w:rsidRPr="00540679">
        <w:rPr>
          <w:rFonts w:ascii="Arial" w:hAnsi="Arial" w:cs="Arial"/>
          <w:b/>
          <w:bCs/>
          <w:color w:val="000000" w:themeColor="text1"/>
          <w:sz w:val="22"/>
          <w:szCs w:val="22"/>
        </w:rPr>
        <w:t>Aim 3: To explore factors affecting the implementation of t</w:t>
      </w:r>
      <w:r w:rsidRPr="00540679">
        <w:rPr>
          <w:rFonts w:ascii="Arial" w:hAnsi="Arial" w:cs="Arial"/>
          <w:b/>
          <w:bCs/>
          <w:sz w:val="22"/>
          <w:szCs w:val="22"/>
        </w:rPr>
        <w:t>he TIC TOC intervention</w:t>
      </w:r>
      <w:r w:rsidRPr="00540679">
        <w:rPr>
          <w:rFonts w:ascii="Arial" w:hAnsi="Arial" w:cs="Arial"/>
          <w:b/>
          <w:bCs/>
          <w:color w:val="000000" w:themeColor="text1"/>
          <w:sz w:val="22"/>
          <w:szCs w:val="22"/>
        </w:rPr>
        <w:t xml:space="preserve"> by patients and clinicians.</w:t>
      </w:r>
    </w:p>
    <w:p w14:paraId="3C0B8D40" w14:textId="14844F03"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sz w:val="22"/>
          <w:szCs w:val="22"/>
        </w:rPr>
        <w:t xml:space="preserve">For this proposal we will also </w:t>
      </w:r>
      <w:r w:rsidR="0087686D" w:rsidRPr="00540679">
        <w:rPr>
          <w:rFonts w:ascii="Arial" w:hAnsi="Arial" w:cs="Arial"/>
          <w:sz w:val="22"/>
          <w:szCs w:val="22"/>
        </w:rPr>
        <w:t>conduct</w:t>
      </w:r>
      <w:r w:rsidRPr="00540679">
        <w:rPr>
          <w:rFonts w:ascii="Arial" w:hAnsi="Arial" w:cs="Arial"/>
          <w:sz w:val="22"/>
          <w:szCs w:val="22"/>
        </w:rPr>
        <w:t xml:space="preserve"> interviews </w:t>
      </w:r>
      <w:r w:rsidR="00EC7C9A">
        <w:rPr>
          <w:rFonts w:ascii="Arial" w:hAnsi="Arial" w:cs="Arial"/>
          <w:sz w:val="22"/>
          <w:szCs w:val="22"/>
        </w:rPr>
        <w:t>before and after the</w:t>
      </w:r>
      <w:r w:rsidRPr="00540679">
        <w:rPr>
          <w:rFonts w:ascii="Arial" w:hAnsi="Arial" w:cs="Arial"/>
          <w:sz w:val="22"/>
          <w:szCs w:val="22"/>
        </w:rPr>
        <w:t xml:space="preserve"> implementation using qualitative one-on-one semi-structured interviews with patients and clinicians (</w:t>
      </w:r>
      <w:proofErr w:type="spellStart"/>
      <w:r w:rsidRPr="00540679">
        <w:rPr>
          <w:rFonts w:ascii="Arial" w:hAnsi="Arial" w:cs="Arial"/>
          <w:sz w:val="22"/>
          <w:szCs w:val="22"/>
        </w:rPr>
        <w:t>e.g</w:t>
      </w:r>
      <w:proofErr w:type="spellEnd"/>
      <w:r w:rsidRPr="00540679">
        <w:rPr>
          <w:rFonts w:ascii="Arial" w:hAnsi="Arial" w:cs="Arial"/>
          <w:sz w:val="22"/>
          <w:szCs w:val="22"/>
        </w:rPr>
        <w:t xml:space="preserve"> doctors, </w:t>
      </w:r>
      <w:proofErr w:type="gramStart"/>
      <w:r w:rsidRPr="00540679">
        <w:rPr>
          <w:rFonts w:ascii="Arial" w:hAnsi="Arial" w:cs="Arial"/>
          <w:sz w:val="22"/>
          <w:szCs w:val="22"/>
        </w:rPr>
        <w:t>nurses</w:t>
      </w:r>
      <w:proofErr w:type="gramEnd"/>
      <w:r w:rsidRPr="00540679">
        <w:rPr>
          <w:rFonts w:ascii="Arial" w:hAnsi="Arial" w:cs="Arial"/>
          <w:sz w:val="22"/>
          <w:szCs w:val="22"/>
        </w:rPr>
        <w:t xml:space="preserve"> and pharmacists) to determine their beliefs, attitudes and perceived acceptability, facilitators and barriers to the implementation of the intervention. Interviews will be conducted by investigators who possess training in qualitative research methods using telephone or videoconferencing.</w:t>
      </w:r>
    </w:p>
    <w:p w14:paraId="22369A82" w14:textId="0943BED1" w:rsidR="00C87444" w:rsidRPr="00540679" w:rsidRDefault="00C87444" w:rsidP="00E10130">
      <w:pPr>
        <w:spacing w:afterLines="80" w:after="192" w:line="276" w:lineRule="auto"/>
        <w:jc w:val="both"/>
        <w:rPr>
          <w:rFonts w:ascii="Arial" w:hAnsi="Arial" w:cs="Arial"/>
          <w:sz w:val="22"/>
          <w:szCs w:val="22"/>
        </w:rPr>
      </w:pPr>
      <w:r w:rsidRPr="00540679">
        <w:rPr>
          <w:rFonts w:ascii="Arial" w:hAnsi="Arial" w:cs="Arial"/>
          <w:color w:val="000000" w:themeColor="text1"/>
          <w:sz w:val="22"/>
          <w:szCs w:val="22"/>
        </w:rPr>
        <w:t xml:space="preserve">Interviews will be conducted until saturation of themes is identified. Based on previous studies, this will occur after </w:t>
      </w:r>
      <w:r w:rsidR="26F82750" w:rsidRPr="00540679">
        <w:rPr>
          <w:rFonts w:ascii="Arial" w:hAnsi="Arial" w:cs="Arial"/>
          <w:color w:val="000000" w:themeColor="text1"/>
          <w:sz w:val="22"/>
          <w:szCs w:val="22"/>
        </w:rPr>
        <w:t xml:space="preserve">approximately </w:t>
      </w:r>
      <w:r w:rsidRPr="00540679">
        <w:rPr>
          <w:rFonts w:ascii="Arial" w:hAnsi="Arial" w:cs="Arial"/>
          <w:sz w:val="22"/>
          <w:szCs w:val="22"/>
        </w:rPr>
        <w:t>60 interviews (30 patients and 30 clinicians)</w:t>
      </w:r>
      <w:r w:rsidR="62E92B13" w:rsidRPr="00540679">
        <w:rPr>
          <w:rFonts w:ascii="Arial" w:hAnsi="Arial" w:cs="Arial"/>
          <w:sz w:val="22"/>
          <w:szCs w:val="22"/>
        </w:rPr>
        <w:t xml:space="preserve"> but may occur sooner</w:t>
      </w:r>
      <w:r w:rsidRPr="00540679">
        <w:rPr>
          <w:rFonts w:ascii="Arial" w:hAnsi="Arial" w:cs="Arial"/>
          <w:sz w:val="22"/>
          <w:szCs w:val="22"/>
        </w:rPr>
        <w:t>.</w:t>
      </w:r>
      <w:r w:rsidRPr="00540679">
        <w:rPr>
          <w:rFonts w:ascii="Arial" w:hAnsi="Arial" w:cs="Arial"/>
          <w:noProof/>
          <w:sz w:val="22"/>
          <w:szCs w:val="22"/>
          <w:vertAlign w:val="superscript"/>
        </w:rPr>
        <w:t>3</w:t>
      </w:r>
      <w:r w:rsidR="3614528A" w:rsidRPr="00540679">
        <w:rPr>
          <w:rFonts w:ascii="Arial" w:hAnsi="Arial" w:cs="Arial"/>
          <w:noProof/>
          <w:sz w:val="22"/>
          <w:szCs w:val="22"/>
          <w:vertAlign w:val="superscript"/>
        </w:rPr>
        <w:t xml:space="preserve">8 </w:t>
      </w:r>
      <w:r w:rsidRPr="00540679">
        <w:rPr>
          <w:rFonts w:ascii="Arial" w:hAnsi="Arial" w:cs="Arial"/>
          <w:sz w:val="22"/>
          <w:szCs w:val="22"/>
        </w:rPr>
        <w:t>The interview guide will be based on the consolidated framework for implementation research.</w:t>
      </w:r>
      <w:r w:rsidRPr="00540679">
        <w:rPr>
          <w:rFonts w:ascii="Arial" w:hAnsi="Arial" w:cs="Arial"/>
          <w:noProof/>
          <w:sz w:val="22"/>
          <w:szCs w:val="22"/>
          <w:vertAlign w:val="superscript"/>
        </w:rPr>
        <w:t>20</w:t>
      </w:r>
      <w:r w:rsidRPr="00540679">
        <w:rPr>
          <w:rFonts w:ascii="Arial" w:hAnsi="Arial" w:cs="Arial"/>
          <w:sz w:val="22"/>
          <w:szCs w:val="22"/>
        </w:rPr>
        <w:t xml:space="preserve"> </w:t>
      </w:r>
      <w:r w:rsidRPr="00540679">
        <w:rPr>
          <w:rFonts w:ascii="Arial" w:hAnsi="Arial" w:cs="Arial"/>
          <w:color w:val="000000" w:themeColor="text1"/>
          <w:sz w:val="22"/>
          <w:szCs w:val="22"/>
        </w:rPr>
        <w:t>I</w:t>
      </w:r>
      <w:r w:rsidRPr="00540679">
        <w:rPr>
          <w:rFonts w:ascii="Arial" w:hAnsi="Arial" w:cs="Arial"/>
          <w:sz w:val="22"/>
          <w:szCs w:val="22"/>
        </w:rPr>
        <w:t>nterviews will be transcribed and analysed using inductive thematic analysis. Interview questions and analysis will be iterative throughout the study, allowing emerging themes to be examined in later interviews. Data analyses will follow the methodology proposed by Bernard and Ryan.</w:t>
      </w:r>
      <w:r w:rsidR="647BAAF7" w:rsidRPr="00540679">
        <w:rPr>
          <w:rFonts w:ascii="Arial" w:hAnsi="Arial" w:cs="Arial"/>
          <w:noProof/>
          <w:sz w:val="22"/>
          <w:szCs w:val="22"/>
          <w:vertAlign w:val="superscript"/>
        </w:rPr>
        <w:t>39</w:t>
      </w:r>
      <w:r w:rsidRPr="00540679">
        <w:rPr>
          <w:rFonts w:ascii="Arial" w:hAnsi="Arial" w:cs="Arial"/>
          <w:sz w:val="22"/>
          <w:szCs w:val="22"/>
        </w:rPr>
        <w:t xml:space="preserve"> Concordant processes of memo-</w:t>
      </w:r>
      <w:proofErr w:type="spellStart"/>
      <w:r w:rsidRPr="00540679">
        <w:rPr>
          <w:rFonts w:ascii="Arial" w:hAnsi="Arial" w:cs="Arial"/>
          <w:sz w:val="22"/>
          <w:szCs w:val="22"/>
        </w:rPr>
        <w:t>ing</w:t>
      </w:r>
      <w:proofErr w:type="spellEnd"/>
      <w:r w:rsidRPr="00540679">
        <w:rPr>
          <w:rFonts w:ascii="Arial" w:hAnsi="Arial" w:cs="Arial"/>
          <w:sz w:val="22"/>
          <w:szCs w:val="22"/>
        </w:rPr>
        <w:t xml:space="preserve"> on codes will enable the clustering of related codes into categories. Two independent researchers will use constant comparative analysis to refine codes and categories.</w:t>
      </w:r>
      <w:r w:rsidR="48606613" w:rsidRPr="00540679">
        <w:rPr>
          <w:rFonts w:ascii="Arial" w:hAnsi="Arial" w:cs="Arial"/>
          <w:noProof/>
          <w:sz w:val="22"/>
          <w:szCs w:val="22"/>
          <w:vertAlign w:val="superscript"/>
        </w:rPr>
        <w:t>39</w:t>
      </w:r>
      <w:r w:rsidRPr="00540679">
        <w:rPr>
          <w:rFonts w:ascii="Arial" w:hAnsi="Arial" w:cs="Arial"/>
          <w:sz w:val="22"/>
          <w:szCs w:val="22"/>
        </w:rPr>
        <w:t xml:space="preserve"> Any disagreements will be discussed with a third researcher to reach consensus.</w:t>
      </w:r>
    </w:p>
    <w:p w14:paraId="5CCAE10B" w14:textId="77777777" w:rsidR="00F53531" w:rsidRPr="00540679" w:rsidRDefault="00F53531" w:rsidP="00E10130">
      <w:pPr>
        <w:spacing w:afterLines="80" w:after="192" w:line="276" w:lineRule="auto"/>
        <w:jc w:val="both"/>
        <w:rPr>
          <w:rFonts w:ascii="Arial" w:hAnsi="Arial" w:cs="Arial"/>
          <w:sz w:val="22"/>
          <w:szCs w:val="22"/>
        </w:rPr>
      </w:pPr>
    </w:p>
    <w:p w14:paraId="1B7B8F58" w14:textId="77777777" w:rsidR="00F53531" w:rsidRPr="00540679" w:rsidRDefault="00F53531" w:rsidP="00E10130">
      <w:pPr>
        <w:spacing w:afterLines="80" w:after="192" w:line="276" w:lineRule="auto"/>
        <w:jc w:val="both"/>
        <w:rPr>
          <w:rFonts w:ascii="Arial" w:hAnsi="Arial" w:cs="Arial"/>
          <w:sz w:val="22"/>
          <w:szCs w:val="22"/>
        </w:rPr>
      </w:pPr>
    </w:p>
    <w:p w14:paraId="4AD30DCF" w14:textId="77777777" w:rsidR="00F53531" w:rsidRPr="00540679" w:rsidRDefault="00F53531" w:rsidP="00E10130">
      <w:pPr>
        <w:spacing w:afterLines="80" w:after="192" w:line="276" w:lineRule="auto"/>
        <w:jc w:val="both"/>
        <w:rPr>
          <w:rFonts w:ascii="Arial" w:hAnsi="Arial" w:cs="Arial"/>
          <w:sz w:val="22"/>
          <w:szCs w:val="22"/>
        </w:rPr>
      </w:pPr>
    </w:p>
    <w:p w14:paraId="470DE015" w14:textId="77777777" w:rsidR="00450484" w:rsidRPr="00540679" w:rsidRDefault="00450484" w:rsidP="006640D1">
      <w:pPr>
        <w:rPr>
          <w:rFonts w:ascii="Arial" w:hAnsi="Arial" w:cs="Arial"/>
          <w:sz w:val="22"/>
          <w:szCs w:val="22"/>
        </w:rPr>
      </w:pPr>
    </w:p>
    <w:p w14:paraId="7A5A665C" w14:textId="77777777" w:rsidR="00450484" w:rsidRPr="00540679" w:rsidRDefault="00450484" w:rsidP="00450484">
      <w:pPr>
        <w:spacing w:line="276" w:lineRule="auto"/>
        <w:outlineLvl w:val="0"/>
        <w:rPr>
          <w:rFonts w:ascii="Arial" w:hAnsi="Arial" w:cs="Arial"/>
          <w:b/>
          <w:sz w:val="22"/>
          <w:szCs w:val="22"/>
        </w:rPr>
      </w:pPr>
      <w:r w:rsidRPr="00540679">
        <w:rPr>
          <w:rFonts w:ascii="Arial" w:hAnsi="Arial" w:cs="Arial"/>
          <w:b/>
          <w:sz w:val="22"/>
          <w:szCs w:val="22"/>
        </w:rPr>
        <w:t xml:space="preserve">6.  </w:t>
      </w:r>
      <w:r w:rsidRPr="00540679">
        <w:rPr>
          <w:rFonts w:ascii="Arial" w:hAnsi="Arial" w:cs="Arial"/>
          <w:b/>
          <w:bCs/>
          <w:sz w:val="22"/>
          <w:szCs w:val="22"/>
        </w:rPr>
        <w:t>MILESTONES AND PERFORMANCE INDICATORS</w:t>
      </w:r>
      <w:r w:rsidRPr="00540679">
        <w:rPr>
          <w:rFonts w:ascii="Arial" w:hAnsi="Arial" w:cs="Arial"/>
          <w:sz w:val="22"/>
          <w:szCs w:val="22"/>
        </w:rPr>
        <w:t xml:space="preserve"> </w:t>
      </w:r>
    </w:p>
    <w:p w14:paraId="5F1C2332" w14:textId="77777777" w:rsidR="00C87444" w:rsidRPr="00540679" w:rsidRDefault="00C87444" w:rsidP="00E10130">
      <w:pPr>
        <w:pStyle w:val="ListParagraph"/>
        <w:numPr>
          <w:ilvl w:val="0"/>
          <w:numId w:val="0"/>
        </w:numPr>
        <w:spacing w:afterLines="80" w:after="192"/>
        <w:ind w:left="360"/>
        <w:rPr>
          <w:rFonts w:ascii="Arial" w:hAnsi="Arial" w:cs="Arial"/>
          <w:sz w:val="22"/>
          <w:szCs w:val="22"/>
        </w:rPr>
      </w:pPr>
      <w:r w:rsidRPr="00540679">
        <w:rPr>
          <w:rFonts w:ascii="Arial" w:hAnsi="Arial" w:cs="Arial"/>
          <w:b/>
          <w:bCs/>
          <w:sz w:val="22"/>
          <w:szCs w:val="22"/>
        </w:rPr>
        <w:t>Milestones and Performance Indicators</w:t>
      </w:r>
      <w:r w:rsidRPr="00540679">
        <w:rPr>
          <w:rFonts w:ascii="Arial" w:hAnsi="Arial" w:cs="Arial"/>
          <w:sz w:val="22"/>
          <w:szCs w:val="22"/>
        </w:rPr>
        <w:t xml:space="preserve"> </w:t>
      </w:r>
    </w:p>
    <w:p w14:paraId="557F2E2C" w14:textId="1CFA5E7F" w:rsidR="00C87444" w:rsidRPr="00540679" w:rsidRDefault="00C87444" w:rsidP="006640D1">
      <w:pPr>
        <w:jc w:val="both"/>
        <w:rPr>
          <w:rFonts w:ascii="Arial" w:hAnsi="Arial" w:cs="Arial"/>
          <w:sz w:val="22"/>
          <w:szCs w:val="22"/>
        </w:rPr>
      </w:pPr>
      <w:r w:rsidRPr="00540679">
        <w:rPr>
          <w:rFonts w:ascii="Arial" w:hAnsi="Arial" w:cs="Arial"/>
          <w:b/>
          <w:bCs/>
          <w:sz w:val="22"/>
          <w:szCs w:val="22"/>
        </w:rPr>
        <w:t xml:space="preserve">Table </w:t>
      </w:r>
      <w:r w:rsidR="008F4EE8" w:rsidRPr="00540679">
        <w:rPr>
          <w:rFonts w:ascii="Arial" w:hAnsi="Arial" w:cs="Arial"/>
          <w:b/>
          <w:bCs/>
          <w:sz w:val="22"/>
          <w:szCs w:val="22"/>
        </w:rPr>
        <w:t>4</w:t>
      </w:r>
      <w:r w:rsidRPr="00540679">
        <w:rPr>
          <w:rFonts w:ascii="Arial" w:hAnsi="Arial" w:cs="Arial"/>
          <w:b/>
          <w:bCs/>
          <w:sz w:val="22"/>
          <w:szCs w:val="22"/>
        </w:rPr>
        <w:t>.</w:t>
      </w:r>
      <w:r w:rsidRPr="00540679">
        <w:rPr>
          <w:rFonts w:ascii="Arial" w:hAnsi="Arial" w:cs="Arial"/>
          <w:b/>
          <w:sz w:val="22"/>
          <w:szCs w:val="22"/>
        </w:rPr>
        <w:t xml:space="preserve"> </w:t>
      </w:r>
      <w:r w:rsidRPr="00540679">
        <w:rPr>
          <w:rFonts w:ascii="Arial" w:hAnsi="Arial" w:cs="Arial"/>
          <w:sz w:val="22"/>
          <w:szCs w:val="22"/>
        </w:rPr>
        <w:t>Gantt Chart, project milestones and performance indicators.</w:t>
      </w:r>
    </w:p>
    <w:tbl>
      <w:tblPr>
        <w:tblStyle w:val="TableGrid"/>
        <w:tblW w:w="9895" w:type="dxa"/>
        <w:tblLook w:val="04A0" w:firstRow="1" w:lastRow="0" w:firstColumn="1" w:lastColumn="0" w:noHBand="0" w:noVBand="1"/>
      </w:tblPr>
      <w:tblGrid>
        <w:gridCol w:w="1670"/>
        <w:gridCol w:w="510"/>
        <w:gridCol w:w="510"/>
        <w:gridCol w:w="510"/>
        <w:gridCol w:w="510"/>
        <w:gridCol w:w="510"/>
        <w:gridCol w:w="510"/>
        <w:gridCol w:w="510"/>
        <w:gridCol w:w="510"/>
        <w:gridCol w:w="510"/>
        <w:gridCol w:w="510"/>
        <w:gridCol w:w="510"/>
        <w:gridCol w:w="510"/>
        <w:gridCol w:w="510"/>
        <w:gridCol w:w="510"/>
        <w:gridCol w:w="510"/>
        <w:gridCol w:w="575"/>
      </w:tblGrid>
      <w:tr w:rsidR="00C87444" w:rsidRPr="00540679" w14:paraId="35F6B793" w14:textId="77777777">
        <w:trPr>
          <w:trHeight w:val="249"/>
        </w:trPr>
        <w:tc>
          <w:tcPr>
            <w:tcW w:w="1971" w:type="dxa"/>
            <w:vMerge w:val="restart"/>
            <w:tcBorders>
              <w:right w:val="single" w:sz="4" w:space="0" w:color="auto"/>
            </w:tcBorders>
          </w:tcPr>
          <w:p w14:paraId="0B1B353D"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Task</w:t>
            </w:r>
          </w:p>
        </w:tc>
        <w:tc>
          <w:tcPr>
            <w:tcW w:w="970" w:type="dxa"/>
            <w:gridSpan w:val="2"/>
            <w:tcBorders>
              <w:top w:val="single" w:sz="4" w:space="0" w:color="auto"/>
              <w:left w:val="single" w:sz="4" w:space="0" w:color="auto"/>
              <w:bottom w:val="single" w:sz="4" w:space="0" w:color="auto"/>
              <w:right w:val="single" w:sz="4" w:space="0" w:color="auto"/>
            </w:tcBorders>
          </w:tcPr>
          <w:p w14:paraId="2DD6242D"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2023</w:t>
            </w:r>
          </w:p>
        </w:tc>
        <w:tc>
          <w:tcPr>
            <w:tcW w:w="0" w:type="auto"/>
            <w:gridSpan w:val="4"/>
            <w:tcBorders>
              <w:top w:val="single" w:sz="4" w:space="0" w:color="auto"/>
              <w:left w:val="single" w:sz="4" w:space="0" w:color="auto"/>
              <w:bottom w:val="single" w:sz="4" w:space="0" w:color="auto"/>
              <w:right w:val="single" w:sz="4" w:space="0" w:color="auto"/>
            </w:tcBorders>
          </w:tcPr>
          <w:p w14:paraId="0B36A2F9"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2024</w:t>
            </w:r>
          </w:p>
        </w:tc>
        <w:tc>
          <w:tcPr>
            <w:tcW w:w="0" w:type="auto"/>
            <w:gridSpan w:val="4"/>
            <w:tcBorders>
              <w:top w:val="single" w:sz="4" w:space="0" w:color="auto"/>
              <w:left w:val="single" w:sz="4" w:space="0" w:color="auto"/>
              <w:bottom w:val="single" w:sz="4" w:space="0" w:color="auto"/>
              <w:right w:val="single" w:sz="4" w:space="0" w:color="auto"/>
            </w:tcBorders>
          </w:tcPr>
          <w:p w14:paraId="4A16EF04"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2025</w:t>
            </w:r>
          </w:p>
        </w:tc>
        <w:tc>
          <w:tcPr>
            <w:tcW w:w="0" w:type="auto"/>
            <w:gridSpan w:val="4"/>
            <w:tcBorders>
              <w:top w:val="single" w:sz="4" w:space="0" w:color="auto"/>
              <w:left w:val="single" w:sz="4" w:space="0" w:color="auto"/>
              <w:bottom w:val="single" w:sz="4" w:space="0" w:color="auto"/>
              <w:right w:val="single" w:sz="4" w:space="0" w:color="auto"/>
            </w:tcBorders>
          </w:tcPr>
          <w:p w14:paraId="6CDC4E02"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2026</w:t>
            </w:r>
          </w:p>
        </w:tc>
        <w:tc>
          <w:tcPr>
            <w:tcW w:w="1134" w:type="dxa"/>
            <w:gridSpan w:val="2"/>
            <w:tcBorders>
              <w:top w:val="single" w:sz="4" w:space="0" w:color="auto"/>
              <w:left w:val="single" w:sz="4" w:space="0" w:color="auto"/>
              <w:bottom w:val="single" w:sz="4" w:space="0" w:color="auto"/>
              <w:right w:val="single" w:sz="4" w:space="0" w:color="auto"/>
            </w:tcBorders>
          </w:tcPr>
          <w:p w14:paraId="5AA98F99"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2027</w:t>
            </w:r>
          </w:p>
        </w:tc>
      </w:tr>
      <w:tr w:rsidR="00C87444" w:rsidRPr="00540679" w14:paraId="686CF6F9" w14:textId="77777777">
        <w:trPr>
          <w:trHeight w:val="274"/>
        </w:trPr>
        <w:tc>
          <w:tcPr>
            <w:tcW w:w="1971" w:type="dxa"/>
            <w:vMerge/>
          </w:tcPr>
          <w:p w14:paraId="54ED57D2" w14:textId="77777777" w:rsidR="00C87444" w:rsidRPr="00540679" w:rsidRDefault="00C87444" w:rsidP="006640D1">
            <w:pPr>
              <w:jc w:val="both"/>
              <w:rPr>
                <w:rFonts w:ascii="Arial" w:hAnsi="Arial" w:cs="Arial"/>
                <w:b/>
                <w:bCs/>
                <w:sz w:val="22"/>
                <w:szCs w:val="22"/>
              </w:rPr>
            </w:pPr>
          </w:p>
        </w:tc>
        <w:tc>
          <w:tcPr>
            <w:tcW w:w="485" w:type="dxa"/>
            <w:tcBorders>
              <w:left w:val="single" w:sz="4" w:space="0" w:color="auto"/>
              <w:right w:val="single" w:sz="4" w:space="0" w:color="auto"/>
            </w:tcBorders>
          </w:tcPr>
          <w:p w14:paraId="304EEFD4"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Q3</w:t>
            </w:r>
          </w:p>
        </w:tc>
        <w:tc>
          <w:tcPr>
            <w:tcW w:w="0" w:type="auto"/>
            <w:tcBorders>
              <w:left w:val="single" w:sz="4" w:space="0" w:color="auto"/>
              <w:right w:val="single" w:sz="4" w:space="0" w:color="auto"/>
            </w:tcBorders>
          </w:tcPr>
          <w:p w14:paraId="5F535801"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Q4</w:t>
            </w:r>
          </w:p>
        </w:tc>
        <w:tc>
          <w:tcPr>
            <w:tcW w:w="0" w:type="auto"/>
            <w:tcBorders>
              <w:left w:val="single" w:sz="4" w:space="0" w:color="auto"/>
              <w:right w:val="single" w:sz="4" w:space="0" w:color="auto"/>
            </w:tcBorders>
          </w:tcPr>
          <w:p w14:paraId="1B63FCDA"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Q1</w:t>
            </w:r>
          </w:p>
        </w:tc>
        <w:tc>
          <w:tcPr>
            <w:tcW w:w="0" w:type="auto"/>
            <w:tcBorders>
              <w:left w:val="single" w:sz="4" w:space="0" w:color="auto"/>
              <w:right w:val="single" w:sz="4" w:space="0" w:color="auto"/>
            </w:tcBorders>
          </w:tcPr>
          <w:p w14:paraId="65E7EC8B"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Q2</w:t>
            </w:r>
          </w:p>
        </w:tc>
        <w:tc>
          <w:tcPr>
            <w:tcW w:w="0" w:type="auto"/>
            <w:tcBorders>
              <w:left w:val="single" w:sz="4" w:space="0" w:color="auto"/>
              <w:right w:val="single" w:sz="4" w:space="0" w:color="auto"/>
            </w:tcBorders>
          </w:tcPr>
          <w:p w14:paraId="0D6A76ED"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Q3</w:t>
            </w:r>
          </w:p>
        </w:tc>
        <w:tc>
          <w:tcPr>
            <w:tcW w:w="0" w:type="auto"/>
            <w:tcBorders>
              <w:left w:val="single" w:sz="4" w:space="0" w:color="auto"/>
              <w:right w:val="single" w:sz="4" w:space="0" w:color="auto"/>
            </w:tcBorders>
          </w:tcPr>
          <w:p w14:paraId="48612130"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Q4</w:t>
            </w:r>
          </w:p>
        </w:tc>
        <w:tc>
          <w:tcPr>
            <w:tcW w:w="0" w:type="auto"/>
            <w:tcBorders>
              <w:left w:val="single" w:sz="4" w:space="0" w:color="auto"/>
              <w:right w:val="single" w:sz="4" w:space="0" w:color="auto"/>
            </w:tcBorders>
          </w:tcPr>
          <w:p w14:paraId="51430607"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Q1</w:t>
            </w:r>
          </w:p>
        </w:tc>
        <w:tc>
          <w:tcPr>
            <w:tcW w:w="0" w:type="auto"/>
            <w:tcBorders>
              <w:left w:val="single" w:sz="4" w:space="0" w:color="auto"/>
              <w:right w:val="single" w:sz="4" w:space="0" w:color="auto"/>
            </w:tcBorders>
          </w:tcPr>
          <w:p w14:paraId="134B2159"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Q2</w:t>
            </w:r>
          </w:p>
        </w:tc>
        <w:tc>
          <w:tcPr>
            <w:tcW w:w="0" w:type="auto"/>
            <w:tcBorders>
              <w:left w:val="single" w:sz="4" w:space="0" w:color="auto"/>
              <w:right w:val="single" w:sz="4" w:space="0" w:color="auto"/>
            </w:tcBorders>
          </w:tcPr>
          <w:p w14:paraId="444B0EE6"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Q3</w:t>
            </w:r>
          </w:p>
        </w:tc>
        <w:tc>
          <w:tcPr>
            <w:tcW w:w="0" w:type="auto"/>
            <w:tcBorders>
              <w:left w:val="single" w:sz="4" w:space="0" w:color="auto"/>
              <w:right w:val="single" w:sz="4" w:space="0" w:color="auto"/>
            </w:tcBorders>
          </w:tcPr>
          <w:p w14:paraId="0E8776E8"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Q4</w:t>
            </w:r>
          </w:p>
        </w:tc>
        <w:tc>
          <w:tcPr>
            <w:tcW w:w="0" w:type="auto"/>
            <w:tcBorders>
              <w:left w:val="single" w:sz="4" w:space="0" w:color="auto"/>
              <w:right w:val="single" w:sz="4" w:space="0" w:color="auto"/>
            </w:tcBorders>
          </w:tcPr>
          <w:p w14:paraId="7DE96497"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Q1</w:t>
            </w:r>
          </w:p>
        </w:tc>
        <w:tc>
          <w:tcPr>
            <w:tcW w:w="0" w:type="auto"/>
            <w:tcBorders>
              <w:left w:val="single" w:sz="4" w:space="0" w:color="auto"/>
              <w:right w:val="single" w:sz="4" w:space="0" w:color="auto"/>
            </w:tcBorders>
          </w:tcPr>
          <w:p w14:paraId="7DC4EB8A"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Q2</w:t>
            </w:r>
          </w:p>
        </w:tc>
        <w:tc>
          <w:tcPr>
            <w:tcW w:w="0" w:type="auto"/>
            <w:tcBorders>
              <w:left w:val="single" w:sz="4" w:space="0" w:color="auto"/>
              <w:right w:val="single" w:sz="4" w:space="0" w:color="auto"/>
            </w:tcBorders>
          </w:tcPr>
          <w:p w14:paraId="068D028D"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Q3</w:t>
            </w:r>
          </w:p>
        </w:tc>
        <w:tc>
          <w:tcPr>
            <w:tcW w:w="0" w:type="auto"/>
            <w:tcBorders>
              <w:left w:val="single" w:sz="4" w:space="0" w:color="auto"/>
              <w:right w:val="single" w:sz="4" w:space="0" w:color="auto"/>
            </w:tcBorders>
          </w:tcPr>
          <w:p w14:paraId="6AA7809C"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Q4</w:t>
            </w:r>
          </w:p>
        </w:tc>
        <w:tc>
          <w:tcPr>
            <w:tcW w:w="0" w:type="auto"/>
            <w:tcBorders>
              <w:left w:val="single" w:sz="4" w:space="0" w:color="auto"/>
              <w:right w:val="single" w:sz="4" w:space="0" w:color="auto"/>
            </w:tcBorders>
          </w:tcPr>
          <w:p w14:paraId="36FDD303"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Q1</w:t>
            </w:r>
          </w:p>
        </w:tc>
        <w:tc>
          <w:tcPr>
            <w:tcW w:w="649" w:type="dxa"/>
            <w:tcBorders>
              <w:left w:val="single" w:sz="4" w:space="0" w:color="auto"/>
              <w:right w:val="single" w:sz="4" w:space="0" w:color="auto"/>
            </w:tcBorders>
          </w:tcPr>
          <w:p w14:paraId="4294FAF9" w14:textId="77777777" w:rsidR="00C87444" w:rsidRPr="00540679" w:rsidRDefault="00C87444" w:rsidP="006640D1">
            <w:pPr>
              <w:contextualSpacing/>
              <w:jc w:val="both"/>
              <w:rPr>
                <w:rFonts w:ascii="Arial" w:hAnsi="Arial" w:cs="Arial"/>
                <w:bCs/>
                <w:sz w:val="22"/>
                <w:szCs w:val="22"/>
              </w:rPr>
            </w:pPr>
            <w:r w:rsidRPr="00540679">
              <w:rPr>
                <w:rFonts w:ascii="Arial" w:hAnsi="Arial" w:cs="Arial"/>
                <w:bCs/>
                <w:sz w:val="22"/>
                <w:szCs w:val="22"/>
              </w:rPr>
              <w:t>Q2</w:t>
            </w:r>
          </w:p>
        </w:tc>
      </w:tr>
      <w:tr w:rsidR="006640D1" w:rsidRPr="00540679" w14:paraId="16DDD482" w14:textId="77777777">
        <w:trPr>
          <w:trHeight w:val="240"/>
        </w:trPr>
        <w:tc>
          <w:tcPr>
            <w:tcW w:w="1971" w:type="dxa"/>
            <w:tcBorders>
              <w:right w:val="single" w:sz="4" w:space="0" w:color="auto"/>
            </w:tcBorders>
          </w:tcPr>
          <w:p w14:paraId="374BAA77"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Steering group</w:t>
            </w:r>
          </w:p>
        </w:tc>
        <w:tc>
          <w:tcPr>
            <w:tcW w:w="485" w:type="dxa"/>
            <w:tcBorders>
              <w:left w:val="single" w:sz="4" w:space="0" w:color="auto"/>
              <w:right w:val="single" w:sz="4" w:space="0" w:color="auto"/>
            </w:tcBorders>
            <w:shd w:val="clear" w:color="auto" w:fill="70AD47" w:themeFill="accent6"/>
          </w:tcPr>
          <w:p w14:paraId="6CD7624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DE34AB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3B5219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6D7A8E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A768A9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0AFAE4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EBEABF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3D732F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1C9FAB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CA48DB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FDE28C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8D059E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2C16B2F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DDB72D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6D23B4F"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shd w:val="clear" w:color="auto" w:fill="70AD47" w:themeFill="accent6"/>
          </w:tcPr>
          <w:p w14:paraId="2A3A3A5D" w14:textId="77777777" w:rsidR="00C87444" w:rsidRPr="00540679" w:rsidRDefault="00C87444" w:rsidP="006640D1">
            <w:pPr>
              <w:jc w:val="both"/>
              <w:rPr>
                <w:rFonts w:ascii="Arial" w:hAnsi="Arial" w:cs="Arial"/>
                <w:sz w:val="22"/>
                <w:szCs w:val="22"/>
              </w:rPr>
            </w:pPr>
          </w:p>
        </w:tc>
      </w:tr>
      <w:tr w:rsidR="006640D1" w:rsidRPr="00540679" w14:paraId="5931BC74" w14:textId="77777777">
        <w:trPr>
          <w:trHeight w:val="240"/>
        </w:trPr>
        <w:tc>
          <w:tcPr>
            <w:tcW w:w="1971" w:type="dxa"/>
            <w:tcBorders>
              <w:right w:val="single" w:sz="4" w:space="0" w:color="auto"/>
            </w:tcBorders>
          </w:tcPr>
          <w:p w14:paraId="572E4715"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Local team</w:t>
            </w:r>
          </w:p>
        </w:tc>
        <w:tc>
          <w:tcPr>
            <w:tcW w:w="485" w:type="dxa"/>
            <w:tcBorders>
              <w:left w:val="single" w:sz="4" w:space="0" w:color="auto"/>
              <w:right w:val="single" w:sz="4" w:space="0" w:color="auto"/>
            </w:tcBorders>
            <w:shd w:val="clear" w:color="auto" w:fill="70AD47" w:themeFill="accent6"/>
          </w:tcPr>
          <w:p w14:paraId="2569D1E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7A5C27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D22104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ED6F40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75C2C3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61865F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10D5D0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8B5846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6A5D84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367331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91F2F7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C6D319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24133DC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135B45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45343AB"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shd w:val="clear" w:color="auto" w:fill="70AD47" w:themeFill="accent6"/>
          </w:tcPr>
          <w:p w14:paraId="1957D276" w14:textId="77777777" w:rsidR="00C87444" w:rsidRPr="00540679" w:rsidRDefault="00C87444" w:rsidP="006640D1">
            <w:pPr>
              <w:jc w:val="both"/>
              <w:rPr>
                <w:rFonts w:ascii="Arial" w:hAnsi="Arial" w:cs="Arial"/>
                <w:sz w:val="22"/>
                <w:szCs w:val="22"/>
              </w:rPr>
            </w:pPr>
          </w:p>
        </w:tc>
      </w:tr>
      <w:tr w:rsidR="00C87444" w:rsidRPr="00540679" w14:paraId="19CD16ED" w14:textId="77777777">
        <w:trPr>
          <w:trHeight w:val="240"/>
        </w:trPr>
        <w:tc>
          <w:tcPr>
            <w:tcW w:w="1971" w:type="dxa"/>
            <w:tcBorders>
              <w:right w:val="single" w:sz="4" w:space="0" w:color="auto"/>
            </w:tcBorders>
          </w:tcPr>
          <w:p w14:paraId="641781D5"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Project advisory group</w:t>
            </w:r>
          </w:p>
        </w:tc>
        <w:tc>
          <w:tcPr>
            <w:tcW w:w="485" w:type="dxa"/>
            <w:tcBorders>
              <w:left w:val="single" w:sz="4" w:space="0" w:color="auto"/>
              <w:right w:val="single" w:sz="4" w:space="0" w:color="auto"/>
            </w:tcBorders>
            <w:shd w:val="clear" w:color="auto" w:fill="70AD47" w:themeFill="accent6"/>
          </w:tcPr>
          <w:p w14:paraId="74DCC47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469B4E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64E4AF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49E333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420281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0AEC30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B7D117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813592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950B22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7CF020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B8D45B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5B87DC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1BD541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750D82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381B839"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12852AF1" w14:textId="77777777" w:rsidR="00C87444" w:rsidRPr="00540679" w:rsidRDefault="00C87444" w:rsidP="006640D1">
            <w:pPr>
              <w:jc w:val="both"/>
              <w:rPr>
                <w:rFonts w:ascii="Arial" w:hAnsi="Arial" w:cs="Arial"/>
                <w:sz w:val="22"/>
                <w:szCs w:val="22"/>
              </w:rPr>
            </w:pPr>
          </w:p>
        </w:tc>
      </w:tr>
      <w:tr w:rsidR="00C87444" w:rsidRPr="00540679" w14:paraId="2C4E9EF3" w14:textId="77777777">
        <w:trPr>
          <w:trHeight w:val="240"/>
        </w:trPr>
        <w:tc>
          <w:tcPr>
            <w:tcW w:w="1971" w:type="dxa"/>
            <w:tcBorders>
              <w:right w:val="single" w:sz="4" w:space="0" w:color="auto"/>
            </w:tcBorders>
          </w:tcPr>
          <w:p w14:paraId="6BF53E7D"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Staff recruitment</w:t>
            </w:r>
          </w:p>
        </w:tc>
        <w:tc>
          <w:tcPr>
            <w:tcW w:w="485" w:type="dxa"/>
            <w:tcBorders>
              <w:left w:val="single" w:sz="4" w:space="0" w:color="auto"/>
              <w:right w:val="single" w:sz="4" w:space="0" w:color="auto"/>
            </w:tcBorders>
            <w:shd w:val="clear" w:color="auto" w:fill="70AD47" w:themeFill="accent6"/>
          </w:tcPr>
          <w:p w14:paraId="3A6B2AA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C515D5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877477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2FDB78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A75EC2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8F1DD5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1C5943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73D40FF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9757EF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B9412D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AA2639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2D29FB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54735B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7E439F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991ABEC"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147D7718" w14:textId="77777777" w:rsidR="00C87444" w:rsidRPr="00540679" w:rsidRDefault="00C87444" w:rsidP="006640D1">
            <w:pPr>
              <w:jc w:val="both"/>
              <w:rPr>
                <w:rFonts w:ascii="Arial" w:hAnsi="Arial" w:cs="Arial"/>
                <w:sz w:val="22"/>
                <w:szCs w:val="22"/>
              </w:rPr>
            </w:pPr>
          </w:p>
        </w:tc>
      </w:tr>
      <w:tr w:rsidR="00C87444" w:rsidRPr="00540679" w14:paraId="4BCF239F" w14:textId="77777777">
        <w:trPr>
          <w:trHeight w:val="249"/>
        </w:trPr>
        <w:tc>
          <w:tcPr>
            <w:tcW w:w="1971" w:type="dxa"/>
            <w:tcBorders>
              <w:right w:val="single" w:sz="4" w:space="0" w:color="auto"/>
            </w:tcBorders>
          </w:tcPr>
          <w:p w14:paraId="5F3491D7"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 xml:space="preserve">Database setup </w:t>
            </w:r>
          </w:p>
        </w:tc>
        <w:tc>
          <w:tcPr>
            <w:tcW w:w="485" w:type="dxa"/>
            <w:tcBorders>
              <w:left w:val="single" w:sz="4" w:space="0" w:color="auto"/>
              <w:right w:val="single" w:sz="4" w:space="0" w:color="auto"/>
            </w:tcBorders>
          </w:tcPr>
          <w:p w14:paraId="7ECBBC7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90A3FD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9407C9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9F78F8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94936F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8CF235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D8B602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76F47DB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C872B7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89A922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CE59E9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000BD3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768156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F0A57F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ADD081A"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4C8CACD4" w14:textId="77777777" w:rsidR="00C87444" w:rsidRPr="00540679" w:rsidRDefault="00C87444" w:rsidP="006640D1">
            <w:pPr>
              <w:jc w:val="both"/>
              <w:rPr>
                <w:rFonts w:ascii="Arial" w:hAnsi="Arial" w:cs="Arial"/>
                <w:sz w:val="22"/>
                <w:szCs w:val="22"/>
              </w:rPr>
            </w:pPr>
          </w:p>
        </w:tc>
      </w:tr>
      <w:tr w:rsidR="00C87444" w:rsidRPr="00540679" w14:paraId="1583AD63" w14:textId="77777777">
        <w:trPr>
          <w:trHeight w:val="249"/>
        </w:trPr>
        <w:tc>
          <w:tcPr>
            <w:tcW w:w="1971" w:type="dxa"/>
            <w:tcBorders>
              <w:right w:val="single" w:sz="4" w:space="0" w:color="auto"/>
            </w:tcBorders>
          </w:tcPr>
          <w:p w14:paraId="64966619"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 xml:space="preserve">Obtain ethics </w:t>
            </w:r>
          </w:p>
        </w:tc>
        <w:tc>
          <w:tcPr>
            <w:tcW w:w="485" w:type="dxa"/>
            <w:tcBorders>
              <w:left w:val="single" w:sz="4" w:space="0" w:color="auto"/>
              <w:right w:val="single" w:sz="4" w:space="0" w:color="auto"/>
            </w:tcBorders>
          </w:tcPr>
          <w:p w14:paraId="78D7B70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695819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099C6B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66A19A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7F67D39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D2D4E9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E2C4E0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4B9EFE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C34715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2EBFD7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2671A7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87014F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EE0FC4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83A471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EC72D41"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5A1FEAE8" w14:textId="77777777" w:rsidR="00C87444" w:rsidRPr="00540679" w:rsidRDefault="00C87444" w:rsidP="006640D1">
            <w:pPr>
              <w:jc w:val="both"/>
              <w:rPr>
                <w:rFonts w:ascii="Arial" w:hAnsi="Arial" w:cs="Arial"/>
                <w:sz w:val="22"/>
                <w:szCs w:val="22"/>
              </w:rPr>
            </w:pPr>
          </w:p>
        </w:tc>
      </w:tr>
      <w:tr w:rsidR="006640D1" w:rsidRPr="00540679" w14:paraId="1228AC01" w14:textId="77777777">
        <w:trPr>
          <w:trHeight w:val="249"/>
        </w:trPr>
        <w:tc>
          <w:tcPr>
            <w:tcW w:w="1971" w:type="dxa"/>
            <w:tcBorders>
              <w:right w:val="single" w:sz="4" w:space="0" w:color="auto"/>
            </w:tcBorders>
          </w:tcPr>
          <w:p w14:paraId="779F600A"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Aim 1</w:t>
            </w:r>
          </w:p>
        </w:tc>
        <w:tc>
          <w:tcPr>
            <w:tcW w:w="485" w:type="dxa"/>
            <w:tcBorders>
              <w:left w:val="single" w:sz="4" w:space="0" w:color="auto"/>
              <w:right w:val="single" w:sz="4" w:space="0" w:color="auto"/>
            </w:tcBorders>
            <w:shd w:val="clear" w:color="auto" w:fill="000000" w:themeFill="text1"/>
          </w:tcPr>
          <w:p w14:paraId="38345ED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4C28083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6D1291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11210BE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BD3570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5BE1F1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59BB07F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772CCC4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0CA5487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BDA999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4C42CF7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A1E802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F27CD5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74FD1C4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2D33C1CA"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shd w:val="clear" w:color="auto" w:fill="000000" w:themeFill="text1"/>
          </w:tcPr>
          <w:p w14:paraId="359E3A20" w14:textId="77777777" w:rsidR="00C87444" w:rsidRPr="00540679" w:rsidRDefault="00C87444" w:rsidP="006640D1">
            <w:pPr>
              <w:jc w:val="both"/>
              <w:rPr>
                <w:rFonts w:ascii="Arial" w:hAnsi="Arial" w:cs="Arial"/>
                <w:sz w:val="22"/>
                <w:szCs w:val="22"/>
              </w:rPr>
            </w:pPr>
          </w:p>
        </w:tc>
      </w:tr>
      <w:tr w:rsidR="00C87444" w:rsidRPr="00540679" w14:paraId="113BDE23" w14:textId="77777777">
        <w:trPr>
          <w:trHeight w:val="249"/>
        </w:trPr>
        <w:tc>
          <w:tcPr>
            <w:tcW w:w="1971" w:type="dxa"/>
            <w:tcBorders>
              <w:right w:val="single" w:sz="4" w:space="0" w:color="auto"/>
            </w:tcBorders>
          </w:tcPr>
          <w:p w14:paraId="3D5B55B1"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Train pharmacists</w:t>
            </w:r>
          </w:p>
        </w:tc>
        <w:tc>
          <w:tcPr>
            <w:tcW w:w="485" w:type="dxa"/>
            <w:tcBorders>
              <w:left w:val="single" w:sz="4" w:space="0" w:color="auto"/>
              <w:right w:val="single" w:sz="4" w:space="0" w:color="auto"/>
            </w:tcBorders>
          </w:tcPr>
          <w:p w14:paraId="73F32B0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2C6D9E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1A2407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890155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A90352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952EA2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CED0E9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D549FF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2890DD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EE58FE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7CF839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EF8187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ECE5FB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7E3A15C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562D667"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0BC7F62D" w14:textId="77777777" w:rsidR="00C87444" w:rsidRPr="00540679" w:rsidRDefault="00C87444" w:rsidP="006640D1">
            <w:pPr>
              <w:jc w:val="both"/>
              <w:rPr>
                <w:rFonts w:ascii="Arial" w:hAnsi="Arial" w:cs="Arial"/>
                <w:sz w:val="22"/>
                <w:szCs w:val="22"/>
              </w:rPr>
            </w:pPr>
          </w:p>
        </w:tc>
      </w:tr>
      <w:tr w:rsidR="00C87444" w:rsidRPr="00540679" w14:paraId="455A476D" w14:textId="77777777">
        <w:trPr>
          <w:trHeight w:val="240"/>
        </w:trPr>
        <w:tc>
          <w:tcPr>
            <w:tcW w:w="1971" w:type="dxa"/>
            <w:tcBorders>
              <w:right w:val="single" w:sz="4" w:space="0" w:color="auto"/>
            </w:tcBorders>
          </w:tcPr>
          <w:p w14:paraId="40C5AAA0"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Recruit patients</w:t>
            </w:r>
          </w:p>
        </w:tc>
        <w:tc>
          <w:tcPr>
            <w:tcW w:w="485" w:type="dxa"/>
            <w:tcBorders>
              <w:left w:val="single" w:sz="4" w:space="0" w:color="auto"/>
              <w:right w:val="single" w:sz="4" w:space="0" w:color="auto"/>
            </w:tcBorders>
          </w:tcPr>
          <w:p w14:paraId="7A2F81A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B8DF97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0A78E8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7131A5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2E68B3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178AB3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D4DCAE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C6CE87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291FD99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5EAD86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D7CFF3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F5807B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F2C174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985A99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7C761BE"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06FD7ABD" w14:textId="77777777" w:rsidR="00C87444" w:rsidRPr="00540679" w:rsidRDefault="00C87444" w:rsidP="006640D1">
            <w:pPr>
              <w:jc w:val="both"/>
              <w:rPr>
                <w:rFonts w:ascii="Arial" w:hAnsi="Arial" w:cs="Arial"/>
                <w:sz w:val="22"/>
                <w:szCs w:val="22"/>
              </w:rPr>
            </w:pPr>
          </w:p>
        </w:tc>
      </w:tr>
      <w:tr w:rsidR="00C87444" w:rsidRPr="00540679" w14:paraId="64E3D4D7" w14:textId="77777777">
        <w:trPr>
          <w:trHeight w:val="249"/>
        </w:trPr>
        <w:tc>
          <w:tcPr>
            <w:tcW w:w="1971" w:type="dxa"/>
            <w:tcBorders>
              <w:right w:val="single" w:sz="4" w:space="0" w:color="auto"/>
            </w:tcBorders>
          </w:tcPr>
          <w:p w14:paraId="3373053A"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Collect data</w:t>
            </w:r>
          </w:p>
        </w:tc>
        <w:tc>
          <w:tcPr>
            <w:tcW w:w="485" w:type="dxa"/>
            <w:tcBorders>
              <w:left w:val="single" w:sz="4" w:space="0" w:color="auto"/>
              <w:right w:val="single" w:sz="4" w:space="0" w:color="auto"/>
            </w:tcBorders>
          </w:tcPr>
          <w:p w14:paraId="5E9C59B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F2B6F1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050BCF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46EF94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05DB13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564936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E788D8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21DA07C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46821E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9E9438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4D07D1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D5CB10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8003E2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C5DF5A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BA5CF14"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1305E9B7" w14:textId="77777777" w:rsidR="00C87444" w:rsidRPr="00540679" w:rsidRDefault="00C87444" w:rsidP="006640D1">
            <w:pPr>
              <w:jc w:val="both"/>
              <w:rPr>
                <w:rFonts w:ascii="Arial" w:hAnsi="Arial" w:cs="Arial"/>
                <w:sz w:val="22"/>
                <w:szCs w:val="22"/>
              </w:rPr>
            </w:pPr>
          </w:p>
        </w:tc>
      </w:tr>
      <w:tr w:rsidR="00C87444" w:rsidRPr="00540679" w14:paraId="0DAECDA8" w14:textId="77777777">
        <w:trPr>
          <w:trHeight w:val="249"/>
        </w:trPr>
        <w:tc>
          <w:tcPr>
            <w:tcW w:w="1971" w:type="dxa"/>
            <w:tcBorders>
              <w:right w:val="single" w:sz="4" w:space="0" w:color="auto"/>
            </w:tcBorders>
          </w:tcPr>
          <w:p w14:paraId="13692143"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lastRenderedPageBreak/>
              <w:t>Study close-out</w:t>
            </w:r>
          </w:p>
        </w:tc>
        <w:tc>
          <w:tcPr>
            <w:tcW w:w="485" w:type="dxa"/>
            <w:tcBorders>
              <w:left w:val="single" w:sz="4" w:space="0" w:color="auto"/>
              <w:right w:val="single" w:sz="4" w:space="0" w:color="auto"/>
            </w:tcBorders>
          </w:tcPr>
          <w:p w14:paraId="432DC30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DA0E75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0D907F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1129FF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29074E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AE2243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093A7A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B934D1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7D0157A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78B810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7DE18C3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0CDB77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F03DF7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29FC70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6A2E40E"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4213D3BD" w14:textId="77777777" w:rsidR="00C87444" w:rsidRPr="00540679" w:rsidRDefault="00C87444" w:rsidP="006640D1">
            <w:pPr>
              <w:jc w:val="both"/>
              <w:rPr>
                <w:rFonts w:ascii="Arial" w:hAnsi="Arial" w:cs="Arial"/>
                <w:sz w:val="22"/>
                <w:szCs w:val="22"/>
              </w:rPr>
            </w:pPr>
          </w:p>
        </w:tc>
      </w:tr>
      <w:tr w:rsidR="00C87444" w:rsidRPr="00540679" w14:paraId="469F0F36" w14:textId="77777777">
        <w:trPr>
          <w:trHeight w:val="249"/>
        </w:trPr>
        <w:tc>
          <w:tcPr>
            <w:tcW w:w="1971" w:type="dxa"/>
            <w:tcBorders>
              <w:right w:val="single" w:sz="4" w:space="0" w:color="auto"/>
            </w:tcBorders>
          </w:tcPr>
          <w:p w14:paraId="06147143"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 xml:space="preserve">Data analysis </w:t>
            </w:r>
          </w:p>
        </w:tc>
        <w:tc>
          <w:tcPr>
            <w:tcW w:w="485" w:type="dxa"/>
            <w:tcBorders>
              <w:left w:val="single" w:sz="4" w:space="0" w:color="auto"/>
              <w:right w:val="single" w:sz="4" w:space="0" w:color="auto"/>
            </w:tcBorders>
          </w:tcPr>
          <w:p w14:paraId="5949D8E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112ED4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E25DB6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D5F5FC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EEB2F2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F7D231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EB90D0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C361BF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72DC8D3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221EB1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A43C9A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59C341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487D63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A32A14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360EBD8"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08447DE9" w14:textId="77777777" w:rsidR="00C87444" w:rsidRPr="00540679" w:rsidRDefault="00C87444" w:rsidP="006640D1">
            <w:pPr>
              <w:jc w:val="both"/>
              <w:rPr>
                <w:rFonts w:ascii="Arial" w:hAnsi="Arial" w:cs="Arial"/>
                <w:sz w:val="22"/>
                <w:szCs w:val="22"/>
              </w:rPr>
            </w:pPr>
          </w:p>
        </w:tc>
      </w:tr>
      <w:tr w:rsidR="006640D1" w:rsidRPr="00540679" w14:paraId="75AB5F30" w14:textId="77777777">
        <w:trPr>
          <w:trHeight w:val="249"/>
        </w:trPr>
        <w:tc>
          <w:tcPr>
            <w:tcW w:w="1971" w:type="dxa"/>
            <w:tcBorders>
              <w:right w:val="single" w:sz="4" w:space="0" w:color="auto"/>
            </w:tcBorders>
          </w:tcPr>
          <w:p w14:paraId="5F1773F7" w14:textId="77777777" w:rsidR="00C87444" w:rsidRPr="00540679" w:rsidRDefault="00C87444" w:rsidP="006640D1">
            <w:pPr>
              <w:jc w:val="both"/>
              <w:rPr>
                <w:rFonts w:ascii="Arial" w:hAnsi="Arial" w:cs="Arial"/>
                <w:b/>
                <w:bCs/>
                <w:sz w:val="22"/>
                <w:szCs w:val="22"/>
              </w:rPr>
            </w:pPr>
            <w:r w:rsidRPr="00540679">
              <w:rPr>
                <w:rFonts w:ascii="Arial" w:hAnsi="Arial" w:cs="Arial"/>
                <w:b/>
                <w:bCs/>
                <w:sz w:val="22"/>
                <w:szCs w:val="22"/>
              </w:rPr>
              <w:t>Aim 2:</w:t>
            </w:r>
          </w:p>
        </w:tc>
        <w:tc>
          <w:tcPr>
            <w:tcW w:w="485" w:type="dxa"/>
            <w:tcBorders>
              <w:left w:val="single" w:sz="4" w:space="0" w:color="auto"/>
              <w:right w:val="single" w:sz="4" w:space="0" w:color="auto"/>
            </w:tcBorders>
            <w:shd w:val="clear" w:color="auto" w:fill="000000" w:themeFill="text1"/>
          </w:tcPr>
          <w:p w14:paraId="21C8B36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2B976D1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6B4173D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49068A9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1AFFFB1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6951076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64952CD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49E71A9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41F2DEF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1D600BE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08B5B83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E6A111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061F89A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02EFEE9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49A19995"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shd w:val="clear" w:color="auto" w:fill="000000" w:themeFill="text1"/>
          </w:tcPr>
          <w:p w14:paraId="578DCAD6" w14:textId="77777777" w:rsidR="00C87444" w:rsidRPr="00540679" w:rsidRDefault="00C87444" w:rsidP="006640D1">
            <w:pPr>
              <w:jc w:val="both"/>
              <w:rPr>
                <w:rFonts w:ascii="Arial" w:hAnsi="Arial" w:cs="Arial"/>
                <w:sz w:val="22"/>
                <w:szCs w:val="22"/>
              </w:rPr>
            </w:pPr>
          </w:p>
        </w:tc>
      </w:tr>
      <w:tr w:rsidR="00C87444" w:rsidRPr="00540679" w14:paraId="64EBEAAF" w14:textId="77777777">
        <w:trPr>
          <w:trHeight w:val="249"/>
        </w:trPr>
        <w:tc>
          <w:tcPr>
            <w:tcW w:w="1971" w:type="dxa"/>
            <w:tcBorders>
              <w:right w:val="single" w:sz="4" w:space="0" w:color="auto"/>
            </w:tcBorders>
          </w:tcPr>
          <w:p w14:paraId="4A6FA069"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Economic evaluation</w:t>
            </w:r>
          </w:p>
        </w:tc>
        <w:tc>
          <w:tcPr>
            <w:tcW w:w="485" w:type="dxa"/>
            <w:tcBorders>
              <w:left w:val="single" w:sz="4" w:space="0" w:color="auto"/>
              <w:right w:val="single" w:sz="4" w:space="0" w:color="auto"/>
            </w:tcBorders>
          </w:tcPr>
          <w:p w14:paraId="3769AC3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C01A70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671B5F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35DEF3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5AFC75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37EEF5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7B149F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76FE67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AE8691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114BB1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3599D5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FF52F5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C25698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624D585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C432A0B"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47B0CE6C" w14:textId="77777777" w:rsidR="00C87444" w:rsidRPr="00540679" w:rsidRDefault="00C87444" w:rsidP="006640D1">
            <w:pPr>
              <w:jc w:val="both"/>
              <w:rPr>
                <w:rFonts w:ascii="Arial" w:hAnsi="Arial" w:cs="Arial"/>
                <w:sz w:val="22"/>
                <w:szCs w:val="22"/>
              </w:rPr>
            </w:pPr>
          </w:p>
        </w:tc>
      </w:tr>
      <w:tr w:rsidR="006640D1" w:rsidRPr="00540679" w14:paraId="2A9293B1" w14:textId="77777777">
        <w:trPr>
          <w:trHeight w:val="249"/>
        </w:trPr>
        <w:tc>
          <w:tcPr>
            <w:tcW w:w="1971" w:type="dxa"/>
            <w:tcBorders>
              <w:right w:val="single" w:sz="4" w:space="0" w:color="auto"/>
            </w:tcBorders>
          </w:tcPr>
          <w:p w14:paraId="49973987" w14:textId="77777777" w:rsidR="00C87444" w:rsidRPr="00540679" w:rsidRDefault="00C87444" w:rsidP="006640D1">
            <w:pPr>
              <w:jc w:val="both"/>
              <w:rPr>
                <w:rFonts w:ascii="Arial" w:hAnsi="Arial" w:cs="Arial"/>
                <w:sz w:val="22"/>
                <w:szCs w:val="22"/>
              </w:rPr>
            </w:pPr>
            <w:r w:rsidRPr="00540679">
              <w:rPr>
                <w:rFonts w:ascii="Arial" w:hAnsi="Arial" w:cs="Arial"/>
                <w:b/>
                <w:bCs/>
                <w:sz w:val="22"/>
                <w:szCs w:val="22"/>
              </w:rPr>
              <w:t>Aim 3:</w:t>
            </w:r>
            <w:r w:rsidRPr="00540679">
              <w:rPr>
                <w:rFonts w:ascii="Arial" w:hAnsi="Arial" w:cs="Arial"/>
                <w:sz w:val="22"/>
                <w:szCs w:val="22"/>
              </w:rPr>
              <w:t xml:space="preserve"> </w:t>
            </w:r>
          </w:p>
        </w:tc>
        <w:tc>
          <w:tcPr>
            <w:tcW w:w="485" w:type="dxa"/>
            <w:tcBorders>
              <w:left w:val="single" w:sz="4" w:space="0" w:color="auto"/>
              <w:right w:val="single" w:sz="4" w:space="0" w:color="auto"/>
            </w:tcBorders>
            <w:shd w:val="clear" w:color="auto" w:fill="000000" w:themeFill="text1"/>
          </w:tcPr>
          <w:p w14:paraId="4986D6D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54ECFE6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22E8786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4B5FF01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3A8A990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721E0A0B"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05743A0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56E356C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6A85765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1D191A0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670964F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6E7489A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07D12DD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7ED8AC9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000000" w:themeFill="text1"/>
          </w:tcPr>
          <w:p w14:paraId="5961A64C"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shd w:val="clear" w:color="auto" w:fill="000000" w:themeFill="text1"/>
          </w:tcPr>
          <w:p w14:paraId="12358741" w14:textId="77777777" w:rsidR="00C87444" w:rsidRPr="00540679" w:rsidRDefault="00C87444" w:rsidP="006640D1">
            <w:pPr>
              <w:jc w:val="both"/>
              <w:rPr>
                <w:rFonts w:ascii="Arial" w:hAnsi="Arial" w:cs="Arial"/>
                <w:sz w:val="22"/>
                <w:szCs w:val="22"/>
              </w:rPr>
            </w:pPr>
          </w:p>
        </w:tc>
      </w:tr>
      <w:tr w:rsidR="00C87444" w:rsidRPr="00540679" w14:paraId="185AAD35" w14:textId="77777777" w:rsidTr="004F72BA">
        <w:trPr>
          <w:trHeight w:val="249"/>
        </w:trPr>
        <w:tc>
          <w:tcPr>
            <w:tcW w:w="1971" w:type="dxa"/>
            <w:tcBorders>
              <w:right w:val="single" w:sz="4" w:space="0" w:color="auto"/>
            </w:tcBorders>
          </w:tcPr>
          <w:p w14:paraId="5438C74A"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Interviews</w:t>
            </w:r>
          </w:p>
        </w:tc>
        <w:tc>
          <w:tcPr>
            <w:tcW w:w="485" w:type="dxa"/>
            <w:tcBorders>
              <w:left w:val="single" w:sz="4" w:space="0" w:color="auto"/>
              <w:right w:val="single" w:sz="4" w:space="0" w:color="auto"/>
            </w:tcBorders>
            <w:shd w:val="clear" w:color="auto" w:fill="70AD47" w:themeFill="accent6"/>
          </w:tcPr>
          <w:p w14:paraId="2142417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05D74FED"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021DFB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E900DD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76F472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23093B1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42BF93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6042DA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9588A3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14BAD69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5EC82A3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007558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auto"/>
          </w:tcPr>
          <w:p w14:paraId="7468A03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auto"/>
          </w:tcPr>
          <w:p w14:paraId="6CD8249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B00AC5E"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23E16133" w14:textId="77777777" w:rsidR="00C87444" w:rsidRPr="00540679" w:rsidRDefault="00C87444" w:rsidP="006640D1">
            <w:pPr>
              <w:jc w:val="both"/>
              <w:rPr>
                <w:rFonts w:ascii="Arial" w:hAnsi="Arial" w:cs="Arial"/>
                <w:sz w:val="22"/>
                <w:szCs w:val="22"/>
              </w:rPr>
            </w:pPr>
          </w:p>
        </w:tc>
      </w:tr>
      <w:tr w:rsidR="00C87444" w:rsidRPr="00540679" w14:paraId="493356D0" w14:textId="77777777" w:rsidTr="004F72BA">
        <w:trPr>
          <w:trHeight w:val="249"/>
        </w:trPr>
        <w:tc>
          <w:tcPr>
            <w:tcW w:w="1971" w:type="dxa"/>
            <w:tcBorders>
              <w:right w:val="single" w:sz="4" w:space="0" w:color="auto"/>
            </w:tcBorders>
          </w:tcPr>
          <w:p w14:paraId="69B38F43"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Thematic analysis</w:t>
            </w:r>
          </w:p>
        </w:tc>
        <w:tc>
          <w:tcPr>
            <w:tcW w:w="485" w:type="dxa"/>
            <w:tcBorders>
              <w:left w:val="single" w:sz="4" w:space="0" w:color="auto"/>
              <w:right w:val="single" w:sz="4" w:space="0" w:color="auto"/>
            </w:tcBorders>
          </w:tcPr>
          <w:p w14:paraId="288BE25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9771E1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09CB17B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F590DB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66FD73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BA0E3A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564A42C0"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9EFABB8"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A9BA83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091B8F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17204B2"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7E2AEB2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4F8BB30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3D60ADA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auto"/>
          </w:tcPr>
          <w:p w14:paraId="40F28E6C"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tcPr>
          <w:p w14:paraId="344EAC43" w14:textId="77777777" w:rsidR="00C87444" w:rsidRPr="00540679" w:rsidRDefault="00C87444" w:rsidP="006640D1">
            <w:pPr>
              <w:jc w:val="both"/>
              <w:rPr>
                <w:rFonts w:ascii="Arial" w:hAnsi="Arial" w:cs="Arial"/>
                <w:sz w:val="22"/>
                <w:szCs w:val="22"/>
              </w:rPr>
            </w:pPr>
          </w:p>
        </w:tc>
      </w:tr>
      <w:tr w:rsidR="00C87444" w:rsidRPr="00540679" w14:paraId="0CA2866D" w14:textId="77777777">
        <w:trPr>
          <w:trHeight w:val="240"/>
        </w:trPr>
        <w:tc>
          <w:tcPr>
            <w:tcW w:w="1971" w:type="dxa"/>
            <w:tcBorders>
              <w:right w:val="single" w:sz="4" w:space="0" w:color="auto"/>
            </w:tcBorders>
          </w:tcPr>
          <w:p w14:paraId="5196468C" w14:textId="77777777" w:rsidR="00C87444" w:rsidRPr="00540679" w:rsidRDefault="00C87444" w:rsidP="006640D1">
            <w:pPr>
              <w:jc w:val="both"/>
              <w:rPr>
                <w:rFonts w:ascii="Arial" w:hAnsi="Arial" w:cs="Arial"/>
                <w:sz w:val="22"/>
                <w:szCs w:val="22"/>
              </w:rPr>
            </w:pPr>
            <w:r w:rsidRPr="00540679">
              <w:rPr>
                <w:rFonts w:ascii="Arial" w:hAnsi="Arial" w:cs="Arial"/>
                <w:sz w:val="22"/>
                <w:szCs w:val="22"/>
              </w:rPr>
              <w:t>Report writing</w:t>
            </w:r>
          </w:p>
        </w:tc>
        <w:tc>
          <w:tcPr>
            <w:tcW w:w="485" w:type="dxa"/>
            <w:tcBorders>
              <w:left w:val="single" w:sz="4" w:space="0" w:color="auto"/>
              <w:right w:val="single" w:sz="4" w:space="0" w:color="auto"/>
            </w:tcBorders>
          </w:tcPr>
          <w:p w14:paraId="0D1D52A9"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8F8E327"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3F2F2D21"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FE31C4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6C0F96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42DD3CC"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D22DC9F"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D76C3B5"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03EF20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09D72F4A"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1F3DE754"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24E04146"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4A34D4C3"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tcPr>
          <w:p w14:paraId="67D3131E" w14:textId="77777777" w:rsidR="00C87444" w:rsidRPr="00540679" w:rsidRDefault="00C87444" w:rsidP="006640D1">
            <w:pPr>
              <w:jc w:val="both"/>
              <w:rPr>
                <w:rFonts w:ascii="Arial" w:hAnsi="Arial" w:cs="Arial"/>
                <w:sz w:val="22"/>
                <w:szCs w:val="22"/>
              </w:rPr>
            </w:pPr>
          </w:p>
        </w:tc>
        <w:tc>
          <w:tcPr>
            <w:tcW w:w="0" w:type="auto"/>
            <w:tcBorders>
              <w:left w:val="single" w:sz="4" w:space="0" w:color="auto"/>
              <w:right w:val="single" w:sz="4" w:space="0" w:color="auto"/>
            </w:tcBorders>
            <w:shd w:val="clear" w:color="auto" w:fill="70AD47" w:themeFill="accent6"/>
          </w:tcPr>
          <w:p w14:paraId="279158FD" w14:textId="77777777" w:rsidR="00C87444" w:rsidRPr="00540679" w:rsidRDefault="00C87444" w:rsidP="006640D1">
            <w:pPr>
              <w:jc w:val="both"/>
              <w:rPr>
                <w:rFonts w:ascii="Arial" w:hAnsi="Arial" w:cs="Arial"/>
                <w:sz w:val="22"/>
                <w:szCs w:val="22"/>
              </w:rPr>
            </w:pPr>
          </w:p>
        </w:tc>
        <w:tc>
          <w:tcPr>
            <w:tcW w:w="649" w:type="dxa"/>
            <w:tcBorders>
              <w:left w:val="single" w:sz="4" w:space="0" w:color="auto"/>
              <w:right w:val="single" w:sz="4" w:space="0" w:color="auto"/>
            </w:tcBorders>
            <w:shd w:val="clear" w:color="auto" w:fill="70AD47" w:themeFill="accent6"/>
          </w:tcPr>
          <w:p w14:paraId="0E0FBBC1" w14:textId="77777777" w:rsidR="00C87444" w:rsidRPr="00540679" w:rsidRDefault="00C87444" w:rsidP="006640D1">
            <w:pPr>
              <w:jc w:val="both"/>
              <w:rPr>
                <w:rFonts w:ascii="Arial" w:hAnsi="Arial" w:cs="Arial"/>
                <w:sz w:val="22"/>
                <w:szCs w:val="22"/>
              </w:rPr>
            </w:pPr>
          </w:p>
        </w:tc>
      </w:tr>
    </w:tbl>
    <w:p w14:paraId="520BB6A0" w14:textId="77777777" w:rsidR="00C87444" w:rsidRPr="00540679" w:rsidRDefault="00C87444" w:rsidP="006640D1">
      <w:pPr>
        <w:spacing w:after="120"/>
        <w:jc w:val="both"/>
        <w:rPr>
          <w:rFonts w:ascii="Arial" w:hAnsi="Arial" w:cs="Arial"/>
          <w:sz w:val="22"/>
          <w:szCs w:val="22"/>
        </w:rPr>
      </w:pPr>
      <w:r w:rsidRPr="00540679">
        <w:rPr>
          <w:rFonts w:ascii="Arial" w:hAnsi="Arial" w:cs="Arial"/>
          <w:sz w:val="22"/>
          <w:szCs w:val="22"/>
        </w:rPr>
        <w:t>HREC, Human Research Ethics Committee.</w:t>
      </w:r>
    </w:p>
    <w:p w14:paraId="5EA85DFE" w14:textId="77777777" w:rsidR="00C87444" w:rsidRPr="00540679" w:rsidRDefault="00C87444" w:rsidP="006640D1">
      <w:pPr>
        <w:jc w:val="both"/>
        <w:rPr>
          <w:rFonts w:ascii="Arial" w:hAnsi="Arial" w:cs="Arial"/>
          <w:b/>
          <w:bCs/>
          <w:sz w:val="22"/>
          <w:szCs w:val="22"/>
        </w:rPr>
      </w:pPr>
    </w:p>
    <w:p w14:paraId="7C2AD427" w14:textId="05016ECE" w:rsidR="00C87444" w:rsidRPr="00540679" w:rsidRDefault="00C87444" w:rsidP="006640D1">
      <w:pPr>
        <w:jc w:val="both"/>
        <w:rPr>
          <w:rFonts w:ascii="Arial" w:hAnsi="Arial" w:cs="Arial"/>
          <w:sz w:val="22"/>
          <w:szCs w:val="22"/>
        </w:rPr>
      </w:pPr>
      <w:r w:rsidRPr="00540679">
        <w:rPr>
          <w:rFonts w:ascii="Arial" w:hAnsi="Arial" w:cs="Arial"/>
          <w:b/>
          <w:bCs/>
          <w:sz w:val="22"/>
          <w:szCs w:val="22"/>
        </w:rPr>
        <w:t xml:space="preserve">Table </w:t>
      </w:r>
      <w:r w:rsidR="00357E00" w:rsidRPr="00540679">
        <w:rPr>
          <w:rFonts w:ascii="Arial" w:hAnsi="Arial" w:cs="Arial"/>
          <w:b/>
          <w:bCs/>
          <w:sz w:val="22"/>
          <w:szCs w:val="22"/>
        </w:rPr>
        <w:t>5</w:t>
      </w:r>
      <w:r w:rsidRPr="00540679">
        <w:rPr>
          <w:rFonts w:ascii="Arial" w:hAnsi="Arial" w:cs="Arial"/>
          <w:b/>
          <w:bCs/>
          <w:sz w:val="22"/>
          <w:szCs w:val="22"/>
        </w:rPr>
        <w:t>.</w:t>
      </w:r>
      <w:r w:rsidRPr="00540679">
        <w:rPr>
          <w:rFonts w:ascii="Arial" w:hAnsi="Arial" w:cs="Arial"/>
          <w:sz w:val="22"/>
          <w:szCs w:val="22"/>
        </w:rPr>
        <w:t xml:space="preserve"> Detailed milestones and performance indicators</w:t>
      </w:r>
    </w:p>
    <w:tbl>
      <w:tblPr>
        <w:tblW w:w="5000" w:type="pct"/>
        <w:tblLook w:val="04A0" w:firstRow="1" w:lastRow="0" w:firstColumn="1" w:lastColumn="0" w:noHBand="0" w:noVBand="1"/>
      </w:tblPr>
      <w:tblGrid>
        <w:gridCol w:w="3120"/>
        <w:gridCol w:w="3601"/>
        <w:gridCol w:w="2295"/>
      </w:tblGrid>
      <w:tr w:rsidR="00C87444" w:rsidRPr="00540679" w14:paraId="30BA9FFE" w14:textId="77777777">
        <w:trPr>
          <w:trHeight w:val="300"/>
        </w:trPr>
        <w:tc>
          <w:tcPr>
            <w:tcW w:w="1730" w:type="pct"/>
            <w:tcBorders>
              <w:top w:val="single" w:sz="4" w:space="0" w:color="auto"/>
              <w:left w:val="single" w:sz="4" w:space="0" w:color="auto"/>
              <w:bottom w:val="single" w:sz="4" w:space="0" w:color="auto"/>
              <w:right w:val="single" w:sz="4" w:space="0" w:color="auto"/>
            </w:tcBorders>
            <w:shd w:val="clear" w:color="000000" w:fill="F3F3F3"/>
            <w:vAlign w:val="center"/>
            <w:hideMark/>
          </w:tcPr>
          <w:p w14:paraId="1219D82D" w14:textId="77777777" w:rsidR="00C87444" w:rsidRPr="00540679" w:rsidRDefault="00C87444" w:rsidP="006640D1">
            <w:pPr>
              <w:jc w:val="both"/>
              <w:rPr>
                <w:rFonts w:ascii="Arial" w:hAnsi="Arial" w:cs="Arial"/>
                <w:b/>
                <w:bCs/>
                <w:color w:val="000000"/>
                <w:sz w:val="22"/>
                <w:szCs w:val="22"/>
              </w:rPr>
            </w:pPr>
            <w:r w:rsidRPr="00540679">
              <w:rPr>
                <w:rFonts w:ascii="Arial" w:hAnsi="Arial" w:cs="Arial"/>
                <w:b/>
                <w:bCs/>
                <w:sz w:val="22"/>
                <w:szCs w:val="22"/>
              </w:rPr>
              <w:t>Milestones</w:t>
            </w:r>
          </w:p>
        </w:tc>
        <w:tc>
          <w:tcPr>
            <w:tcW w:w="1997" w:type="pct"/>
            <w:tcBorders>
              <w:top w:val="single" w:sz="4" w:space="0" w:color="auto"/>
              <w:left w:val="nil"/>
              <w:bottom w:val="single" w:sz="4" w:space="0" w:color="auto"/>
              <w:right w:val="single" w:sz="4" w:space="0" w:color="auto"/>
            </w:tcBorders>
            <w:shd w:val="clear" w:color="000000" w:fill="F3F3F3"/>
            <w:vAlign w:val="center"/>
            <w:hideMark/>
          </w:tcPr>
          <w:p w14:paraId="04870181" w14:textId="77777777" w:rsidR="00C87444" w:rsidRPr="00540679" w:rsidRDefault="00C87444" w:rsidP="006640D1">
            <w:pPr>
              <w:jc w:val="both"/>
              <w:rPr>
                <w:rFonts w:ascii="Arial" w:hAnsi="Arial" w:cs="Arial"/>
                <w:b/>
                <w:bCs/>
                <w:color w:val="000000"/>
                <w:sz w:val="22"/>
                <w:szCs w:val="22"/>
              </w:rPr>
            </w:pPr>
            <w:r w:rsidRPr="00540679">
              <w:rPr>
                <w:rFonts w:ascii="Arial" w:hAnsi="Arial" w:cs="Arial"/>
                <w:b/>
                <w:bCs/>
                <w:sz w:val="22"/>
                <w:szCs w:val="22"/>
              </w:rPr>
              <w:t>Performance indicators</w:t>
            </w:r>
          </w:p>
        </w:tc>
        <w:tc>
          <w:tcPr>
            <w:tcW w:w="1273" w:type="pct"/>
            <w:tcBorders>
              <w:top w:val="single" w:sz="4" w:space="0" w:color="auto"/>
              <w:left w:val="nil"/>
              <w:bottom w:val="single" w:sz="4" w:space="0" w:color="auto"/>
              <w:right w:val="single" w:sz="4" w:space="0" w:color="auto"/>
            </w:tcBorders>
            <w:shd w:val="clear" w:color="000000" w:fill="F3F3F3"/>
            <w:vAlign w:val="center"/>
            <w:hideMark/>
          </w:tcPr>
          <w:p w14:paraId="4A516C75" w14:textId="77777777" w:rsidR="00C87444" w:rsidRPr="00540679" w:rsidRDefault="00C87444" w:rsidP="006640D1">
            <w:pPr>
              <w:jc w:val="both"/>
              <w:rPr>
                <w:rFonts w:ascii="Arial" w:hAnsi="Arial" w:cs="Arial"/>
                <w:b/>
                <w:bCs/>
                <w:color w:val="000000"/>
                <w:sz w:val="22"/>
                <w:szCs w:val="22"/>
              </w:rPr>
            </w:pPr>
            <w:r w:rsidRPr="00540679">
              <w:rPr>
                <w:rFonts w:ascii="Arial" w:hAnsi="Arial" w:cs="Arial"/>
                <w:b/>
                <w:bCs/>
                <w:sz w:val="22"/>
                <w:szCs w:val="22"/>
              </w:rPr>
              <w:t>Timing (Months)</w:t>
            </w:r>
          </w:p>
        </w:tc>
      </w:tr>
      <w:tr w:rsidR="00C87444" w:rsidRPr="00540679" w14:paraId="308DE8E0" w14:textId="77777777">
        <w:trPr>
          <w:trHeight w:val="188"/>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3A7564B7" w14:textId="77777777" w:rsidR="00C87444" w:rsidRPr="00540679" w:rsidRDefault="00C87444" w:rsidP="006640D1">
            <w:pPr>
              <w:jc w:val="both"/>
              <w:rPr>
                <w:rFonts w:ascii="Arial" w:hAnsi="Arial" w:cs="Arial"/>
                <w:color w:val="000000"/>
                <w:sz w:val="22"/>
                <w:szCs w:val="22"/>
              </w:rPr>
            </w:pPr>
            <w:r w:rsidRPr="00540679">
              <w:rPr>
                <w:rFonts w:ascii="Arial" w:hAnsi="Arial" w:cs="Arial"/>
                <w:bCs/>
                <w:color w:val="000000"/>
                <w:sz w:val="22"/>
                <w:szCs w:val="22"/>
              </w:rPr>
              <w:t>Local implementation team</w:t>
            </w:r>
          </w:p>
        </w:tc>
        <w:tc>
          <w:tcPr>
            <w:tcW w:w="1997" w:type="pct"/>
            <w:tcBorders>
              <w:top w:val="nil"/>
              <w:left w:val="nil"/>
              <w:bottom w:val="single" w:sz="4" w:space="0" w:color="auto"/>
              <w:right w:val="single" w:sz="4" w:space="0" w:color="auto"/>
            </w:tcBorders>
            <w:shd w:val="clear" w:color="auto" w:fill="auto"/>
            <w:vAlign w:val="center"/>
            <w:hideMark/>
          </w:tcPr>
          <w:p w14:paraId="44A58A23"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w:t>
            </w:r>
            <w:r w:rsidRPr="00540679">
              <w:rPr>
                <w:rFonts w:ascii="Arial" w:hAnsi="Arial" w:cs="Arial"/>
                <w:bCs/>
                <w:color w:val="000000"/>
                <w:sz w:val="22"/>
                <w:szCs w:val="22"/>
              </w:rPr>
              <w:t>Attendance and minutes</w:t>
            </w:r>
          </w:p>
        </w:tc>
        <w:tc>
          <w:tcPr>
            <w:tcW w:w="1273" w:type="pct"/>
            <w:tcBorders>
              <w:top w:val="nil"/>
              <w:left w:val="nil"/>
              <w:bottom w:val="single" w:sz="4" w:space="0" w:color="auto"/>
              <w:right w:val="single" w:sz="4" w:space="0" w:color="auto"/>
            </w:tcBorders>
            <w:shd w:val="clear" w:color="auto" w:fill="auto"/>
            <w:vAlign w:val="center"/>
            <w:hideMark/>
          </w:tcPr>
          <w:p w14:paraId="1DB12966" w14:textId="77777777" w:rsidR="00C87444" w:rsidRPr="00540679" w:rsidRDefault="00C87444" w:rsidP="006640D1">
            <w:pPr>
              <w:jc w:val="both"/>
              <w:rPr>
                <w:rFonts w:ascii="Arial" w:hAnsi="Arial" w:cs="Arial"/>
                <w:color w:val="000000"/>
                <w:sz w:val="22"/>
                <w:szCs w:val="22"/>
              </w:rPr>
            </w:pPr>
            <w:r w:rsidRPr="00540679">
              <w:rPr>
                <w:rFonts w:ascii="Arial" w:hAnsi="Arial" w:cs="Arial"/>
                <w:bCs/>
                <w:color w:val="000000"/>
                <w:sz w:val="22"/>
                <w:szCs w:val="22"/>
              </w:rPr>
              <w:t>Weekly as needed</w:t>
            </w:r>
          </w:p>
        </w:tc>
      </w:tr>
      <w:tr w:rsidR="00C87444" w:rsidRPr="00540679" w14:paraId="187998E5"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4F2BA367"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Steering group meeting</w:t>
            </w:r>
          </w:p>
        </w:tc>
        <w:tc>
          <w:tcPr>
            <w:tcW w:w="1997" w:type="pct"/>
            <w:tcBorders>
              <w:top w:val="nil"/>
              <w:left w:val="nil"/>
              <w:bottom w:val="single" w:sz="4" w:space="0" w:color="auto"/>
              <w:right w:val="single" w:sz="4" w:space="0" w:color="auto"/>
            </w:tcBorders>
            <w:shd w:val="clear" w:color="auto" w:fill="auto"/>
            <w:vAlign w:val="center"/>
            <w:hideMark/>
          </w:tcPr>
          <w:p w14:paraId="582891F0"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w:t>
            </w:r>
            <w:r w:rsidRPr="00540679">
              <w:rPr>
                <w:rFonts w:ascii="Arial" w:hAnsi="Arial" w:cs="Arial"/>
                <w:bCs/>
                <w:color w:val="000000"/>
                <w:sz w:val="22"/>
                <w:szCs w:val="22"/>
              </w:rPr>
              <w:t>Attendance and minutes</w:t>
            </w:r>
          </w:p>
        </w:tc>
        <w:tc>
          <w:tcPr>
            <w:tcW w:w="1273" w:type="pct"/>
            <w:tcBorders>
              <w:top w:val="nil"/>
              <w:left w:val="nil"/>
              <w:bottom w:val="single" w:sz="4" w:space="0" w:color="auto"/>
              <w:right w:val="single" w:sz="4" w:space="0" w:color="auto"/>
            </w:tcBorders>
            <w:shd w:val="clear" w:color="auto" w:fill="auto"/>
            <w:vAlign w:val="center"/>
            <w:hideMark/>
          </w:tcPr>
          <w:p w14:paraId="27739721" w14:textId="77777777" w:rsidR="00C87444" w:rsidRPr="00540679" w:rsidRDefault="00C87444" w:rsidP="006640D1">
            <w:pPr>
              <w:jc w:val="both"/>
              <w:rPr>
                <w:rFonts w:ascii="Arial" w:hAnsi="Arial" w:cs="Arial"/>
                <w:color w:val="000000"/>
                <w:sz w:val="22"/>
                <w:szCs w:val="22"/>
              </w:rPr>
            </w:pPr>
            <w:r w:rsidRPr="00540679">
              <w:rPr>
                <w:rFonts w:ascii="Arial" w:hAnsi="Arial" w:cs="Arial"/>
                <w:bCs/>
                <w:color w:val="000000"/>
                <w:sz w:val="22"/>
                <w:szCs w:val="22"/>
              </w:rPr>
              <w:t>Monthly</w:t>
            </w:r>
          </w:p>
        </w:tc>
      </w:tr>
      <w:tr w:rsidR="00C87444" w:rsidRPr="00540679" w14:paraId="61685324"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0BEB3CBF"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Project advisory group meeting</w:t>
            </w:r>
          </w:p>
        </w:tc>
        <w:tc>
          <w:tcPr>
            <w:tcW w:w="1997" w:type="pct"/>
            <w:tcBorders>
              <w:top w:val="nil"/>
              <w:left w:val="nil"/>
              <w:bottom w:val="single" w:sz="4" w:space="0" w:color="auto"/>
              <w:right w:val="single" w:sz="4" w:space="0" w:color="auto"/>
            </w:tcBorders>
            <w:shd w:val="clear" w:color="auto" w:fill="auto"/>
            <w:vAlign w:val="center"/>
            <w:hideMark/>
          </w:tcPr>
          <w:p w14:paraId="5A861DAA"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w:t>
            </w:r>
            <w:r w:rsidRPr="00540679">
              <w:rPr>
                <w:rFonts w:ascii="Arial" w:hAnsi="Arial" w:cs="Arial"/>
                <w:bCs/>
                <w:color w:val="000000"/>
                <w:sz w:val="22"/>
                <w:szCs w:val="22"/>
              </w:rPr>
              <w:t>Attendance and minutes</w:t>
            </w:r>
          </w:p>
        </w:tc>
        <w:tc>
          <w:tcPr>
            <w:tcW w:w="1273" w:type="pct"/>
            <w:tcBorders>
              <w:top w:val="nil"/>
              <w:left w:val="nil"/>
              <w:bottom w:val="single" w:sz="4" w:space="0" w:color="auto"/>
              <w:right w:val="single" w:sz="4" w:space="0" w:color="auto"/>
            </w:tcBorders>
            <w:shd w:val="clear" w:color="auto" w:fill="auto"/>
            <w:vAlign w:val="center"/>
            <w:hideMark/>
          </w:tcPr>
          <w:p w14:paraId="662CD806" w14:textId="77777777" w:rsidR="00C87444" w:rsidRPr="00540679" w:rsidRDefault="00C87444" w:rsidP="006640D1">
            <w:pPr>
              <w:jc w:val="both"/>
              <w:rPr>
                <w:rFonts w:ascii="Arial" w:hAnsi="Arial" w:cs="Arial"/>
                <w:color w:val="000000"/>
                <w:sz w:val="22"/>
                <w:szCs w:val="22"/>
              </w:rPr>
            </w:pPr>
            <w:r w:rsidRPr="00540679">
              <w:rPr>
                <w:rFonts w:ascii="Arial" w:hAnsi="Arial" w:cs="Arial"/>
                <w:bCs/>
                <w:color w:val="000000"/>
                <w:sz w:val="22"/>
                <w:szCs w:val="22"/>
              </w:rPr>
              <w:t>6-monthly</w:t>
            </w:r>
          </w:p>
        </w:tc>
      </w:tr>
      <w:tr w:rsidR="00C87444" w:rsidRPr="00540679" w14:paraId="6F877939"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7A4A7AAB"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Ethics approval</w:t>
            </w:r>
          </w:p>
        </w:tc>
        <w:tc>
          <w:tcPr>
            <w:tcW w:w="1997" w:type="pct"/>
            <w:tcBorders>
              <w:top w:val="nil"/>
              <w:left w:val="nil"/>
              <w:bottom w:val="single" w:sz="4" w:space="0" w:color="auto"/>
              <w:right w:val="single" w:sz="4" w:space="0" w:color="auto"/>
            </w:tcBorders>
            <w:shd w:val="clear" w:color="auto" w:fill="auto"/>
            <w:vAlign w:val="center"/>
            <w:hideMark/>
          </w:tcPr>
          <w:p w14:paraId="1650F639"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-Ethics for all aims and sites obtained</w:t>
            </w:r>
          </w:p>
        </w:tc>
        <w:tc>
          <w:tcPr>
            <w:tcW w:w="1273" w:type="pct"/>
            <w:tcBorders>
              <w:top w:val="nil"/>
              <w:left w:val="nil"/>
              <w:bottom w:val="single" w:sz="4" w:space="0" w:color="auto"/>
              <w:right w:val="single" w:sz="4" w:space="0" w:color="auto"/>
            </w:tcBorders>
            <w:shd w:val="clear" w:color="auto" w:fill="auto"/>
            <w:vAlign w:val="center"/>
            <w:hideMark/>
          </w:tcPr>
          <w:p w14:paraId="3B02A52D"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12</w:t>
            </w:r>
          </w:p>
        </w:tc>
      </w:tr>
      <w:tr w:rsidR="00C87444" w:rsidRPr="00540679" w14:paraId="5EA0D72E" w14:textId="77777777">
        <w:trPr>
          <w:trHeight w:val="30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3B4283A8"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Report writing</w:t>
            </w:r>
          </w:p>
        </w:tc>
        <w:tc>
          <w:tcPr>
            <w:tcW w:w="1997" w:type="pct"/>
            <w:tcBorders>
              <w:top w:val="nil"/>
              <w:left w:val="nil"/>
              <w:bottom w:val="single" w:sz="4" w:space="0" w:color="auto"/>
              <w:right w:val="single" w:sz="4" w:space="0" w:color="auto"/>
            </w:tcBorders>
            <w:shd w:val="clear" w:color="auto" w:fill="auto"/>
            <w:vAlign w:val="center"/>
            <w:hideMark/>
          </w:tcPr>
          <w:p w14:paraId="01C198EE"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-Reports written</w:t>
            </w:r>
          </w:p>
        </w:tc>
        <w:tc>
          <w:tcPr>
            <w:tcW w:w="1273" w:type="pct"/>
            <w:tcBorders>
              <w:top w:val="nil"/>
              <w:left w:val="nil"/>
              <w:bottom w:val="single" w:sz="4" w:space="0" w:color="auto"/>
              <w:right w:val="single" w:sz="4" w:space="0" w:color="auto"/>
            </w:tcBorders>
            <w:shd w:val="clear" w:color="auto" w:fill="auto"/>
            <w:vAlign w:val="center"/>
            <w:hideMark/>
          </w:tcPr>
          <w:p w14:paraId="7B148E37"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48</w:t>
            </w:r>
          </w:p>
        </w:tc>
      </w:tr>
      <w:tr w:rsidR="00C87444" w:rsidRPr="00540679" w14:paraId="1A064715" w14:textId="77777777">
        <w:trPr>
          <w:trHeight w:val="300"/>
        </w:trPr>
        <w:tc>
          <w:tcPr>
            <w:tcW w:w="1730" w:type="pct"/>
            <w:tcBorders>
              <w:top w:val="nil"/>
              <w:left w:val="single" w:sz="4" w:space="0" w:color="auto"/>
              <w:bottom w:val="single" w:sz="4" w:space="0" w:color="auto"/>
              <w:right w:val="single" w:sz="4" w:space="0" w:color="auto"/>
            </w:tcBorders>
            <w:shd w:val="clear" w:color="auto" w:fill="auto"/>
            <w:noWrap/>
            <w:vAlign w:val="bottom"/>
            <w:hideMark/>
          </w:tcPr>
          <w:p w14:paraId="5B6BF293" w14:textId="77777777" w:rsidR="00C87444" w:rsidRPr="00540679" w:rsidRDefault="00C87444" w:rsidP="006640D1">
            <w:pPr>
              <w:jc w:val="both"/>
              <w:rPr>
                <w:rFonts w:ascii="Arial" w:hAnsi="Arial" w:cs="Arial"/>
                <w:b/>
                <w:bCs/>
                <w:i/>
                <w:iCs/>
                <w:color w:val="000000"/>
                <w:sz w:val="22"/>
                <w:szCs w:val="22"/>
              </w:rPr>
            </w:pPr>
            <w:r w:rsidRPr="00540679">
              <w:rPr>
                <w:rFonts w:ascii="Arial" w:hAnsi="Arial" w:cs="Arial"/>
                <w:b/>
                <w:bCs/>
                <w:i/>
                <w:iCs/>
                <w:color w:val="000000"/>
                <w:sz w:val="22"/>
                <w:szCs w:val="22"/>
              </w:rPr>
              <w:t>Aim 1</w:t>
            </w:r>
          </w:p>
        </w:tc>
        <w:tc>
          <w:tcPr>
            <w:tcW w:w="1997" w:type="pct"/>
            <w:tcBorders>
              <w:top w:val="nil"/>
              <w:left w:val="nil"/>
              <w:bottom w:val="single" w:sz="4" w:space="0" w:color="auto"/>
              <w:right w:val="single" w:sz="4" w:space="0" w:color="auto"/>
            </w:tcBorders>
            <w:shd w:val="clear" w:color="auto" w:fill="000000" w:themeFill="text1"/>
            <w:noWrap/>
            <w:vAlign w:val="bottom"/>
            <w:hideMark/>
          </w:tcPr>
          <w:p w14:paraId="5745DCB3"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 </w:t>
            </w:r>
          </w:p>
        </w:tc>
        <w:tc>
          <w:tcPr>
            <w:tcW w:w="1273" w:type="pct"/>
            <w:tcBorders>
              <w:top w:val="nil"/>
              <w:left w:val="nil"/>
              <w:bottom w:val="single" w:sz="4" w:space="0" w:color="auto"/>
              <w:right w:val="single" w:sz="4" w:space="0" w:color="auto"/>
            </w:tcBorders>
            <w:shd w:val="clear" w:color="auto" w:fill="000000" w:themeFill="text1"/>
            <w:noWrap/>
            <w:vAlign w:val="bottom"/>
            <w:hideMark/>
          </w:tcPr>
          <w:p w14:paraId="2E309D10" w14:textId="77777777" w:rsidR="00C87444" w:rsidRPr="00540679" w:rsidRDefault="00C87444" w:rsidP="006640D1">
            <w:pPr>
              <w:jc w:val="both"/>
              <w:rPr>
                <w:rFonts w:ascii="Arial" w:hAnsi="Arial" w:cs="Arial"/>
                <w:color w:val="000000"/>
                <w:sz w:val="22"/>
                <w:szCs w:val="22"/>
              </w:rPr>
            </w:pPr>
          </w:p>
        </w:tc>
      </w:tr>
      <w:tr w:rsidR="00C87444" w:rsidRPr="00540679" w14:paraId="6BDF2549"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7DE1A30D"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Recruitment of staff</w:t>
            </w:r>
          </w:p>
        </w:tc>
        <w:tc>
          <w:tcPr>
            <w:tcW w:w="1997" w:type="pct"/>
            <w:tcBorders>
              <w:top w:val="nil"/>
              <w:left w:val="nil"/>
              <w:bottom w:val="single" w:sz="4" w:space="0" w:color="auto"/>
              <w:right w:val="single" w:sz="4" w:space="0" w:color="auto"/>
            </w:tcBorders>
            <w:shd w:val="clear" w:color="auto" w:fill="auto"/>
            <w:vAlign w:val="center"/>
            <w:hideMark/>
          </w:tcPr>
          <w:p w14:paraId="5439334A"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-Research staff recruited and trained</w:t>
            </w:r>
          </w:p>
        </w:tc>
        <w:tc>
          <w:tcPr>
            <w:tcW w:w="1273" w:type="pct"/>
            <w:tcBorders>
              <w:top w:val="nil"/>
              <w:left w:val="nil"/>
              <w:bottom w:val="single" w:sz="4" w:space="0" w:color="auto"/>
              <w:right w:val="single" w:sz="4" w:space="0" w:color="auto"/>
            </w:tcBorders>
            <w:shd w:val="clear" w:color="auto" w:fill="auto"/>
            <w:vAlign w:val="center"/>
            <w:hideMark/>
          </w:tcPr>
          <w:p w14:paraId="31718A9B"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3</w:t>
            </w:r>
          </w:p>
        </w:tc>
      </w:tr>
      <w:tr w:rsidR="00C87444" w:rsidRPr="00540679" w14:paraId="0301ED98"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6AA65E93"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Training of pharmacist</w:t>
            </w:r>
          </w:p>
        </w:tc>
        <w:tc>
          <w:tcPr>
            <w:tcW w:w="1997" w:type="pct"/>
            <w:tcBorders>
              <w:top w:val="nil"/>
              <w:left w:val="nil"/>
              <w:bottom w:val="single" w:sz="4" w:space="0" w:color="auto"/>
              <w:right w:val="single" w:sz="4" w:space="0" w:color="auto"/>
            </w:tcBorders>
            <w:shd w:val="clear" w:color="auto" w:fill="auto"/>
            <w:vAlign w:val="center"/>
            <w:hideMark/>
          </w:tcPr>
          <w:p w14:paraId="0B870D64"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-Pharmacists trained</w:t>
            </w:r>
          </w:p>
        </w:tc>
        <w:tc>
          <w:tcPr>
            <w:tcW w:w="1273" w:type="pct"/>
            <w:tcBorders>
              <w:top w:val="nil"/>
              <w:left w:val="nil"/>
              <w:bottom w:val="single" w:sz="4" w:space="0" w:color="auto"/>
              <w:right w:val="single" w:sz="4" w:space="0" w:color="auto"/>
            </w:tcBorders>
            <w:shd w:val="clear" w:color="auto" w:fill="auto"/>
            <w:vAlign w:val="center"/>
            <w:hideMark/>
          </w:tcPr>
          <w:p w14:paraId="57195C97"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12</w:t>
            </w:r>
          </w:p>
        </w:tc>
      </w:tr>
      <w:tr w:rsidR="00C87444" w:rsidRPr="00540679" w14:paraId="1D332244" w14:textId="77777777">
        <w:trPr>
          <w:trHeight w:val="70"/>
        </w:trPr>
        <w:tc>
          <w:tcPr>
            <w:tcW w:w="1730" w:type="pct"/>
            <w:vMerge w:val="restart"/>
            <w:tcBorders>
              <w:top w:val="nil"/>
              <w:left w:val="single" w:sz="4" w:space="0" w:color="auto"/>
              <w:bottom w:val="single" w:sz="4" w:space="0" w:color="auto"/>
              <w:right w:val="single" w:sz="4" w:space="0" w:color="auto"/>
            </w:tcBorders>
            <w:shd w:val="clear" w:color="auto" w:fill="auto"/>
            <w:vAlign w:val="center"/>
            <w:hideMark/>
          </w:tcPr>
          <w:p w14:paraId="7C04806F"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Recruit participants and implement intervention</w:t>
            </w:r>
          </w:p>
        </w:tc>
        <w:tc>
          <w:tcPr>
            <w:tcW w:w="1997" w:type="pct"/>
            <w:tcBorders>
              <w:top w:val="nil"/>
              <w:left w:val="nil"/>
              <w:bottom w:val="single" w:sz="4" w:space="0" w:color="auto"/>
              <w:right w:val="single" w:sz="4" w:space="0" w:color="auto"/>
            </w:tcBorders>
            <w:shd w:val="clear" w:color="auto" w:fill="auto"/>
            <w:vAlign w:val="center"/>
            <w:hideMark/>
          </w:tcPr>
          <w:p w14:paraId="53C02693"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-Participants recruited/randomised</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0D94B6BD"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12 then monthly</w:t>
            </w:r>
          </w:p>
        </w:tc>
      </w:tr>
      <w:tr w:rsidR="00C87444" w:rsidRPr="00540679" w14:paraId="42C9DC0C" w14:textId="77777777">
        <w:trPr>
          <w:trHeight w:val="300"/>
        </w:trPr>
        <w:tc>
          <w:tcPr>
            <w:tcW w:w="1730" w:type="pct"/>
            <w:vMerge/>
            <w:tcBorders>
              <w:top w:val="nil"/>
              <w:left w:val="single" w:sz="4" w:space="0" w:color="auto"/>
              <w:bottom w:val="single" w:sz="4" w:space="0" w:color="auto"/>
              <w:right w:val="single" w:sz="4" w:space="0" w:color="auto"/>
            </w:tcBorders>
            <w:vAlign w:val="center"/>
            <w:hideMark/>
          </w:tcPr>
          <w:p w14:paraId="4DB6479F" w14:textId="77777777" w:rsidR="00C87444" w:rsidRPr="00540679" w:rsidRDefault="00C87444" w:rsidP="006640D1">
            <w:pPr>
              <w:jc w:val="both"/>
              <w:rPr>
                <w:rFonts w:ascii="Arial" w:hAnsi="Arial" w:cs="Arial"/>
                <w:color w:val="000000"/>
                <w:sz w:val="22"/>
                <w:szCs w:val="22"/>
              </w:rPr>
            </w:pPr>
          </w:p>
        </w:tc>
        <w:tc>
          <w:tcPr>
            <w:tcW w:w="1997" w:type="pct"/>
            <w:tcBorders>
              <w:top w:val="nil"/>
              <w:left w:val="nil"/>
              <w:bottom w:val="single" w:sz="4" w:space="0" w:color="auto"/>
              <w:right w:val="single" w:sz="4" w:space="0" w:color="auto"/>
            </w:tcBorders>
            <w:shd w:val="clear" w:color="auto" w:fill="auto"/>
            <w:vAlign w:val="center"/>
            <w:hideMark/>
          </w:tcPr>
          <w:p w14:paraId="64E66C16"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-Intervention implemented</w:t>
            </w:r>
          </w:p>
        </w:tc>
        <w:tc>
          <w:tcPr>
            <w:tcW w:w="1273" w:type="pct"/>
            <w:vMerge/>
            <w:tcBorders>
              <w:top w:val="nil"/>
              <w:left w:val="single" w:sz="4" w:space="0" w:color="auto"/>
              <w:bottom w:val="single" w:sz="4" w:space="0" w:color="auto"/>
              <w:right w:val="single" w:sz="4" w:space="0" w:color="auto"/>
            </w:tcBorders>
            <w:vAlign w:val="center"/>
            <w:hideMark/>
          </w:tcPr>
          <w:p w14:paraId="76CD7336" w14:textId="77777777" w:rsidR="00C87444" w:rsidRPr="00540679" w:rsidRDefault="00C87444" w:rsidP="006640D1">
            <w:pPr>
              <w:jc w:val="both"/>
              <w:rPr>
                <w:rFonts w:ascii="Arial" w:hAnsi="Arial" w:cs="Arial"/>
                <w:color w:val="000000"/>
                <w:sz w:val="22"/>
                <w:szCs w:val="22"/>
              </w:rPr>
            </w:pPr>
          </w:p>
        </w:tc>
      </w:tr>
      <w:tr w:rsidR="00C87444" w:rsidRPr="00540679" w14:paraId="646335E5"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550B94E5"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Data analysis</w:t>
            </w:r>
          </w:p>
        </w:tc>
        <w:tc>
          <w:tcPr>
            <w:tcW w:w="1997" w:type="pct"/>
            <w:tcBorders>
              <w:top w:val="nil"/>
              <w:left w:val="nil"/>
              <w:bottom w:val="single" w:sz="4" w:space="0" w:color="auto"/>
              <w:right w:val="single" w:sz="4" w:space="0" w:color="auto"/>
            </w:tcBorders>
            <w:shd w:val="clear" w:color="auto" w:fill="auto"/>
            <w:vAlign w:val="center"/>
            <w:hideMark/>
          </w:tcPr>
          <w:p w14:paraId="385BFB8B"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-All data analysis completed</w:t>
            </w:r>
          </w:p>
        </w:tc>
        <w:tc>
          <w:tcPr>
            <w:tcW w:w="1273" w:type="pct"/>
            <w:tcBorders>
              <w:top w:val="nil"/>
              <w:left w:val="nil"/>
              <w:bottom w:val="single" w:sz="4" w:space="0" w:color="auto"/>
              <w:right w:val="single" w:sz="4" w:space="0" w:color="auto"/>
            </w:tcBorders>
            <w:shd w:val="clear" w:color="auto" w:fill="auto"/>
            <w:vAlign w:val="center"/>
            <w:hideMark/>
          </w:tcPr>
          <w:p w14:paraId="3BCDE1FB"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40</w:t>
            </w:r>
          </w:p>
        </w:tc>
      </w:tr>
      <w:tr w:rsidR="00C87444" w:rsidRPr="00540679" w14:paraId="38B539D2" w14:textId="77777777">
        <w:trPr>
          <w:trHeight w:val="300"/>
        </w:trPr>
        <w:tc>
          <w:tcPr>
            <w:tcW w:w="1730" w:type="pct"/>
            <w:tcBorders>
              <w:top w:val="nil"/>
              <w:left w:val="single" w:sz="4" w:space="0" w:color="auto"/>
              <w:bottom w:val="single" w:sz="4" w:space="0" w:color="auto"/>
              <w:right w:val="single" w:sz="4" w:space="0" w:color="auto"/>
            </w:tcBorders>
            <w:shd w:val="clear" w:color="auto" w:fill="auto"/>
            <w:noWrap/>
            <w:vAlign w:val="bottom"/>
            <w:hideMark/>
          </w:tcPr>
          <w:p w14:paraId="4D17789E" w14:textId="77777777" w:rsidR="00C87444" w:rsidRPr="00540679" w:rsidRDefault="00C87444" w:rsidP="006640D1">
            <w:pPr>
              <w:jc w:val="both"/>
              <w:rPr>
                <w:rFonts w:ascii="Arial" w:hAnsi="Arial" w:cs="Arial"/>
                <w:b/>
                <w:bCs/>
                <w:i/>
                <w:iCs/>
                <w:color w:val="000000"/>
                <w:sz w:val="22"/>
                <w:szCs w:val="22"/>
              </w:rPr>
            </w:pPr>
            <w:r w:rsidRPr="00540679">
              <w:rPr>
                <w:rFonts w:ascii="Arial" w:hAnsi="Arial" w:cs="Arial"/>
                <w:b/>
                <w:bCs/>
                <w:i/>
                <w:iCs/>
                <w:color w:val="000000"/>
                <w:sz w:val="22"/>
                <w:szCs w:val="22"/>
              </w:rPr>
              <w:t>Aim 2</w:t>
            </w:r>
          </w:p>
        </w:tc>
        <w:tc>
          <w:tcPr>
            <w:tcW w:w="1997" w:type="pct"/>
            <w:tcBorders>
              <w:top w:val="nil"/>
              <w:left w:val="nil"/>
              <w:bottom w:val="single" w:sz="4" w:space="0" w:color="auto"/>
              <w:right w:val="single" w:sz="4" w:space="0" w:color="auto"/>
            </w:tcBorders>
            <w:shd w:val="clear" w:color="auto" w:fill="auto"/>
            <w:noWrap/>
            <w:vAlign w:val="bottom"/>
            <w:hideMark/>
          </w:tcPr>
          <w:p w14:paraId="187B2ADB"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 </w:t>
            </w:r>
          </w:p>
        </w:tc>
        <w:tc>
          <w:tcPr>
            <w:tcW w:w="1273" w:type="pct"/>
            <w:tcBorders>
              <w:top w:val="nil"/>
              <w:left w:val="nil"/>
              <w:bottom w:val="single" w:sz="4" w:space="0" w:color="auto"/>
              <w:right w:val="single" w:sz="4" w:space="0" w:color="auto"/>
            </w:tcBorders>
            <w:shd w:val="clear" w:color="auto" w:fill="auto"/>
            <w:noWrap/>
            <w:vAlign w:val="bottom"/>
            <w:hideMark/>
          </w:tcPr>
          <w:p w14:paraId="4827C4C9" w14:textId="77777777" w:rsidR="00C87444" w:rsidRPr="00540679" w:rsidRDefault="00C87444" w:rsidP="006640D1">
            <w:pPr>
              <w:jc w:val="both"/>
              <w:rPr>
                <w:rFonts w:ascii="Arial" w:hAnsi="Arial" w:cs="Arial"/>
                <w:color w:val="000000"/>
                <w:sz w:val="22"/>
                <w:szCs w:val="22"/>
              </w:rPr>
            </w:pPr>
          </w:p>
        </w:tc>
      </w:tr>
      <w:tr w:rsidR="00C87444" w:rsidRPr="00540679" w14:paraId="757BFD24"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1B780F39"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Economic evaluation</w:t>
            </w:r>
          </w:p>
        </w:tc>
        <w:tc>
          <w:tcPr>
            <w:tcW w:w="1997" w:type="pct"/>
            <w:tcBorders>
              <w:top w:val="nil"/>
              <w:left w:val="nil"/>
              <w:bottom w:val="single" w:sz="4" w:space="0" w:color="auto"/>
              <w:right w:val="single" w:sz="4" w:space="0" w:color="auto"/>
            </w:tcBorders>
            <w:shd w:val="clear" w:color="auto" w:fill="auto"/>
            <w:vAlign w:val="center"/>
            <w:hideMark/>
          </w:tcPr>
          <w:p w14:paraId="67ECC0B1"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-Economic evaluation completed</w:t>
            </w:r>
          </w:p>
        </w:tc>
        <w:tc>
          <w:tcPr>
            <w:tcW w:w="1273" w:type="pct"/>
            <w:tcBorders>
              <w:top w:val="nil"/>
              <w:left w:val="nil"/>
              <w:bottom w:val="single" w:sz="4" w:space="0" w:color="auto"/>
              <w:right w:val="single" w:sz="4" w:space="0" w:color="auto"/>
            </w:tcBorders>
            <w:shd w:val="clear" w:color="auto" w:fill="auto"/>
            <w:vAlign w:val="center"/>
            <w:hideMark/>
          </w:tcPr>
          <w:p w14:paraId="00A92EFB"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45</w:t>
            </w:r>
          </w:p>
        </w:tc>
      </w:tr>
      <w:tr w:rsidR="00C87444" w:rsidRPr="00540679" w14:paraId="6DBB02DC" w14:textId="77777777">
        <w:trPr>
          <w:trHeight w:val="300"/>
        </w:trPr>
        <w:tc>
          <w:tcPr>
            <w:tcW w:w="1730" w:type="pct"/>
            <w:tcBorders>
              <w:top w:val="nil"/>
              <w:left w:val="single" w:sz="4" w:space="0" w:color="auto"/>
              <w:bottom w:val="single" w:sz="4" w:space="0" w:color="auto"/>
              <w:right w:val="single" w:sz="4" w:space="0" w:color="auto"/>
            </w:tcBorders>
            <w:shd w:val="clear" w:color="auto" w:fill="auto"/>
            <w:noWrap/>
            <w:vAlign w:val="bottom"/>
            <w:hideMark/>
          </w:tcPr>
          <w:p w14:paraId="30AB437E" w14:textId="77777777" w:rsidR="00C87444" w:rsidRPr="00540679" w:rsidRDefault="00C87444" w:rsidP="006640D1">
            <w:pPr>
              <w:jc w:val="both"/>
              <w:rPr>
                <w:rFonts w:ascii="Arial" w:hAnsi="Arial" w:cs="Arial"/>
                <w:b/>
                <w:bCs/>
                <w:i/>
                <w:iCs/>
                <w:color w:val="000000"/>
                <w:sz w:val="22"/>
                <w:szCs w:val="22"/>
              </w:rPr>
            </w:pPr>
            <w:r w:rsidRPr="00540679">
              <w:rPr>
                <w:rFonts w:ascii="Arial" w:hAnsi="Arial" w:cs="Arial"/>
                <w:b/>
                <w:bCs/>
                <w:i/>
                <w:iCs/>
                <w:color w:val="000000"/>
                <w:sz w:val="22"/>
                <w:szCs w:val="22"/>
              </w:rPr>
              <w:t>Aim 3</w:t>
            </w:r>
          </w:p>
        </w:tc>
        <w:tc>
          <w:tcPr>
            <w:tcW w:w="1997" w:type="pct"/>
            <w:tcBorders>
              <w:top w:val="nil"/>
              <w:left w:val="nil"/>
              <w:bottom w:val="single" w:sz="4" w:space="0" w:color="auto"/>
              <w:right w:val="single" w:sz="4" w:space="0" w:color="auto"/>
            </w:tcBorders>
            <w:shd w:val="clear" w:color="auto" w:fill="000000" w:themeFill="text1"/>
            <w:noWrap/>
            <w:vAlign w:val="bottom"/>
            <w:hideMark/>
          </w:tcPr>
          <w:p w14:paraId="35491011"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 </w:t>
            </w:r>
          </w:p>
        </w:tc>
        <w:tc>
          <w:tcPr>
            <w:tcW w:w="1273" w:type="pct"/>
            <w:tcBorders>
              <w:top w:val="nil"/>
              <w:left w:val="nil"/>
              <w:bottom w:val="single" w:sz="4" w:space="0" w:color="auto"/>
              <w:right w:val="single" w:sz="4" w:space="0" w:color="auto"/>
            </w:tcBorders>
            <w:shd w:val="clear" w:color="auto" w:fill="000000" w:themeFill="text1"/>
            <w:noWrap/>
            <w:vAlign w:val="bottom"/>
            <w:hideMark/>
          </w:tcPr>
          <w:p w14:paraId="4EFA271A" w14:textId="77777777" w:rsidR="00C87444" w:rsidRPr="00540679" w:rsidRDefault="00C87444" w:rsidP="006640D1">
            <w:pPr>
              <w:jc w:val="both"/>
              <w:rPr>
                <w:rFonts w:ascii="Arial" w:hAnsi="Arial" w:cs="Arial"/>
                <w:color w:val="000000"/>
                <w:sz w:val="22"/>
                <w:szCs w:val="22"/>
              </w:rPr>
            </w:pPr>
          </w:p>
        </w:tc>
      </w:tr>
      <w:tr w:rsidR="00C87444" w:rsidRPr="00540679" w14:paraId="0A71B81D" w14:textId="77777777">
        <w:trPr>
          <w:trHeight w:val="70"/>
        </w:trPr>
        <w:tc>
          <w:tcPr>
            <w:tcW w:w="1730" w:type="pct"/>
            <w:vMerge w:val="restart"/>
            <w:tcBorders>
              <w:top w:val="nil"/>
              <w:left w:val="single" w:sz="4" w:space="0" w:color="auto"/>
              <w:bottom w:val="single" w:sz="4" w:space="0" w:color="auto"/>
              <w:right w:val="single" w:sz="4" w:space="0" w:color="auto"/>
            </w:tcBorders>
            <w:shd w:val="clear" w:color="auto" w:fill="auto"/>
            <w:vAlign w:val="center"/>
            <w:hideMark/>
          </w:tcPr>
          <w:p w14:paraId="3A6999C6"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Recruitment of participants and conduct qualitative interviews</w:t>
            </w:r>
          </w:p>
        </w:tc>
        <w:tc>
          <w:tcPr>
            <w:tcW w:w="1997" w:type="pct"/>
            <w:tcBorders>
              <w:top w:val="nil"/>
              <w:left w:val="nil"/>
              <w:bottom w:val="single" w:sz="4" w:space="0" w:color="auto"/>
              <w:right w:val="single" w:sz="4" w:space="0" w:color="auto"/>
            </w:tcBorders>
            <w:shd w:val="clear" w:color="auto" w:fill="auto"/>
            <w:vAlign w:val="center"/>
            <w:hideMark/>
          </w:tcPr>
          <w:p w14:paraId="003D117B"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-Participants recruited</w:t>
            </w:r>
          </w:p>
        </w:tc>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14:paraId="41D45946"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30 then monthly</w:t>
            </w:r>
          </w:p>
        </w:tc>
      </w:tr>
      <w:tr w:rsidR="00C87444" w:rsidRPr="00540679" w14:paraId="1712C944" w14:textId="77777777">
        <w:trPr>
          <w:trHeight w:val="70"/>
        </w:trPr>
        <w:tc>
          <w:tcPr>
            <w:tcW w:w="1730" w:type="pct"/>
            <w:vMerge/>
            <w:tcBorders>
              <w:top w:val="nil"/>
              <w:left w:val="single" w:sz="4" w:space="0" w:color="auto"/>
              <w:bottom w:val="single" w:sz="4" w:space="0" w:color="auto"/>
              <w:right w:val="single" w:sz="4" w:space="0" w:color="auto"/>
            </w:tcBorders>
            <w:vAlign w:val="center"/>
            <w:hideMark/>
          </w:tcPr>
          <w:p w14:paraId="47B0DEB1" w14:textId="77777777" w:rsidR="00C87444" w:rsidRPr="00540679" w:rsidRDefault="00C87444" w:rsidP="006640D1">
            <w:pPr>
              <w:jc w:val="both"/>
              <w:rPr>
                <w:rFonts w:ascii="Arial" w:hAnsi="Arial" w:cs="Arial"/>
                <w:color w:val="000000"/>
                <w:sz w:val="22"/>
                <w:szCs w:val="22"/>
              </w:rPr>
            </w:pPr>
          </w:p>
        </w:tc>
        <w:tc>
          <w:tcPr>
            <w:tcW w:w="1997" w:type="pct"/>
            <w:tcBorders>
              <w:top w:val="nil"/>
              <w:left w:val="nil"/>
              <w:bottom w:val="single" w:sz="4" w:space="0" w:color="auto"/>
              <w:right w:val="single" w:sz="4" w:space="0" w:color="auto"/>
            </w:tcBorders>
            <w:shd w:val="clear" w:color="auto" w:fill="auto"/>
            <w:vAlign w:val="center"/>
            <w:hideMark/>
          </w:tcPr>
          <w:p w14:paraId="675C01F1"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-Interviews and transcription</w:t>
            </w:r>
          </w:p>
        </w:tc>
        <w:tc>
          <w:tcPr>
            <w:tcW w:w="1273" w:type="pct"/>
            <w:vMerge/>
            <w:tcBorders>
              <w:top w:val="nil"/>
              <w:left w:val="single" w:sz="4" w:space="0" w:color="auto"/>
              <w:bottom w:val="single" w:sz="4" w:space="0" w:color="auto"/>
              <w:right w:val="single" w:sz="4" w:space="0" w:color="auto"/>
            </w:tcBorders>
            <w:vAlign w:val="center"/>
            <w:hideMark/>
          </w:tcPr>
          <w:p w14:paraId="4FC36BFE" w14:textId="77777777" w:rsidR="00C87444" w:rsidRPr="00540679" w:rsidRDefault="00C87444" w:rsidP="006640D1">
            <w:pPr>
              <w:jc w:val="both"/>
              <w:rPr>
                <w:rFonts w:ascii="Arial" w:hAnsi="Arial" w:cs="Arial"/>
                <w:color w:val="000000"/>
                <w:sz w:val="22"/>
                <w:szCs w:val="22"/>
              </w:rPr>
            </w:pPr>
          </w:p>
        </w:tc>
      </w:tr>
      <w:tr w:rsidR="00C87444" w:rsidRPr="00540679" w14:paraId="7CF6D91C" w14:textId="77777777">
        <w:trPr>
          <w:trHeight w:val="70"/>
        </w:trPr>
        <w:tc>
          <w:tcPr>
            <w:tcW w:w="1730" w:type="pct"/>
            <w:tcBorders>
              <w:top w:val="nil"/>
              <w:left w:val="single" w:sz="4" w:space="0" w:color="auto"/>
              <w:bottom w:val="single" w:sz="4" w:space="0" w:color="auto"/>
              <w:right w:val="single" w:sz="4" w:space="0" w:color="auto"/>
            </w:tcBorders>
            <w:shd w:val="clear" w:color="auto" w:fill="auto"/>
            <w:vAlign w:val="center"/>
            <w:hideMark/>
          </w:tcPr>
          <w:p w14:paraId="46BFEEF3"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Thematic analysis</w:t>
            </w:r>
          </w:p>
        </w:tc>
        <w:tc>
          <w:tcPr>
            <w:tcW w:w="1997" w:type="pct"/>
            <w:tcBorders>
              <w:top w:val="nil"/>
              <w:left w:val="nil"/>
              <w:bottom w:val="single" w:sz="4" w:space="0" w:color="auto"/>
              <w:right w:val="single" w:sz="4" w:space="0" w:color="auto"/>
            </w:tcBorders>
            <w:shd w:val="clear" w:color="auto" w:fill="auto"/>
            <w:vAlign w:val="center"/>
            <w:hideMark/>
          </w:tcPr>
          <w:p w14:paraId="4C3EB16D"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-All data analysis</w:t>
            </w:r>
          </w:p>
        </w:tc>
        <w:tc>
          <w:tcPr>
            <w:tcW w:w="1273" w:type="pct"/>
            <w:tcBorders>
              <w:top w:val="nil"/>
              <w:left w:val="nil"/>
              <w:bottom w:val="single" w:sz="4" w:space="0" w:color="auto"/>
              <w:right w:val="single" w:sz="4" w:space="0" w:color="auto"/>
            </w:tcBorders>
            <w:shd w:val="clear" w:color="auto" w:fill="auto"/>
            <w:vAlign w:val="center"/>
            <w:hideMark/>
          </w:tcPr>
          <w:p w14:paraId="1C297193" w14:textId="77777777" w:rsidR="00C87444" w:rsidRPr="00540679" w:rsidRDefault="00C87444" w:rsidP="006640D1">
            <w:pPr>
              <w:jc w:val="both"/>
              <w:rPr>
                <w:rFonts w:ascii="Arial" w:hAnsi="Arial" w:cs="Arial"/>
                <w:color w:val="000000"/>
                <w:sz w:val="22"/>
                <w:szCs w:val="22"/>
              </w:rPr>
            </w:pPr>
            <w:r w:rsidRPr="00540679">
              <w:rPr>
                <w:rFonts w:ascii="Arial" w:hAnsi="Arial" w:cs="Arial"/>
                <w:color w:val="000000"/>
                <w:sz w:val="22"/>
                <w:szCs w:val="22"/>
              </w:rPr>
              <w:t>40</w:t>
            </w:r>
          </w:p>
        </w:tc>
      </w:tr>
    </w:tbl>
    <w:p w14:paraId="5D93C66D" w14:textId="77777777" w:rsidR="00C87444" w:rsidRPr="00540679" w:rsidRDefault="00C87444" w:rsidP="006640D1">
      <w:pPr>
        <w:pStyle w:val="Bodycopy"/>
        <w:spacing w:after="100"/>
        <w:rPr>
          <w:sz w:val="22"/>
          <w:szCs w:val="22"/>
        </w:rPr>
      </w:pPr>
      <w:r w:rsidRPr="00540679">
        <w:rPr>
          <w:sz w:val="22"/>
          <w:szCs w:val="22"/>
        </w:rPr>
        <w:t>With these established collaborations, outstanding content expertise, strong track history of grant funding and outputs relative to opportunity, and successful translation of evidence into practice, the CI team is uniquely qualified to drive the TIC TOC study to a successful outcome.</w:t>
      </w:r>
    </w:p>
    <w:p w14:paraId="06603AF6" w14:textId="77777777" w:rsidR="00012844" w:rsidRPr="00540679" w:rsidRDefault="00012844" w:rsidP="00450484">
      <w:pPr>
        <w:spacing w:line="276" w:lineRule="auto"/>
        <w:outlineLvl w:val="0"/>
        <w:rPr>
          <w:rFonts w:ascii="Arial" w:hAnsi="Arial" w:cs="Arial"/>
          <w:b/>
          <w:sz w:val="22"/>
          <w:szCs w:val="22"/>
        </w:rPr>
      </w:pPr>
    </w:p>
    <w:p w14:paraId="49407711" w14:textId="76E9FF5F" w:rsidR="00450484" w:rsidRPr="00540679" w:rsidRDefault="00450484" w:rsidP="00450484">
      <w:pPr>
        <w:spacing w:line="276" w:lineRule="auto"/>
        <w:outlineLvl w:val="0"/>
        <w:rPr>
          <w:rStyle w:val="Hyperlink"/>
          <w:rFonts w:ascii="Arial" w:hAnsi="Arial" w:cs="Arial"/>
          <w:b/>
          <w:bCs/>
          <w:color w:val="auto"/>
          <w:sz w:val="22"/>
          <w:szCs w:val="22"/>
          <w:u w:val="none"/>
        </w:rPr>
      </w:pPr>
      <w:r w:rsidRPr="00540679">
        <w:rPr>
          <w:rFonts w:ascii="Arial" w:hAnsi="Arial" w:cs="Arial"/>
          <w:b/>
          <w:sz w:val="22"/>
          <w:szCs w:val="22"/>
        </w:rPr>
        <w:t xml:space="preserve">7.  </w:t>
      </w:r>
      <w:r w:rsidRPr="00540679">
        <w:rPr>
          <w:rStyle w:val="Hyperlink"/>
          <w:rFonts w:ascii="Arial" w:hAnsi="Arial" w:cs="Arial"/>
          <w:b/>
          <w:bCs/>
          <w:color w:val="auto"/>
          <w:sz w:val="22"/>
          <w:szCs w:val="22"/>
          <w:u w:val="none"/>
        </w:rPr>
        <w:t>RISK MANAGEMENT PLAN</w:t>
      </w:r>
    </w:p>
    <w:p w14:paraId="19BD3B74" w14:textId="77777777" w:rsidR="00130857" w:rsidRPr="00540679" w:rsidRDefault="00130857" w:rsidP="00130857">
      <w:pPr>
        <w:ind w:firstLine="360"/>
        <w:rPr>
          <w:rFonts w:ascii="Arial" w:hAnsi="Arial" w:cs="Arial"/>
          <w:sz w:val="22"/>
          <w:szCs w:val="22"/>
        </w:rPr>
      </w:pPr>
    </w:p>
    <w:tbl>
      <w:tblPr>
        <w:tblStyle w:val="TableGrid"/>
        <w:tblW w:w="0" w:type="auto"/>
        <w:tblLook w:val="04A0" w:firstRow="1" w:lastRow="0" w:firstColumn="1" w:lastColumn="0" w:noHBand="0" w:noVBand="1"/>
      </w:tblPr>
      <w:tblGrid>
        <w:gridCol w:w="1549"/>
        <w:gridCol w:w="1905"/>
        <w:gridCol w:w="5562"/>
      </w:tblGrid>
      <w:tr w:rsidR="00130857" w:rsidRPr="00540679" w14:paraId="6569B754" w14:textId="77777777" w:rsidTr="1F65B294">
        <w:tc>
          <w:tcPr>
            <w:tcW w:w="1517" w:type="dxa"/>
          </w:tcPr>
          <w:p w14:paraId="0B9E806D" w14:textId="77777777" w:rsidR="00130857" w:rsidRPr="00540679" w:rsidRDefault="00130857" w:rsidP="003C505F">
            <w:pPr>
              <w:rPr>
                <w:rFonts w:ascii="Arial" w:eastAsia="Calibri" w:hAnsi="Arial" w:cs="Arial"/>
                <w:b/>
                <w:bCs/>
                <w:iCs/>
                <w:sz w:val="22"/>
                <w:szCs w:val="22"/>
              </w:rPr>
            </w:pPr>
            <w:r w:rsidRPr="00540679">
              <w:rPr>
                <w:rFonts w:ascii="Arial" w:eastAsia="Calibri" w:hAnsi="Arial" w:cs="Arial"/>
                <w:b/>
                <w:bCs/>
                <w:iCs/>
                <w:sz w:val="22"/>
                <w:szCs w:val="22"/>
              </w:rPr>
              <w:t>Risk theme</w:t>
            </w:r>
          </w:p>
        </w:tc>
        <w:tc>
          <w:tcPr>
            <w:tcW w:w="1906" w:type="dxa"/>
          </w:tcPr>
          <w:p w14:paraId="5AB17A50" w14:textId="77777777" w:rsidR="00130857" w:rsidRPr="00540679" w:rsidRDefault="00130857" w:rsidP="003C505F">
            <w:pPr>
              <w:rPr>
                <w:rFonts w:ascii="Arial" w:eastAsia="Calibri" w:hAnsi="Arial" w:cs="Arial"/>
                <w:b/>
                <w:bCs/>
                <w:iCs/>
                <w:sz w:val="22"/>
                <w:szCs w:val="22"/>
              </w:rPr>
            </w:pPr>
            <w:r w:rsidRPr="00540679">
              <w:rPr>
                <w:rFonts w:ascii="Arial" w:eastAsia="Calibri" w:hAnsi="Arial" w:cs="Arial"/>
                <w:b/>
                <w:bCs/>
                <w:iCs/>
                <w:sz w:val="22"/>
                <w:szCs w:val="22"/>
              </w:rPr>
              <w:t>Risk</w:t>
            </w:r>
          </w:p>
        </w:tc>
        <w:tc>
          <w:tcPr>
            <w:tcW w:w="5593" w:type="dxa"/>
          </w:tcPr>
          <w:p w14:paraId="65AE290D" w14:textId="77777777" w:rsidR="00130857" w:rsidRPr="00540679" w:rsidRDefault="00130857" w:rsidP="003C505F">
            <w:pPr>
              <w:rPr>
                <w:rFonts w:ascii="Arial" w:eastAsia="Calibri" w:hAnsi="Arial" w:cs="Arial"/>
                <w:b/>
                <w:bCs/>
                <w:iCs/>
                <w:sz w:val="22"/>
                <w:szCs w:val="22"/>
              </w:rPr>
            </w:pPr>
            <w:r w:rsidRPr="00540679">
              <w:rPr>
                <w:rFonts w:ascii="Arial" w:eastAsia="Calibri" w:hAnsi="Arial" w:cs="Arial"/>
                <w:b/>
                <w:bCs/>
                <w:iCs/>
                <w:sz w:val="22"/>
                <w:szCs w:val="22"/>
              </w:rPr>
              <w:t>How risk is managed/mitigated </w:t>
            </w:r>
          </w:p>
        </w:tc>
      </w:tr>
      <w:tr w:rsidR="00130857" w:rsidRPr="00540679" w14:paraId="6540170F" w14:textId="77777777" w:rsidTr="1F65B294">
        <w:tc>
          <w:tcPr>
            <w:tcW w:w="1517" w:type="dxa"/>
          </w:tcPr>
          <w:p w14:paraId="23AB0907"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People (Recruitment)</w:t>
            </w:r>
          </w:p>
        </w:tc>
        <w:tc>
          <w:tcPr>
            <w:tcW w:w="1906" w:type="dxa"/>
          </w:tcPr>
          <w:p w14:paraId="73862084"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Recruitment of Project Research Personnel is delayed, which may delay project.</w:t>
            </w:r>
          </w:p>
        </w:tc>
        <w:tc>
          <w:tcPr>
            <w:tcW w:w="5593" w:type="dxa"/>
          </w:tcPr>
          <w:p w14:paraId="7B9A5306"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The project will be managed by CI Penm and the rest of the team until the positions are recruited. The Research assistants also have staggered starting times to coincide with major phases of the study. It is unlikely that there would be delays in recruitment for all, and employment at full-time allows us to tweak employee hours if required.</w:t>
            </w:r>
          </w:p>
          <w:p w14:paraId="6A6FFCBF"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lastRenderedPageBreak/>
              <w:t>Likelihood: Possible; Consequence: Minor; Acceptability: Acceptable.</w:t>
            </w:r>
          </w:p>
        </w:tc>
      </w:tr>
      <w:tr w:rsidR="00130857" w:rsidRPr="00540679" w14:paraId="33F59782" w14:textId="77777777" w:rsidTr="1F65B294">
        <w:tc>
          <w:tcPr>
            <w:tcW w:w="1517" w:type="dxa"/>
          </w:tcPr>
          <w:p w14:paraId="66C174F6"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lastRenderedPageBreak/>
              <w:t>Delivery (Budget)</w:t>
            </w:r>
          </w:p>
        </w:tc>
        <w:tc>
          <w:tcPr>
            <w:tcW w:w="1906" w:type="dxa"/>
          </w:tcPr>
          <w:p w14:paraId="26B0EB65"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Project requires more resources or breaches timepoints, which may cause the budget to be exceeded.</w:t>
            </w:r>
            <w:r w:rsidRPr="00540679">
              <w:rPr>
                <w:rStyle w:val="normaltextrun"/>
                <w:rFonts w:ascii="Arial" w:hAnsi="Arial" w:cs="Arial"/>
                <w:sz w:val="22"/>
                <w:szCs w:val="22"/>
              </w:rPr>
              <w:t> </w:t>
            </w:r>
          </w:p>
        </w:tc>
        <w:tc>
          <w:tcPr>
            <w:tcW w:w="5593" w:type="dxa"/>
          </w:tcPr>
          <w:p w14:paraId="6C4335FD" w14:textId="01B015B5"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 xml:space="preserve">Project plan will be approved and strictly monitored by the project team to ensure adherence to budget. Some leeway in time to recruit patients at each of the sites has been added. We have based recruitment over </w:t>
            </w:r>
            <w:r w:rsidR="00B72242" w:rsidRPr="00540679">
              <w:rPr>
                <w:rStyle w:val="normaltextrun"/>
                <w:rFonts w:ascii="Arial" w:hAnsi="Arial" w:cs="Arial"/>
                <w:color w:val="000000"/>
                <w:sz w:val="22"/>
                <w:szCs w:val="22"/>
                <w:shd w:val="clear" w:color="auto" w:fill="FFFFFF"/>
              </w:rPr>
              <w:t>an</w:t>
            </w:r>
            <w:r w:rsidRPr="00540679">
              <w:rPr>
                <w:rStyle w:val="normaltextrun"/>
                <w:rFonts w:ascii="Arial" w:hAnsi="Arial" w:cs="Arial"/>
                <w:color w:val="000000"/>
                <w:sz w:val="22"/>
                <w:szCs w:val="22"/>
                <w:shd w:val="clear" w:color="auto" w:fill="FFFFFF"/>
              </w:rPr>
              <w:t xml:space="preserve"> 18-month period and if targets per week are met this will </w:t>
            </w:r>
            <w:r w:rsidR="00B72242" w:rsidRPr="00540679">
              <w:rPr>
                <w:rStyle w:val="normaltextrun"/>
                <w:rFonts w:ascii="Arial" w:hAnsi="Arial" w:cs="Arial"/>
                <w:color w:val="000000"/>
                <w:sz w:val="22"/>
                <w:szCs w:val="22"/>
                <w:shd w:val="clear" w:color="auto" w:fill="FFFFFF"/>
              </w:rPr>
              <w:t>take</w:t>
            </w:r>
            <w:r w:rsidRPr="00540679">
              <w:rPr>
                <w:rStyle w:val="normaltextrun"/>
                <w:rFonts w:ascii="Arial" w:hAnsi="Arial" w:cs="Arial"/>
                <w:color w:val="000000"/>
                <w:sz w:val="22"/>
                <w:szCs w:val="22"/>
                <w:shd w:val="clear" w:color="auto" w:fill="FFFFFF"/>
              </w:rPr>
              <w:t xml:space="preserve"> less than the allocated time, however if consumer recruitment is more difficult the time buffer should allow us to still stay on our time targets.</w:t>
            </w:r>
          </w:p>
          <w:p w14:paraId="697B22DE"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Likelihood: Unlikely; Consequence: Moderate; Acceptability: Acceptable.</w:t>
            </w:r>
          </w:p>
        </w:tc>
      </w:tr>
      <w:tr w:rsidR="00130857" w:rsidRPr="00540679" w14:paraId="61B4E9E2" w14:textId="77777777" w:rsidTr="1F65B294">
        <w:tc>
          <w:tcPr>
            <w:tcW w:w="1517" w:type="dxa"/>
          </w:tcPr>
          <w:p w14:paraId="6FC22F8A"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Regulatory (Ethics) </w:t>
            </w:r>
          </w:p>
        </w:tc>
        <w:tc>
          <w:tcPr>
            <w:tcW w:w="1906" w:type="dxa"/>
          </w:tcPr>
          <w:p w14:paraId="07A6AEC2"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Ethics approval delay, which may delay recruitment and lead to further costs if timeline is extended. </w:t>
            </w:r>
          </w:p>
        </w:tc>
        <w:tc>
          <w:tcPr>
            <w:tcW w:w="5593" w:type="dxa"/>
          </w:tcPr>
          <w:p w14:paraId="208AF210" w14:textId="77777777" w:rsidR="00130857" w:rsidRPr="00540679" w:rsidRDefault="00130857" w:rsidP="003C505F">
            <w:pPr>
              <w:pStyle w:val="paragraph"/>
              <w:spacing w:before="0" w:beforeAutospacing="0" w:after="0" w:afterAutospacing="0"/>
              <w:textAlignment w:val="baseline"/>
              <w:rPr>
                <w:rStyle w:val="normaltextrun"/>
                <w:rFonts w:ascii="Arial" w:eastAsiaTheme="minorEastAsia" w:hAnsi="Arial" w:cs="Arial"/>
                <w:color w:val="000000"/>
                <w:sz w:val="22"/>
                <w:szCs w:val="22"/>
                <w:shd w:val="clear" w:color="auto" w:fill="FFFFFF"/>
                <w:lang w:eastAsia="en-US"/>
              </w:rPr>
            </w:pPr>
            <w:r w:rsidRPr="00540679">
              <w:rPr>
                <w:rStyle w:val="normaltextrun"/>
                <w:rFonts w:ascii="Arial" w:eastAsiaTheme="minorEastAsia" w:hAnsi="Arial" w:cs="Arial"/>
                <w:color w:val="000000"/>
                <w:sz w:val="22"/>
                <w:szCs w:val="22"/>
                <w:shd w:val="clear" w:color="auto" w:fill="FFFFFF"/>
                <w:lang w:eastAsia="en-US"/>
              </w:rPr>
              <w:t>There are many research experts within the project team that have experience with applying for ethical approval and having representatives from each of the regional hubs as CIs on this grant will facilitate the Site-Specific Approval process. Ample time has been allocated to put together applications. Requests for more information by HRECs will be addressed immediately to ensure timely review. Delays of 1 month or more than planned in the timeline will be reported by ad-hoc reporting.</w:t>
            </w:r>
          </w:p>
          <w:p w14:paraId="0D752263" w14:textId="77777777" w:rsidR="00130857" w:rsidRPr="00540679" w:rsidRDefault="00130857" w:rsidP="003C505F">
            <w:pPr>
              <w:pStyle w:val="paragraph"/>
              <w:spacing w:before="0" w:beforeAutospacing="0" w:after="0" w:afterAutospacing="0"/>
              <w:textAlignment w:val="baseline"/>
              <w:rPr>
                <w:rStyle w:val="normaltextrun"/>
                <w:rFonts w:ascii="Arial" w:eastAsiaTheme="minorEastAsia" w:hAnsi="Arial" w:cs="Arial"/>
                <w:color w:val="000000"/>
                <w:sz w:val="22"/>
                <w:szCs w:val="22"/>
                <w:shd w:val="clear" w:color="auto" w:fill="FFFFFF"/>
                <w:lang w:eastAsia="en-US"/>
              </w:rPr>
            </w:pPr>
            <w:r w:rsidRPr="00540679">
              <w:rPr>
                <w:rStyle w:val="normaltextrun"/>
                <w:rFonts w:ascii="Arial" w:eastAsiaTheme="minorEastAsia" w:hAnsi="Arial" w:cs="Arial"/>
                <w:color w:val="000000"/>
                <w:sz w:val="22"/>
                <w:szCs w:val="22"/>
                <w:shd w:val="clear" w:color="auto" w:fill="FFFFFF"/>
                <w:lang w:eastAsia="en-US"/>
              </w:rPr>
              <w:t>Likelihood: Possible; Consequence: Moderate; Acceptability: Acceptable. </w:t>
            </w:r>
          </w:p>
        </w:tc>
      </w:tr>
      <w:tr w:rsidR="00130857" w:rsidRPr="00540679" w14:paraId="3148649D" w14:textId="77777777" w:rsidTr="1F65B294">
        <w:tc>
          <w:tcPr>
            <w:tcW w:w="1517" w:type="dxa"/>
          </w:tcPr>
          <w:p w14:paraId="747D6C99"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Delivery (Resources)</w:t>
            </w:r>
          </w:p>
        </w:tc>
        <w:tc>
          <w:tcPr>
            <w:tcW w:w="1906" w:type="dxa"/>
          </w:tcPr>
          <w:p w14:paraId="0ABC2032"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The Educational tools to assist key providers could be delayed.</w:t>
            </w:r>
          </w:p>
        </w:tc>
        <w:tc>
          <w:tcPr>
            <w:tcW w:w="5593" w:type="dxa"/>
          </w:tcPr>
          <w:p w14:paraId="6E2BE651"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The educational packages for Virtual TOCS pharmacists, HMR pharmacists and GPs will be based of existing materials used in previous trials led by several CIs listed. The adaption of these tools has been adequately budgeted for in the first year of the project. In addition, team-based expertise will allow for timely development of resources.</w:t>
            </w:r>
          </w:p>
          <w:p w14:paraId="252FAE8F" w14:textId="77777777" w:rsidR="00130857" w:rsidRPr="00540679" w:rsidRDefault="00130857" w:rsidP="003C505F">
            <w:pPr>
              <w:pStyle w:val="paragraph"/>
              <w:spacing w:before="0" w:beforeAutospacing="0" w:after="0" w:afterAutospacing="0"/>
              <w:textAlignment w:val="baseline"/>
              <w:rPr>
                <w:rStyle w:val="normaltextrun"/>
                <w:rFonts w:ascii="Arial" w:eastAsiaTheme="minorEastAsia" w:hAnsi="Arial" w:cs="Arial"/>
                <w:color w:val="000000"/>
                <w:sz w:val="22"/>
                <w:szCs w:val="22"/>
                <w:shd w:val="clear" w:color="auto" w:fill="FFFFFF"/>
                <w:lang w:eastAsia="en-US"/>
              </w:rPr>
            </w:pPr>
            <w:r w:rsidRPr="00540679">
              <w:rPr>
                <w:rStyle w:val="normaltextrun"/>
                <w:rFonts w:ascii="Arial" w:eastAsiaTheme="minorEastAsia" w:hAnsi="Arial" w:cs="Arial"/>
                <w:color w:val="000000"/>
                <w:sz w:val="22"/>
                <w:szCs w:val="22"/>
                <w:shd w:val="clear" w:color="auto" w:fill="FFFFFF"/>
                <w:lang w:eastAsia="en-US"/>
              </w:rPr>
              <w:t>Likelihood: Unlikely; Consequence: Minor; Acceptability: Acceptable. </w:t>
            </w:r>
          </w:p>
        </w:tc>
      </w:tr>
      <w:tr w:rsidR="00130857" w:rsidRPr="00540679" w14:paraId="7CECF072" w14:textId="77777777" w:rsidTr="1F65B294">
        <w:tc>
          <w:tcPr>
            <w:tcW w:w="1517" w:type="dxa"/>
          </w:tcPr>
          <w:p w14:paraId="4148AB82"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People (People capability)</w:t>
            </w:r>
          </w:p>
        </w:tc>
        <w:tc>
          <w:tcPr>
            <w:tcW w:w="1906" w:type="dxa"/>
          </w:tcPr>
          <w:p w14:paraId="1BE87737"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Difficulty in Identifying and training several accredited pharmacists, which may delay project planning and implementation.</w:t>
            </w:r>
          </w:p>
        </w:tc>
        <w:tc>
          <w:tcPr>
            <w:tcW w:w="5593" w:type="dxa"/>
          </w:tcPr>
          <w:p w14:paraId="40323C6B" w14:textId="37E8F6D9" w:rsidR="00130857" w:rsidRPr="00540679" w:rsidRDefault="2E7B60D3"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 xml:space="preserve">Several strategies to improve recruitment are woven into this project. Accredited pharmacists can be identified via the </w:t>
            </w:r>
            <w:r w:rsidR="06C82943" w:rsidRPr="00540679">
              <w:rPr>
                <w:rStyle w:val="normaltextrun"/>
                <w:rFonts w:ascii="Arial" w:hAnsi="Arial" w:cs="Arial"/>
                <w:color w:val="000000"/>
                <w:sz w:val="22"/>
                <w:szCs w:val="22"/>
                <w:shd w:val="clear" w:color="auto" w:fill="FFFFFF"/>
              </w:rPr>
              <w:t>P</w:t>
            </w:r>
            <w:r w:rsidR="31D58703" w:rsidRPr="00540679">
              <w:rPr>
                <w:rStyle w:val="normaltextrun"/>
                <w:rFonts w:ascii="Arial" w:hAnsi="Arial" w:cs="Arial"/>
                <w:color w:val="000000"/>
                <w:sz w:val="22"/>
                <w:szCs w:val="22"/>
                <w:shd w:val="clear" w:color="auto" w:fill="FFFFFF"/>
              </w:rPr>
              <w:t xml:space="preserve">SA/SHPA </w:t>
            </w:r>
            <w:r w:rsidRPr="00540679">
              <w:rPr>
                <w:rStyle w:val="normaltextrun"/>
                <w:rFonts w:ascii="Arial" w:hAnsi="Arial" w:cs="Arial"/>
                <w:color w:val="000000"/>
                <w:sz w:val="22"/>
                <w:szCs w:val="22"/>
                <w:shd w:val="clear" w:color="auto" w:fill="FFFFFF"/>
              </w:rPr>
              <w:t>public website</w:t>
            </w:r>
            <w:r w:rsidR="6BA1E128" w:rsidRPr="00540679">
              <w:rPr>
                <w:rStyle w:val="normaltextrun"/>
                <w:rFonts w:ascii="Arial" w:hAnsi="Arial" w:cs="Arial"/>
                <w:color w:val="000000"/>
                <w:sz w:val="22"/>
                <w:szCs w:val="22"/>
                <w:shd w:val="clear" w:color="auto" w:fill="FFFFFF"/>
              </w:rPr>
              <w:t>s</w:t>
            </w:r>
            <w:r w:rsidRPr="00540679">
              <w:rPr>
                <w:rStyle w:val="normaltextrun"/>
                <w:rFonts w:ascii="Arial" w:hAnsi="Arial" w:cs="Arial"/>
                <w:color w:val="000000"/>
                <w:sz w:val="22"/>
                <w:szCs w:val="22"/>
                <w:shd w:val="clear" w:color="auto" w:fill="FFFFFF"/>
              </w:rPr>
              <w:t xml:space="preserve"> and recruitment of those conveniently located near hospital sites will be targeted. Further, accredited pharmacists from different cultural backgrounds will be targeted. 3. Accredited pharmacists will be reimbursed for their services via the project grant money, rather than via the Pharmacy Program Administrator subsidies. This will allow accredited pharmacists to provide this service without affecting the existing cap on numbers of HMRs that can be reimbursed for each pharmacist per month. 4. This project allows patient flexibility to have a HMR service via telehealth. </w:t>
            </w:r>
          </w:p>
          <w:p w14:paraId="62449AA1"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Likelihood: Likely; Consequence: Moderate; Acceptability: Acceptable. </w:t>
            </w:r>
          </w:p>
        </w:tc>
      </w:tr>
      <w:tr w:rsidR="00130857" w:rsidRPr="00540679" w14:paraId="089D1ED5" w14:textId="77777777" w:rsidTr="1F65B294">
        <w:tc>
          <w:tcPr>
            <w:tcW w:w="1517" w:type="dxa"/>
          </w:tcPr>
          <w:p w14:paraId="28D13D14"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Delivery (recruitment)</w:t>
            </w:r>
          </w:p>
        </w:tc>
        <w:tc>
          <w:tcPr>
            <w:tcW w:w="1906" w:type="dxa"/>
          </w:tcPr>
          <w:p w14:paraId="7E20DEE3"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Difficulty in recruitment of consumers that agree to be part of the trial.</w:t>
            </w:r>
          </w:p>
        </w:tc>
        <w:tc>
          <w:tcPr>
            <w:tcW w:w="5593" w:type="dxa"/>
          </w:tcPr>
          <w:p w14:paraId="4E139443"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 xml:space="preserve">We have assessed the current numbers of consumers discharged at the hospitals each week and made conservative estimates of consenting rates of 50%. Conservative sample size estimates are based on 80% power to predict a 10% reduction in 30-day </w:t>
            </w:r>
            <w:r w:rsidRPr="00540679">
              <w:rPr>
                <w:rStyle w:val="normaltextrun"/>
                <w:rFonts w:ascii="Arial" w:hAnsi="Arial" w:cs="Arial"/>
                <w:color w:val="000000"/>
                <w:sz w:val="22"/>
                <w:szCs w:val="22"/>
                <w:shd w:val="clear" w:color="auto" w:fill="FFFFFF"/>
              </w:rPr>
              <w:lastRenderedPageBreak/>
              <w:t xml:space="preserve">readmission. Generous timelines have been installed to mitigate the risk of delays in recruitment. Additional hospital sites could be utilised if needed. Adjustments to sample size would be a last resort. </w:t>
            </w:r>
          </w:p>
          <w:p w14:paraId="602BBA76"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Likelihood: Likely; Consequence: Moderate; Acceptability: Acceptable.</w:t>
            </w:r>
          </w:p>
        </w:tc>
      </w:tr>
      <w:tr w:rsidR="00130857" w:rsidRPr="00540679" w14:paraId="6068FA93" w14:textId="77777777" w:rsidTr="1F65B294">
        <w:tc>
          <w:tcPr>
            <w:tcW w:w="1517" w:type="dxa"/>
          </w:tcPr>
          <w:p w14:paraId="0EB47C51"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lastRenderedPageBreak/>
              <w:t>Delivery (recruitment)</w:t>
            </w:r>
          </w:p>
        </w:tc>
        <w:tc>
          <w:tcPr>
            <w:tcW w:w="1906" w:type="dxa"/>
          </w:tcPr>
          <w:p w14:paraId="3D11E5F9"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Difficulty in follow-up of patients.</w:t>
            </w:r>
          </w:p>
        </w:tc>
        <w:tc>
          <w:tcPr>
            <w:tcW w:w="5593" w:type="dxa"/>
          </w:tcPr>
          <w:p w14:paraId="72B06449"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A full-time research assistant will be employed to follow up this vital patient data. Home and mobile numbers as well as email addresses of consumers/carers will be obtained at time of consent.</w:t>
            </w:r>
          </w:p>
          <w:p w14:paraId="740434C2" w14:textId="77777777" w:rsidR="00130857" w:rsidRPr="00540679" w:rsidRDefault="00130857" w:rsidP="003C505F">
            <w:pPr>
              <w:rPr>
                <w:rStyle w:val="normaltextrun"/>
                <w:rFonts w:ascii="Arial" w:hAnsi="Arial" w:cs="Arial"/>
                <w:color w:val="000000"/>
                <w:sz w:val="22"/>
                <w:szCs w:val="22"/>
                <w:shd w:val="clear" w:color="auto" w:fill="FFFFFF"/>
              </w:rPr>
            </w:pPr>
            <w:r w:rsidRPr="00540679">
              <w:rPr>
                <w:rStyle w:val="normaltextrun"/>
                <w:rFonts w:ascii="Arial" w:hAnsi="Arial" w:cs="Arial"/>
                <w:color w:val="000000"/>
                <w:sz w:val="22"/>
                <w:szCs w:val="22"/>
                <w:shd w:val="clear" w:color="auto" w:fill="FFFFFF"/>
              </w:rPr>
              <w:t>Likelihood: Unlikely; Consequence: Moderate; Acceptability: Acceptable.</w:t>
            </w:r>
          </w:p>
        </w:tc>
      </w:tr>
    </w:tbl>
    <w:p w14:paraId="323D20BD" w14:textId="77777777" w:rsidR="00130857" w:rsidRPr="00540679" w:rsidRDefault="00130857" w:rsidP="003C505F">
      <w:pPr>
        <w:rPr>
          <w:rFonts w:ascii="Arial" w:hAnsi="Arial" w:cs="Arial"/>
          <w:sz w:val="22"/>
          <w:szCs w:val="22"/>
        </w:rPr>
      </w:pPr>
    </w:p>
    <w:p w14:paraId="09F6DAC6" w14:textId="5E3389C3" w:rsidR="00773765" w:rsidRPr="00540679" w:rsidRDefault="00773765" w:rsidP="003C505F">
      <w:pPr>
        <w:spacing w:line="276" w:lineRule="auto"/>
        <w:outlineLvl w:val="0"/>
        <w:rPr>
          <w:rStyle w:val="Hyperlink"/>
          <w:rFonts w:ascii="Arial" w:hAnsi="Arial" w:cs="Arial"/>
          <w:b/>
          <w:bCs/>
          <w:color w:val="auto"/>
          <w:sz w:val="22"/>
          <w:szCs w:val="22"/>
          <w:u w:val="none"/>
        </w:rPr>
      </w:pPr>
    </w:p>
    <w:p w14:paraId="15428F24" w14:textId="609A8FB2" w:rsidR="00104CFC" w:rsidRPr="00540679" w:rsidRDefault="005B33E0" w:rsidP="003C505F">
      <w:pPr>
        <w:spacing w:line="276" w:lineRule="auto"/>
        <w:outlineLvl w:val="0"/>
        <w:rPr>
          <w:rFonts w:ascii="Arial" w:hAnsi="Arial" w:cs="Arial"/>
          <w:b/>
          <w:sz w:val="22"/>
          <w:szCs w:val="22"/>
        </w:rPr>
      </w:pPr>
      <w:r w:rsidRPr="00540679">
        <w:rPr>
          <w:rFonts w:ascii="Arial" w:hAnsi="Arial" w:cs="Arial"/>
          <w:b/>
          <w:sz w:val="22"/>
          <w:szCs w:val="22"/>
        </w:rPr>
        <w:t xml:space="preserve">8. </w:t>
      </w:r>
      <w:r w:rsidR="00104CFC" w:rsidRPr="00540679">
        <w:rPr>
          <w:rFonts w:ascii="Arial" w:hAnsi="Arial" w:cs="Arial"/>
          <w:b/>
          <w:sz w:val="22"/>
          <w:szCs w:val="22"/>
        </w:rPr>
        <w:t>ETHICAL CONSIDERATIONS</w:t>
      </w:r>
    </w:p>
    <w:p w14:paraId="285BDE44" w14:textId="77777777" w:rsidR="00104CFC" w:rsidRPr="00540679" w:rsidRDefault="00104CFC" w:rsidP="003C505F">
      <w:pPr>
        <w:spacing w:line="276" w:lineRule="auto"/>
        <w:outlineLvl w:val="0"/>
        <w:rPr>
          <w:rFonts w:ascii="Arial" w:hAnsi="Arial" w:cs="Arial"/>
          <w:b/>
          <w:sz w:val="22"/>
          <w:szCs w:val="22"/>
        </w:rPr>
      </w:pPr>
    </w:p>
    <w:p w14:paraId="03112E5D" w14:textId="11C9CCD1" w:rsidR="006119AD" w:rsidRPr="00540679" w:rsidRDefault="00B63167" w:rsidP="003C505F">
      <w:pPr>
        <w:pStyle w:val="paragraph"/>
        <w:spacing w:before="0" w:beforeAutospacing="0" w:after="0" w:afterAutospacing="0" w:line="276" w:lineRule="auto"/>
        <w:textAlignment w:val="baseline"/>
        <w:rPr>
          <w:rFonts w:ascii="Arial" w:hAnsi="Arial" w:cs="Arial"/>
          <w:bCs/>
          <w:sz w:val="22"/>
          <w:szCs w:val="22"/>
        </w:rPr>
      </w:pPr>
      <w:r w:rsidRPr="00540679">
        <w:rPr>
          <w:rStyle w:val="normaltextrun"/>
          <w:rFonts w:ascii="Arial" w:hAnsi="Arial" w:cs="Arial"/>
          <w:sz w:val="22"/>
          <w:szCs w:val="22"/>
          <w:u w:val="single"/>
        </w:rPr>
        <w:t>Study procedure benefits</w:t>
      </w:r>
      <w:r w:rsidRPr="00540679">
        <w:rPr>
          <w:rStyle w:val="normaltextrun"/>
          <w:rFonts w:ascii="Arial" w:hAnsi="Arial" w:cs="Arial"/>
          <w:sz w:val="22"/>
          <w:szCs w:val="22"/>
        </w:rPr>
        <w:t xml:space="preserve">: </w:t>
      </w:r>
      <w:r w:rsidR="006119AD" w:rsidRPr="00540679">
        <w:rPr>
          <w:rFonts w:ascii="Arial" w:hAnsi="Arial" w:cs="Arial"/>
          <w:bCs/>
          <w:sz w:val="22"/>
          <w:szCs w:val="22"/>
        </w:rPr>
        <w:t xml:space="preserve">The study may benefit participants randomised to the intervention arm of the trial by improving their medication safety with respect to </w:t>
      </w:r>
      <w:r w:rsidR="006119AD" w:rsidRPr="00540679">
        <w:rPr>
          <w:rStyle w:val="normaltextrun"/>
          <w:rFonts w:ascii="Arial" w:hAnsi="Arial" w:cs="Arial"/>
          <w:color w:val="000000"/>
          <w:sz w:val="22"/>
          <w:szCs w:val="22"/>
        </w:rPr>
        <w:t>reduction in the incidence of medication-related harm, including hospital readmissions and Emergency Department presentations and may improve future treatment for people. </w:t>
      </w:r>
      <w:r w:rsidR="006119AD" w:rsidRPr="00540679">
        <w:rPr>
          <w:rStyle w:val="eop"/>
          <w:rFonts w:ascii="Arial" w:hAnsi="Arial" w:cs="Arial"/>
          <w:color w:val="000000"/>
          <w:sz w:val="22"/>
          <w:szCs w:val="22"/>
        </w:rPr>
        <w:t> </w:t>
      </w:r>
    </w:p>
    <w:p w14:paraId="7E659A27" w14:textId="164D47DF" w:rsidR="00B63167" w:rsidRPr="00540679" w:rsidRDefault="00B63167" w:rsidP="003C505F">
      <w:pPr>
        <w:pStyle w:val="paragraph"/>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 xml:space="preserve">On a broader scale, the project will fill a research gap on effective strategies to reduce </w:t>
      </w:r>
      <w:r w:rsidR="006119AD" w:rsidRPr="00540679">
        <w:rPr>
          <w:rStyle w:val="normaltextrun"/>
          <w:rFonts w:ascii="Arial" w:hAnsi="Arial" w:cs="Arial"/>
          <w:sz w:val="22"/>
          <w:szCs w:val="22"/>
        </w:rPr>
        <w:t>medication-related harm including hospital readmissions</w:t>
      </w:r>
      <w:r w:rsidRPr="00540679">
        <w:rPr>
          <w:rStyle w:val="normaltextrun"/>
          <w:rFonts w:ascii="Arial" w:hAnsi="Arial" w:cs="Arial"/>
          <w:sz w:val="22"/>
          <w:szCs w:val="22"/>
        </w:rPr>
        <w:t xml:space="preserve">. </w:t>
      </w:r>
    </w:p>
    <w:p w14:paraId="1AD7B5FE" w14:textId="77777777" w:rsidR="00B63167" w:rsidRPr="00540679" w:rsidRDefault="00B63167" w:rsidP="003C505F">
      <w:pPr>
        <w:pStyle w:val="paragraph"/>
        <w:spacing w:before="0" w:beforeAutospacing="0" w:after="0" w:afterAutospacing="0" w:line="276" w:lineRule="auto"/>
        <w:jc w:val="both"/>
        <w:textAlignment w:val="baseline"/>
        <w:rPr>
          <w:rFonts w:ascii="Arial" w:hAnsi="Arial" w:cs="Arial"/>
          <w:sz w:val="22"/>
          <w:szCs w:val="22"/>
        </w:rPr>
      </w:pPr>
      <w:r w:rsidRPr="00540679">
        <w:rPr>
          <w:rStyle w:val="eop"/>
          <w:rFonts w:ascii="Arial" w:hAnsi="Arial" w:cs="Arial"/>
          <w:sz w:val="22"/>
          <w:szCs w:val="22"/>
        </w:rPr>
        <w:t> </w:t>
      </w:r>
    </w:p>
    <w:p w14:paraId="7F28352E" w14:textId="2022DAEE" w:rsidR="00C70F5C" w:rsidRPr="00540679" w:rsidRDefault="00B63167" w:rsidP="003C505F">
      <w:pPr>
        <w:spacing w:line="276" w:lineRule="auto"/>
        <w:jc w:val="both"/>
        <w:outlineLvl w:val="0"/>
        <w:rPr>
          <w:rFonts w:ascii="Arial" w:hAnsi="Arial" w:cs="Arial"/>
          <w:bCs/>
          <w:sz w:val="22"/>
          <w:szCs w:val="22"/>
        </w:rPr>
      </w:pPr>
      <w:r w:rsidRPr="00540679">
        <w:rPr>
          <w:rStyle w:val="normaltextrun"/>
          <w:rFonts w:ascii="Arial" w:hAnsi="Arial" w:cs="Arial"/>
          <w:sz w:val="22"/>
          <w:szCs w:val="22"/>
          <w:u w:val="single"/>
        </w:rPr>
        <w:t>Study procedure risks</w:t>
      </w:r>
      <w:r w:rsidRPr="00540679">
        <w:rPr>
          <w:rStyle w:val="normaltextrun"/>
          <w:rFonts w:ascii="Arial" w:hAnsi="Arial" w:cs="Arial"/>
          <w:sz w:val="22"/>
          <w:szCs w:val="22"/>
        </w:rPr>
        <w:t xml:space="preserve">: </w:t>
      </w:r>
      <w:r w:rsidR="00C70F5C" w:rsidRPr="00540679">
        <w:rPr>
          <w:rFonts w:ascii="Arial" w:hAnsi="Arial" w:cs="Arial"/>
          <w:bCs/>
          <w:sz w:val="22"/>
          <w:szCs w:val="22"/>
        </w:rPr>
        <w:t xml:space="preserve">One of the expected outcomes of this study is to determine the effectiveness of an intervention designed to improve medication safety and thereby reduce the risks to participants. The intervention optimises and promotes the </w:t>
      </w:r>
      <w:r w:rsidR="00F51E46" w:rsidRPr="00540679">
        <w:rPr>
          <w:rFonts w:ascii="Arial" w:hAnsi="Arial" w:cs="Arial"/>
          <w:bCs/>
          <w:sz w:val="22"/>
          <w:szCs w:val="22"/>
        </w:rPr>
        <w:t xml:space="preserve">Transition of Care Stewardship and </w:t>
      </w:r>
      <w:r w:rsidR="00C70F5C" w:rsidRPr="00540679">
        <w:rPr>
          <w:rFonts w:ascii="Arial" w:hAnsi="Arial" w:cs="Arial"/>
          <w:bCs/>
          <w:sz w:val="22"/>
          <w:szCs w:val="22"/>
        </w:rPr>
        <w:t>Home Medicines Reviews</w:t>
      </w:r>
      <w:r w:rsidR="009A4E54" w:rsidRPr="00540679">
        <w:rPr>
          <w:rFonts w:ascii="Arial" w:hAnsi="Arial" w:cs="Arial"/>
          <w:bCs/>
          <w:sz w:val="22"/>
          <w:szCs w:val="22"/>
        </w:rPr>
        <w:t xml:space="preserve"> (HMR)</w:t>
      </w:r>
      <w:r w:rsidR="00C70F5C" w:rsidRPr="00540679">
        <w:rPr>
          <w:rFonts w:ascii="Arial" w:hAnsi="Arial" w:cs="Arial"/>
          <w:bCs/>
          <w:sz w:val="22"/>
          <w:szCs w:val="22"/>
        </w:rPr>
        <w:t xml:space="preserve"> service</w:t>
      </w:r>
      <w:r w:rsidR="00F51E46" w:rsidRPr="00540679">
        <w:rPr>
          <w:rFonts w:ascii="Arial" w:hAnsi="Arial" w:cs="Arial"/>
          <w:bCs/>
          <w:sz w:val="22"/>
          <w:szCs w:val="22"/>
        </w:rPr>
        <w:t>/s</w:t>
      </w:r>
      <w:r w:rsidR="00C70F5C" w:rsidRPr="00540679">
        <w:rPr>
          <w:rFonts w:ascii="Arial" w:hAnsi="Arial" w:cs="Arial"/>
          <w:bCs/>
          <w:sz w:val="22"/>
          <w:szCs w:val="22"/>
        </w:rPr>
        <w:t xml:space="preserve"> which is a currently available but not necessarily optimised or utilised effectively in this setting.</w:t>
      </w:r>
    </w:p>
    <w:p w14:paraId="448D1E32" w14:textId="77777777" w:rsidR="00C70F5C" w:rsidRPr="00540679" w:rsidRDefault="00C70F5C" w:rsidP="003C505F">
      <w:pPr>
        <w:spacing w:line="276" w:lineRule="auto"/>
        <w:jc w:val="both"/>
        <w:outlineLvl w:val="0"/>
        <w:rPr>
          <w:rFonts w:ascii="Arial" w:hAnsi="Arial" w:cs="Arial"/>
          <w:bCs/>
          <w:sz w:val="22"/>
          <w:szCs w:val="22"/>
        </w:rPr>
      </w:pPr>
    </w:p>
    <w:p w14:paraId="74CC40FF" w14:textId="5334F7B8" w:rsidR="00C70F5C" w:rsidRPr="00540679" w:rsidRDefault="00C70F5C" w:rsidP="003C505F">
      <w:pPr>
        <w:spacing w:line="276" w:lineRule="auto"/>
        <w:jc w:val="both"/>
        <w:outlineLvl w:val="0"/>
        <w:rPr>
          <w:rFonts w:ascii="Arial" w:hAnsi="Arial" w:cs="Arial"/>
          <w:bCs/>
          <w:sz w:val="22"/>
          <w:szCs w:val="22"/>
        </w:rPr>
      </w:pPr>
      <w:r w:rsidRPr="00540679">
        <w:rPr>
          <w:rFonts w:ascii="Arial" w:hAnsi="Arial" w:cs="Arial"/>
          <w:bCs/>
          <w:sz w:val="22"/>
          <w:szCs w:val="22"/>
        </w:rPr>
        <w:t>Similar to standard practice, participants randomised to the intervention group may have changes made to their medications in consultation with their healthcare providers. The HMR pharmacist will likely make recommendations to reduce the dose</w:t>
      </w:r>
      <w:r w:rsidR="009B1B47" w:rsidRPr="00540679">
        <w:rPr>
          <w:rFonts w:ascii="Arial" w:hAnsi="Arial" w:cs="Arial"/>
          <w:bCs/>
          <w:sz w:val="22"/>
          <w:szCs w:val="22"/>
        </w:rPr>
        <w:t xml:space="preserve"> </w:t>
      </w:r>
      <w:r w:rsidRPr="00540679">
        <w:rPr>
          <w:rFonts w:ascii="Arial" w:hAnsi="Arial" w:cs="Arial"/>
          <w:bCs/>
          <w:sz w:val="22"/>
          <w:szCs w:val="22"/>
        </w:rPr>
        <w:t>and/or cessation of medicines, alongside other changes in medications designed to improve medication safety.</w:t>
      </w:r>
    </w:p>
    <w:p w14:paraId="5AE678DC" w14:textId="77777777" w:rsidR="00C70F5C" w:rsidRPr="00540679" w:rsidRDefault="00C70F5C" w:rsidP="003C505F">
      <w:pPr>
        <w:spacing w:line="276" w:lineRule="auto"/>
        <w:jc w:val="both"/>
        <w:outlineLvl w:val="0"/>
        <w:rPr>
          <w:rFonts w:ascii="Arial" w:hAnsi="Arial" w:cs="Arial"/>
          <w:bCs/>
          <w:sz w:val="22"/>
          <w:szCs w:val="22"/>
        </w:rPr>
      </w:pPr>
    </w:p>
    <w:p w14:paraId="56B7846F" w14:textId="039CF419" w:rsidR="00C70F5C" w:rsidRPr="00540679" w:rsidRDefault="00C70F5C" w:rsidP="003C505F">
      <w:pPr>
        <w:spacing w:line="276" w:lineRule="auto"/>
        <w:jc w:val="both"/>
        <w:outlineLvl w:val="0"/>
        <w:rPr>
          <w:rFonts w:ascii="Arial" w:hAnsi="Arial" w:cs="Arial"/>
          <w:bCs/>
          <w:sz w:val="22"/>
          <w:szCs w:val="22"/>
        </w:rPr>
      </w:pPr>
      <w:r w:rsidRPr="00540679">
        <w:rPr>
          <w:rFonts w:ascii="Arial" w:hAnsi="Arial" w:cs="Arial"/>
          <w:bCs/>
          <w:sz w:val="22"/>
          <w:szCs w:val="22"/>
        </w:rPr>
        <w:t xml:space="preserve">Recommendations are implemented (or not) in consultation with whole team including the medical specialist, </w:t>
      </w:r>
      <w:r w:rsidR="009A4E54" w:rsidRPr="00540679">
        <w:rPr>
          <w:rFonts w:ascii="Arial" w:hAnsi="Arial" w:cs="Arial"/>
          <w:bCs/>
          <w:sz w:val="22"/>
          <w:szCs w:val="22"/>
        </w:rPr>
        <w:t>GP,</w:t>
      </w:r>
      <w:r w:rsidR="006C6BCC" w:rsidRPr="00540679">
        <w:rPr>
          <w:rFonts w:ascii="Arial" w:hAnsi="Arial" w:cs="Arial"/>
          <w:bCs/>
          <w:sz w:val="22"/>
          <w:szCs w:val="22"/>
        </w:rPr>
        <w:t xml:space="preserve"> </w:t>
      </w:r>
      <w:r w:rsidR="00D702F2" w:rsidRPr="00540679">
        <w:rPr>
          <w:rFonts w:ascii="Arial" w:hAnsi="Arial" w:cs="Arial"/>
          <w:bCs/>
          <w:sz w:val="22"/>
          <w:szCs w:val="22"/>
        </w:rPr>
        <w:t>p</w:t>
      </w:r>
      <w:r w:rsidR="0010271A" w:rsidRPr="00540679">
        <w:rPr>
          <w:rFonts w:ascii="Arial" w:hAnsi="Arial" w:cs="Arial"/>
          <w:bCs/>
          <w:sz w:val="22"/>
          <w:szCs w:val="22"/>
        </w:rPr>
        <w:t xml:space="preserve">harmacists, </w:t>
      </w:r>
      <w:r w:rsidR="006C6BCC" w:rsidRPr="00540679">
        <w:rPr>
          <w:rFonts w:ascii="Arial" w:hAnsi="Arial" w:cs="Arial"/>
          <w:bCs/>
          <w:sz w:val="22"/>
          <w:szCs w:val="22"/>
        </w:rPr>
        <w:t xml:space="preserve">and </w:t>
      </w:r>
      <w:r w:rsidRPr="00540679">
        <w:rPr>
          <w:rFonts w:ascii="Arial" w:hAnsi="Arial" w:cs="Arial"/>
          <w:bCs/>
          <w:sz w:val="22"/>
          <w:szCs w:val="22"/>
        </w:rPr>
        <w:t>participants. The decisions to prescribe or deprescribe is ultimately at the discretion of the participant’s GP and is implemented in consultation with the participant.</w:t>
      </w:r>
    </w:p>
    <w:p w14:paraId="642D2CFD" w14:textId="77777777" w:rsidR="009A4E54" w:rsidRPr="00540679" w:rsidRDefault="009A4E54" w:rsidP="003C505F">
      <w:pPr>
        <w:pStyle w:val="paragraph"/>
        <w:spacing w:before="0" w:beforeAutospacing="0" w:after="0" w:afterAutospacing="0" w:line="276" w:lineRule="auto"/>
        <w:jc w:val="both"/>
        <w:textAlignment w:val="baseline"/>
        <w:rPr>
          <w:rStyle w:val="normaltextrun"/>
          <w:rFonts w:ascii="Arial" w:hAnsi="Arial" w:cs="Arial"/>
          <w:sz w:val="22"/>
          <w:szCs w:val="22"/>
        </w:rPr>
      </w:pPr>
    </w:p>
    <w:p w14:paraId="754BD3C5" w14:textId="31B41242" w:rsidR="00B63167" w:rsidRPr="00540679" w:rsidRDefault="00B63167" w:rsidP="003C505F">
      <w:pPr>
        <w:pStyle w:val="paragraph"/>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The qualitative interviews carry minimal risk as they are an evaluation of patient’s</w:t>
      </w:r>
      <w:r w:rsidR="006119AD" w:rsidRPr="00540679">
        <w:rPr>
          <w:rStyle w:val="normaltextrun"/>
          <w:rFonts w:ascii="Arial" w:hAnsi="Arial" w:cs="Arial"/>
          <w:sz w:val="22"/>
          <w:szCs w:val="22"/>
        </w:rPr>
        <w:t xml:space="preserve"> and clinicians’</w:t>
      </w:r>
      <w:r w:rsidRPr="00540679">
        <w:rPr>
          <w:rStyle w:val="normaltextrun"/>
          <w:rFonts w:ascii="Arial" w:hAnsi="Arial" w:cs="Arial"/>
          <w:sz w:val="22"/>
          <w:szCs w:val="22"/>
        </w:rPr>
        <w:t xml:space="preserve"> thoughts and experience on the pharmacist-led</w:t>
      </w:r>
      <w:r w:rsidR="006119AD" w:rsidRPr="00540679">
        <w:rPr>
          <w:rStyle w:val="normaltextrun"/>
          <w:rFonts w:ascii="Arial" w:hAnsi="Arial" w:cs="Arial"/>
          <w:sz w:val="22"/>
          <w:szCs w:val="22"/>
        </w:rPr>
        <w:t xml:space="preserve"> Transition of Care Stewardship service</w:t>
      </w:r>
      <w:r w:rsidRPr="00540679">
        <w:rPr>
          <w:rStyle w:val="normaltextrun"/>
          <w:rFonts w:ascii="Arial" w:hAnsi="Arial" w:cs="Arial"/>
          <w:sz w:val="22"/>
          <w:szCs w:val="22"/>
        </w:rPr>
        <w:t>. In the event, that the participant experiences any distress during the interview, they will be advised to contact the following support services for assistance.</w:t>
      </w:r>
      <w:r w:rsidRPr="00540679">
        <w:rPr>
          <w:rStyle w:val="eop"/>
          <w:rFonts w:ascii="Arial" w:hAnsi="Arial" w:cs="Arial"/>
          <w:sz w:val="22"/>
          <w:szCs w:val="22"/>
        </w:rPr>
        <w:t> </w:t>
      </w:r>
    </w:p>
    <w:p w14:paraId="7908146A" w14:textId="77777777" w:rsidR="00B63167" w:rsidRPr="00540679" w:rsidRDefault="00B63167" w:rsidP="003C505F">
      <w:pPr>
        <w:pStyle w:val="paragraph"/>
        <w:spacing w:before="0" w:beforeAutospacing="0" w:after="0" w:afterAutospacing="0" w:line="276" w:lineRule="auto"/>
        <w:jc w:val="both"/>
        <w:textAlignment w:val="baseline"/>
        <w:rPr>
          <w:rFonts w:ascii="Arial" w:hAnsi="Arial" w:cs="Arial"/>
          <w:sz w:val="22"/>
          <w:szCs w:val="22"/>
        </w:rPr>
      </w:pPr>
      <w:r w:rsidRPr="00540679">
        <w:rPr>
          <w:rStyle w:val="eop"/>
          <w:rFonts w:ascii="Arial" w:hAnsi="Arial" w:cs="Arial"/>
          <w:sz w:val="22"/>
          <w:szCs w:val="22"/>
        </w:rPr>
        <w:t> </w:t>
      </w:r>
    </w:p>
    <w:p w14:paraId="46041D6B" w14:textId="77777777" w:rsidR="00B63167" w:rsidRPr="00540679" w:rsidRDefault="00B63167" w:rsidP="003C505F">
      <w:pPr>
        <w:pStyle w:val="paragraph"/>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u w:val="single"/>
        </w:rPr>
        <w:t>Other Ethical Considerations:</w:t>
      </w:r>
      <w:r w:rsidRPr="00540679">
        <w:rPr>
          <w:rStyle w:val="eop"/>
          <w:rFonts w:ascii="Arial" w:hAnsi="Arial" w:cs="Arial"/>
          <w:sz w:val="22"/>
          <w:szCs w:val="22"/>
        </w:rPr>
        <w:t> </w:t>
      </w:r>
    </w:p>
    <w:p w14:paraId="26E975E7" w14:textId="77777777" w:rsidR="00B63167" w:rsidRPr="00540679" w:rsidRDefault="00B63167" w:rsidP="003C505F">
      <w:pPr>
        <w:pStyle w:val="paragraph"/>
        <w:spacing w:before="0" w:beforeAutospacing="0" w:after="0" w:afterAutospacing="0" w:line="276" w:lineRule="auto"/>
        <w:jc w:val="both"/>
        <w:textAlignment w:val="baseline"/>
        <w:rPr>
          <w:rFonts w:ascii="Arial" w:hAnsi="Arial" w:cs="Arial"/>
          <w:sz w:val="22"/>
          <w:szCs w:val="22"/>
        </w:rPr>
      </w:pPr>
      <w:r w:rsidRPr="00540679">
        <w:rPr>
          <w:rStyle w:val="eop"/>
          <w:rFonts w:ascii="Arial" w:hAnsi="Arial" w:cs="Arial"/>
          <w:sz w:val="22"/>
          <w:szCs w:val="22"/>
        </w:rPr>
        <w:t> </w:t>
      </w:r>
    </w:p>
    <w:p w14:paraId="655CE533" w14:textId="77777777" w:rsidR="00B63167" w:rsidRPr="00540679" w:rsidRDefault="00B63167" w:rsidP="003C505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Voluntary participation: Participant involvement is voluntary and informed written consent is required.</w:t>
      </w:r>
      <w:r w:rsidRPr="00540679">
        <w:rPr>
          <w:rStyle w:val="eop"/>
          <w:rFonts w:ascii="Arial" w:hAnsi="Arial" w:cs="Arial"/>
          <w:sz w:val="22"/>
          <w:szCs w:val="22"/>
        </w:rPr>
        <w:t> </w:t>
      </w:r>
    </w:p>
    <w:p w14:paraId="37D1BDE7" w14:textId="77777777" w:rsidR="00B63167" w:rsidRPr="00540679" w:rsidRDefault="00B63167" w:rsidP="003C505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lastRenderedPageBreak/>
        <w:t>Ethical care: We contest the proposed intervention is ethical as it offers care above that of ‘usual care’.</w:t>
      </w:r>
      <w:r w:rsidRPr="00540679">
        <w:rPr>
          <w:rStyle w:val="eop"/>
          <w:rFonts w:ascii="Arial" w:hAnsi="Arial" w:cs="Arial"/>
          <w:sz w:val="22"/>
          <w:szCs w:val="22"/>
        </w:rPr>
        <w:t> </w:t>
      </w:r>
    </w:p>
    <w:p w14:paraId="046F21BC" w14:textId="10D0096A" w:rsidR="00B63167" w:rsidRPr="00540679" w:rsidRDefault="00B63167" w:rsidP="003C505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 xml:space="preserve">Ethical care: We contest the random allocation to ‘usual care’ is ethical as </w:t>
      </w:r>
      <w:r w:rsidR="79177E68" w:rsidRPr="00540679">
        <w:rPr>
          <w:rStyle w:val="normaltextrun"/>
          <w:rFonts w:ascii="Arial" w:hAnsi="Arial" w:cs="Arial"/>
          <w:sz w:val="22"/>
          <w:szCs w:val="22"/>
        </w:rPr>
        <w:t>T</w:t>
      </w:r>
      <w:r w:rsidR="00DE691B" w:rsidRPr="00540679">
        <w:rPr>
          <w:rStyle w:val="normaltextrun"/>
          <w:rFonts w:ascii="Arial" w:hAnsi="Arial" w:cs="Arial"/>
          <w:sz w:val="22"/>
          <w:szCs w:val="22"/>
        </w:rPr>
        <w:t>ransition of Care Service</w:t>
      </w:r>
      <w:r w:rsidRPr="00540679">
        <w:rPr>
          <w:rStyle w:val="normaltextrun"/>
          <w:rFonts w:ascii="Arial" w:hAnsi="Arial" w:cs="Arial"/>
          <w:sz w:val="22"/>
          <w:szCs w:val="22"/>
        </w:rPr>
        <w:t xml:space="preserve"> </w:t>
      </w:r>
      <w:r w:rsidR="00DE691B" w:rsidRPr="00540679">
        <w:rPr>
          <w:rStyle w:val="normaltextrun"/>
          <w:rFonts w:ascii="Arial" w:hAnsi="Arial" w:cs="Arial"/>
          <w:sz w:val="22"/>
          <w:szCs w:val="22"/>
        </w:rPr>
        <w:t>is</w:t>
      </w:r>
      <w:r w:rsidRPr="00540679">
        <w:rPr>
          <w:rStyle w:val="normaltextrun"/>
          <w:rFonts w:ascii="Arial" w:hAnsi="Arial" w:cs="Arial"/>
          <w:sz w:val="22"/>
          <w:szCs w:val="22"/>
        </w:rPr>
        <w:t xml:space="preserve"> not routinely provided.</w:t>
      </w:r>
      <w:r w:rsidRPr="00540679">
        <w:rPr>
          <w:rStyle w:val="eop"/>
          <w:rFonts w:ascii="Arial" w:hAnsi="Arial" w:cs="Arial"/>
          <w:sz w:val="22"/>
          <w:szCs w:val="22"/>
        </w:rPr>
        <w:t> </w:t>
      </w:r>
    </w:p>
    <w:p w14:paraId="366DE278" w14:textId="53C8B5C3" w:rsidR="00B63167" w:rsidRPr="00540679" w:rsidRDefault="00B63167" w:rsidP="003C505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Harm minimization: We contest we have endeavoured to minimise harm by including the attending clinicians.</w:t>
      </w:r>
      <w:r w:rsidRPr="00540679">
        <w:rPr>
          <w:rStyle w:val="eop"/>
          <w:rFonts w:ascii="Arial" w:hAnsi="Arial" w:cs="Arial"/>
          <w:sz w:val="22"/>
          <w:szCs w:val="22"/>
        </w:rPr>
        <w:t> </w:t>
      </w:r>
    </w:p>
    <w:p w14:paraId="3095DFC6" w14:textId="77777777" w:rsidR="00B63167" w:rsidRPr="00540679" w:rsidRDefault="00B63167" w:rsidP="003C505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Privacy and confidentiality: We will protect participant privacy and confidentiality by maintaining and storing study records in a secure database (Redcap TM, cloud-based storage) and paper-based records will be kept in locked research filing cabinets.</w:t>
      </w:r>
      <w:r w:rsidRPr="00540679">
        <w:rPr>
          <w:rStyle w:val="eop"/>
          <w:rFonts w:ascii="Arial" w:hAnsi="Arial" w:cs="Arial"/>
          <w:sz w:val="22"/>
          <w:szCs w:val="22"/>
        </w:rPr>
        <w:t> </w:t>
      </w:r>
    </w:p>
    <w:p w14:paraId="00B68208" w14:textId="77777777" w:rsidR="00B63167" w:rsidRPr="00540679" w:rsidRDefault="00B63167" w:rsidP="003C505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Data integrity: We will adopt best practice for managing data including audit of data entry at regular intervals. All investigators will be required to have current certification of ‘Good Clinical Practice, GCP’ training prior to commencement.</w:t>
      </w:r>
      <w:r w:rsidRPr="00540679">
        <w:rPr>
          <w:rStyle w:val="eop"/>
          <w:rFonts w:ascii="Arial" w:hAnsi="Arial" w:cs="Arial"/>
          <w:sz w:val="22"/>
          <w:szCs w:val="22"/>
        </w:rPr>
        <w:t> </w:t>
      </w:r>
    </w:p>
    <w:p w14:paraId="74A70AE0" w14:textId="77777777" w:rsidR="00B63167" w:rsidRPr="00540679" w:rsidRDefault="00B63167" w:rsidP="003C505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540679">
        <w:rPr>
          <w:rStyle w:val="normaltextrun"/>
          <w:rFonts w:ascii="Arial" w:hAnsi="Arial" w:cs="Arial"/>
          <w:sz w:val="22"/>
          <w:szCs w:val="22"/>
        </w:rPr>
        <w:t>Scientific robustness: The research design is rigorous which is also an ethical consideration as it represents value for money in the context of limited research dollars.</w:t>
      </w:r>
      <w:r w:rsidRPr="00540679">
        <w:rPr>
          <w:rStyle w:val="eop"/>
          <w:rFonts w:ascii="Arial" w:hAnsi="Arial" w:cs="Arial"/>
          <w:sz w:val="22"/>
          <w:szCs w:val="22"/>
        </w:rPr>
        <w:t> </w:t>
      </w:r>
    </w:p>
    <w:p w14:paraId="7F8B5E20" w14:textId="77777777" w:rsidR="00104CFC" w:rsidRPr="00540679" w:rsidRDefault="00104CFC" w:rsidP="003C505F">
      <w:pPr>
        <w:spacing w:line="276" w:lineRule="auto"/>
        <w:outlineLvl w:val="0"/>
        <w:rPr>
          <w:rFonts w:ascii="Arial" w:hAnsi="Arial" w:cs="Arial"/>
          <w:b/>
          <w:sz w:val="22"/>
          <w:szCs w:val="22"/>
        </w:rPr>
      </w:pPr>
    </w:p>
    <w:p w14:paraId="44DBECEA" w14:textId="53583E75" w:rsidR="00773765" w:rsidRPr="00540679" w:rsidRDefault="005B33E0" w:rsidP="00D51388">
      <w:pPr>
        <w:spacing w:line="276" w:lineRule="auto"/>
        <w:outlineLvl w:val="0"/>
        <w:rPr>
          <w:rFonts w:ascii="Arial" w:hAnsi="Arial" w:cs="Arial"/>
          <w:b/>
          <w:sz w:val="22"/>
          <w:szCs w:val="22"/>
        </w:rPr>
      </w:pPr>
      <w:r w:rsidRPr="00540679">
        <w:rPr>
          <w:rFonts w:ascii="Arial" w:hAnsi="Arial" w:cs="Arial"/>
          <w:b/>
          <w:sz w:val="22"/>
          <w:szCs w:val="22"/>
        </w:rPr>
        <w:t xml:space="preserve"> </w:t>
      </w:r>
      <w:r w:rsidR="00104CFC" w:rsidRPr="00540679">
        <w:rPr>
          <w:rFonts w:ascii="Arial" w:hAnsi="Arial" w:cs="Arial"/>
          <w:b/>
          <w:sz w:val="22"/>
          <w:szCs w:val="22"/>
        </w:rPr>
        <w:t xml:space="preserve">9. </w:t>
      </w:r>
      <w:r w:rsidRPr="00540679">
        <w:rPr>
          <w:rFonts w:ascii="Arial" w:hAnsi="Arial" w:cs="Arial"/>
          <w:b/>
          <w:sz w:val="22"/>
          <w:szCs w:val="22"/>
        </w:rPr>
        <w:t xml:space="preserve">DATA LINKAGE </w:t>
      </w:r>
    </w:p>
    <w:p w14:paraId="629C7737" w14:textId="46586123" w:rsidR="009167CB" w:rsidRPr="00540679" w:rsidRDefault="00773765" w:rsidP="00D51388">
      <w:pPr>
        <w:spacing w:line="276" w:lineRule="auto"/>
        <w:jc w:val="both"/>
        <w:outlineLvl w:val="0"/>
        <w:rPr>
          <w:rFonts w:ascii="Arial" w:hAnsi="Arial" w:cs="Arial"/>
          <w:sz w:val="22"/>
          <w:szCs w:val="22"/>
        </w:rPr>
      </w:pPr>
      <w:r w:rsidRPr="00540679">
        <w:rPr>
          <w:rFonts w:ascii="Arial" w:hAnsi="Arial" w:cs="Arial"/>
          <w:sz w:val="22"/>
          <w:szCs w:val="22"/>
        </w:rPr>
        <w:t>Australian Institute of Health and Welfare (AIHW) for the nation-wide databases and NSW Centre for Health Record Linkage (</w:t>
      </w:r>
      <w:proofErr w:type="spellStart"/>
      <w:r w:rsidRPr="00540679">
        <w:rPr>
          <w:rFonts w:ascii="Arial" w:hAnsi="Arial" w:cs="Arial"/>
          <w:sz w:val="22"/>
          <w:szCs w:val="22"/>
        </w:rPr>
        <w:t>CH</w:t>
      </w:r>
      <w:r w:rsidR="005704CE" w:rsidRPr="00540679">
        <w:rPr>
          <w:rFonts w:ascii="Arial" w:hAnsi="Arial" w:cs="Arial"/>
          <w:sz w:val="22"/>
          <w:szCs w:val="22"/>
        </w:rPr>
        <w:t>e</w:t>
      </w:r>
      <w:r w:rsidRPr="00540679">
        <w:rPr>
          <w:rFonts w:ascii="Arial" w:hAnsi="Arial" w:cs="Arial"/>
          <w:sz w:val="22"/>
          <w:szCs w:val="22"/>
        </w:rPr>
        <w:t>R</w:t>
      </w:r>
      <w:r w:rsidR="005704CE" w:rsidRPr="00540679">
        <w:rPr>
          <w:rFonts w:ascii="Arial" w:hAnsi="Arial" w:cs="Arial"/>
          <w:sz w:val="22"/>
          <w:szCs w:val="22"/>
        </w:rPr>
        <w:t>e</w:t>
      </w:r>
      <w:r w:rsidRPr="00540679">
        <w:rPr>
          <w:rFonts w:ascii="Arial" w:hAnsi="Arial" w:cs="Arial"/>
          <w:sz w:val="22"/>
          <w:szCs w:val="22"/>
        </w:rPr>
        <w:t>L</w:t>
      </w:r>
      <w:proofErr w:type="spellEnd"/>
      <w:r w:rsidRPr="00540679">
        <w:rPr>
          <w:rFonts w:ascii="Arial" w:hAnsi="Arial" w:cs="Arial"/>
          <w:sz w:val="22"/>
          <w:szCs w:val="22"/>
        </w:rPr>
        <w:t>) for the state databases will be accessed. Separate Ethics applications will be submitted to the nation-wide and state-based data custodians.</w:t>
      </w:r>
      <w:r w:rsidR="0D370DAB" w:rsidRPr="00540679">
        <w:rPr>
          <w:rFonts w:ascii="Arial" w:hAnsi="Arial" w:cs="Arial"/>
          <w:sz w:val="22"/>
          <w:szCs w:val="22"/>
        </w:rPr>
        <w:t xml:space="preserve"> </w:t>
      </w:r>
      <w:r w:rsidRPr="00540679">
        <w:rPr>
          <w:rFonts w:ascii="Arial" w:hAnsi="Arial" w:cs="Arial"/>
          <w:sz w:val="22"/>
          <w:szCs w:val="22"/>
        </w:rPr>
        <w:t xml:space="preserve">These data will be collected to validate medication history printouts and participant self-report </w:t>
      </w:r>
      <w:r w:rsidR="005B33E0" w:rsidRPr="00540679">
        <w:rPr>
          <w:rFonts w:ascii="Arial" w:hAnsi="Arial" w:cs="Arial"/>
          <w:sz w:val="22"/>
          <w:szCs w:val="22"/>
        </w:rPr>
        <w:t>of medication</w:t>
      </w:r>
      <w:r w:rsidR="00D87243" w:rsidRPr="00540679">
        <w:rPr>
          <w:rFonts w:ascii="Arial" w:hAnsi="Arial" w:cs="Arial"/>
          <w:sz w:val="22"/>
          <w:szCs w:val="22"/>
        </w:rPr>
        <w:t>-related and</w:t>
      </w:r>
      <w:r w:rsidR="005B33E0" w:rsidRPr="00540679">
        <w:rPr>
          <w:rFonts w:ascii="Arial" w:hAnsi="Arial" w:cs="Arial"/>
          <w:sz w:val="22"/>
          <w:szCs w:val="22"/>
        </w:rPr>
        <w:t xml:space="preserve"> all cause readmission or ED presentation.</w:t>
      </w:r>
      <w:bookmarkStart w:id="58" w:name="_Toc23337565"/>
      <w:bookmarkStart w:id="59" w:name="_Toc236472636"/>
      <w:bookmarkStart w:id="60" w:name="_Toc236473756"/>
    </w:p>
    <w:p w14:paraId="394E7935" w14:textId="77777777" w:rsidR="009167CB" w:rsidRPr="00540679" w:rsidRDefault="009167CB" w:rsidP="009A54A9">
      <w:pPr>
        <w:jc w:val="both"/>
        <w:outlineLvl w:val="0"/>
        <w:rPr>
          <w:rFonts w:ascii="Arial" w:hAnsi="Arial" w:cs="Arial"/>
          <w:bCs/>
          <w:sz w:val="22"/>
          <w:szCs w:val="22"/>
        </w:rPr>
      </w:pPr>
    </w:p>
    <w:p w14:paraId="4D67DE87" w14:textId="1EA6FC01" w:rsidR="00450484" w:rsidRPr="00540679" w:rsidRDefault="00104CFC" w:rsidP="005D5D71">
      <w:pPr>
        <w:spacing w:line="276" w:lineRule="auto"/>
        <w:jc w:val="both"/>
        <w:outlineLvl w:val="0"/>
        <w:rPr>
          <w:rFonts w:ascii="Arial" w:hAnsi="Arial" w:cs="Arial"/>
          <w:b/>
          <w:sz w:val="22"/>
          <w:szCs w:val="22"/>
        </w:rPr>
      </w:pPr>
      <w:r w:rsidRPr="00540679">
        <w:rPr>
          <w:rFonts w:ascii="Arial" w:hAnsi="Arial" w:cs="Arial"/>
          <w:b/>
          <w:sz w:val="22"/>
          <w:szCs w:val="22"/>
        </w:rPr>
        <w:t>10</w:t>
      </w:r>
      <w:r w:rsidR="00450484" w:rsidRPr="00540679">
        <w:rPr>
          <w:rFonts w:ascii="Arial" w:hAnsi="Arial" w:cs="Arial"/>
          <w:b/>
          <w:sz w:val="22"/>
          <w:szCs w:val="22"/>
        </w:rPr>
        <w:t>.</w:t>
      </w:r>
      <w:r w:rsidR="00446792" w:rsidRPr="00540679">
        <w:rPr>
          <w:rFonts w:ascii="Arial" w:hAnsi="Arial" w:cs="Arial"/>
          <w:b/>
          <w:sz w:val="22"/>
          <w:szCs w:val="22"/>
        </w:rPr>
        <w:t xml:space="preserve"> </w:t>
      </w:r>
      <w:r w:rsidR="00450484" w:rsidRPr="00540679">
        <w:rPr>
          <w:rFonts w:ascii="Arial" w:hAnsi="Arial" w:cs="Arial"/>
          <w:b/>
          <w:sz w:val="22"/>
          <w:szCs w:val="22"/>
        </w:rPr>
        <w:t>DATA STORAGE AND RECORD RETENTION</w:t>
      </w:r>
      <w:bookmarkEnd w:id="58"/>
    </w:p>
    <w:p w14:paraId="78F9E69D" w14:textId="461C544E" w:rsidR="00450484" w:rsidRPr="00540679" w:rsidRDefault="00450484" w:rsidP="005D5D71">
      <w:pPr>
        <w:spacing w:line="276" w:lineRule="auto"/>
        <w:jc w:val="both"/>
        <w:rPr>
          <w:rFonts w:ascii="Arial" w:hAnsi="Arial" w:cs="Arial"/>
          <w:sz w:val="22"/>
          <w:szCs w:val="22"/>
        </w:rPr>
      </w:pPr>
      <w:r w:rsidRPr="00540679">
        <w:rPr>
          <w:rFonts w:ascii="Arial" w:hAnsi="Arial" w:cs="Arial"/>
          <w:sz w:val="22"/>
          <w:szCs w:val="22"/>
        </w:rPr>
        <w:t>Re-identifiable data will be stored in a password-protected cloud-based software</w:t>
      </w:r>
      <w:r w:rsidR="00575957" w:rsidRPr="00540679">
        <w:rPr>
          <w:rFonts w:ascii="Arial" w:hAnsi="Arial" w:cs="Arial"/>
          <w:sz w:val="22"/>
          <w:szCs w:val="22"/>
        </w:rPr>
        <w:t>, OneDrive</w:t>
      </w:r>
      <w:r w:rsidRPr="00540679">
        <w:rPr>
          <w:rFonts w:ascii="Arial" w:hAnsi="Arial" w:cs="Arial"/>
          <w:sz w:val="22"/>
          <w:szCs w:val="22"/>
        </w:rPr>
        <w:t xml:space="preserve">. </w:t>
      </w:r>
      <w:r w:rsidRPr="00540679">
        <w:rPr>
          <w:rFonts w:ascii="Arial" w:hAnsi="Arial" w:cs="Arial"/>
          <w:iCs/>
          <w:sz w:val="22"/>
          <w:szCs w:val="22"/>
          <w:lang w:val="en-GB"/>
        </w:rPr>
        <w:t xml:space="preserve">No data will be stored on personal computers. </w:t>
      </w:r>
      <w:r w:rsidRPr="00540679">
        <w:rPr>
          <w:rFonts w:ascii="Arial" w:hAnsi="Arial" w:cs="Arial"/>
          <w:sz w:val="22"/>
          <w:szCs w:val="22"/>
        </w:rPr>
        <w:t xml:space="preserve">Data will be stored for 15 years according to the University of Sydney’s Research Code of Conduct 2019. </w:t>
      </w:r>
      <w:r w:rsidRPr="00540679">
        <w:rPr>
          <w:rFonts w:ascii="Arial" w:hAnsi="Arial" w:cs="Arial"/>
          <w:iCs/>
          <w:sz w:val="22"/>
          <w:szCs w:val="22"/>
          <w:lang w:val="en-GB"/>
        </w:rPr>
        <w:t>After this period has elapsed, the research data will be destroyed permanently.</w:t>
      </w:r>
      <w:r w:rsidRPr="00540679">
        <w:rPr>
          <w:rFonts w:ascii="Arial" w:hAnsi="Arial" w:cs="Arial"/>
          <w:iCs/>
          <w:sz w:val="22"/>
          <w:szCs w:val="22"/>
        </w:rPr>
        <w:t xml:space="preserve"> </w:t>
      </w:r>
      <w:r w:rsidRPr="00540679">
        <w:rPr>
          <w:rFonts w:ascii="Arial" w:hAnsi="Arial" w:cs="Arial"/>
          <w:sz w:val="22"/>
          <w:szCs w:val="22"/>
        </w:rPr>
        <w:t xml:space="preserve">Random checks of 10% of data will be conducted for quality assurance. </w:t>
      </w:r>
    </w:p>
    <w:p w14:paraId="4704CDDF" w14:textId="1E5AB53D" w:rsidR="00C53C03" w:rsidRPr="00540679" w:rsidRDefault="00C53C03" w:rsidP="005D5D71">
      <w:pPr>
        <w:spacing w:line="276" w:lineRule="auto"/>
        <w:jc w:val="both"/>
        <w:rPr>
          <w:rFonts w:ascii="Arial" w:hAnsi="Arial" w:cs="Arial"/>
          <w:sz w:val="22"/>
          <w:szCs w:val="22"/>
        </w:rPr>
      </w:pPr>
    </w:p>
    <w:p w14:paraId="0741FD9E" w14:textId="37F8AF74" w:rsidR="00C53C03" w:rsidRPr="00540679" w:rsidRDefault="00C53C03" w:rsidP="005D5D71">
      <w:pPr>
        <w:pStyle w:val="Heading1"/>
        <w:numPr>
          <w:ilvl w:val="0"/>
          <w:numId w:val="0"/>
        </w:numPr>
        <w:spacing w:line="276" w:lineRule="auto"/>
        <w:rPr>
          <w:rFonts w:ascii="Arial" w:hAnsi="Arial" w:cs="Arial"/>
        </w:rPr>
      </w:pPr>
      <w:bookmarkStart w:id="61" w:name="_Toc23337566"/>
      <w:r w:rsidRPr="00540679">
        <w:rPr>
          <w:rFonts w:ascii="Arial" w:hAnsi="Arial" w:cs="Arial"/>
        </w:rPr>
        <w:t>1</w:t>
      </w:r>
      <w:r w:rsidR="00104CFC" w:rsidRPr="00540679">
        <w:rPr>
          <w:rFonts w:ascii="Arial" w:hAnsi="Arial" w:cs="Arial"/>
        </w:rPr>
        <w:t>1</w:t>
      </w:r>
      <w:r w:rsidRPr="00540679">
        <w:rPr>
          <w:rFonts w:ascii="Arial" w:hAnsi="Arial" w:cs="Arial"/>
        </w:rPr>
        <w:t>. SAFETY REPORTING</w:t>
      </w:r>
      <w:bookmarkEnd w:id="61"/>
    </w:p>
    <w:p w14:paraId="4321B943" w14:textId="747AD23A" w:rsidR="00FD313E" w:rsidRPr="00540679" w:rsidRDefault="00C53C03" w:rsidP="005D5D71">
      <w:pPr>
        <w:spacing w:line="276" w:lineRule="auto"/>
        <w:rPr>
          <w:rFonts w:ascii="Arial" w:hAnsi="Arial" w:cs="Arial"/>
          <w:sz w:val="22"/>
          <w:szCs w:val="22"/>
        </w:rPr>
      </w:pPr>
      <w:r w:rsidRPr="00540679">
        <w:rPr>
          <w:rFonts w:ascii="Arial" w:hAnsi="Arial" w:cs="Arial"/>
          <w:sz w:val="22"/>
          <w:szCs w:val="22"/>
        </w:rPr>
        <w:t xml:space="preserve">Not applicable, as this study is </w:t>
      </w:r>
      <w:r w:rsidR="007F70E2" w:rsidRPr="00540679">
        <w:rPr>
          <w:rFonts w:ascii="Arial" w:hAnsi="Arial" w:cs="Arial"/>
          <w:sz w:val="22"/>
          <w:szCs w:val="22"/>
        </w:rPr>
        <w:t xml:space="preserve">a </w:t>
      </w:r>
      <w:r w:rsidRPr="00540679">
        <w:rPr>
          <w:rFonts w:ascii="Arial" w:hAnsi="Arial" w:cs="Arial"/>
          <w:sz w:val="22"/>
          <w:szCs w:val="22"/>
        </w:rPr>
        <w:t>RCT regarding an already approved service and not a drug or device.</w:t>
      </w:r>
      <w:bookmarkStart w:id="62" w:name="_Toc479147690"/>
      <w:bookmarkStart w:id="63" w:name="_Toc23337567"/>
    </w:p>
    <w:p w14:paraId="00A1C267" w14:textId="4CF0A674" w:rsidR="00233D5D" w:rsidRPr="00540679" w:rsidRDefault="00233D5D" w:rsidP="005D5D71">
      <w:pPr>
        <w:spacing w:line="276" w:lineRule="auto"/>
        <w:rPr>
          <w:rFonts w:ascii="Arial" w:hAnsi="Arial" w:cs="Arial"/>
          <w:b/>
          <w:bCs/>
          <w:sz w:val="22"/>
          <w:szCs w:val="22"/>
        </w:rPr>
      </w:pPr>
    </w:p>
    <w:p w14:paraId="7905C195" w14:textId="0E6724BB" w:rsidR="00C53C03" w:rsidRPr="00540679" w:rsidRDefault="00FD313E" w:rsidP="005D5D71">
      <w:pPr>
        <w:spacing w:line="276" w:lineRule="auto"/>
        <w:rPr>
          <w:rFonts w:ascii="Arial" w:hAnsi="Arial" w:cs="Arial"/>
          <w:b/>
          <w:bCs/>
          <w:sz w:val="22"/>
          <w:szCs w:val="22"/>
        </w:rPr>
      </w:pPr>
      <w:r w:rsidRPr="00540679">
        <w:rPr>
          <w:rFonts w:ascii="Arial" w:hAnsi="Arial" w:cs="Arial"/>
          <w:b/>
          <w:bCs/>
          <w:iCs/>
          <w:sz w:val="22"/>
          <w:szCs w:val="22"/>
        </w:rPr>
        <w:t>1</w:t>
      </w:r>
      <w:r w:rsidR="00104CFC" w:rsidRPr="00540679">
        <w:rPr>
          <w:rFonts w:ascii="Arial" w:hAnsi="Arial" w:cs="Arial"/>
          <w:b/>
          <w:bCs/>
          <w:iCs/>
          <w:sz w:val="22"/>
          <w:szCs w:val="22"/>
        </w:rPr>
        <w:t>2</w:t>
      </w:r>
      <w:r w:rsidRPr="00540679">
        <w:rPr>
          <w:rFonts w:ascii="Arial" w:hAnsi="Arial" w:cs="Arial"/>
          <w:b/>
          <w:bCs/>
          <w:iCs/>
          <w:sz w:val="22"/>
          <w:szCs w:val="22"/>
        </w:rPr>
        <w:t xml:space="preserve">. </w:t>
      </w:r>
      <w:r w:rsidRPr="00540679">
        <w:rPr>
          <w:rFonts w:ascii="Arial" w:hAnsi="Arial" w:cs="Arial"/>
          <w:b/>
          <w:bCs/>
          <w:sz w:val="22"/>
          <w:szCs w:val="22"/>
        </w:rPr>
        <w:t>DATA SAFETY AND MONITORING BOARD</w:t>
      </w:r>
      <w:bookmarkEnd w:id="62"/>
      <w:bookmarkEnd w:id="63"/>
    </w:p>
    <w:p w14:paraId="6CE060C5" w14:textId="059120F7" w:rsidR="00C53C03" w:rsidRPr="00540679" w:rsidRDefault="00C53C03" w:rsidP="005D5D71">
      <w:pPr>
        <w:spacing w:line="276" w:lineRule="auto"/>
        <w:rPr>
          <w:rFonts w:ascii="Arial" w:hAnsi="Arial" w:cs="Arial"/>
          <w:sz w:val="22"/>
          <w:szCs w:val="22"/>
          <w:lang w:eastAsia="ja-JP"/>
        </w:rPr>
      </w:pPr>
      <w:r w:rsidRPr="00540679">
        <w:rPr>
          <w:rFonts w:ascii="Arial" w:hAnsi="Arial" w:cs="Arial"/>
          <w:sz w:val="22"/>
          <w:szCs w:val="22"/>
          <w:lang w:eastAsia="ja-JP"/>
        </w:rPr>
        <w:t>This study does not involve drugs or devices; therefore, establishment of a Data Safety and Monitoring Board is not applicable.</w:t>
      </w:r>
    </w:p>
    <w:p w14:paraId="2610FF5C" w14:textId="77777777" w:rsidR="00450484" w:rsidRPr="00540679" w:rsidRDefault="00450484" w:rsidP="005D5D71">
      <w:pPr>
        <w:spacing w:line="276" w:lineRule="auto"/>
        <w:rPr>
          <w:rFonts w:ascii="Arial" w:hAnsi="Arial" w:cs="Arial"/>
          <w:sz w:val="22"/>
          <w:szCs w:val="22"/>
        </w:rPr>
      </w:pPr>
    </w:p>
    <w:p w14:paraId="75213CAB" w14:textId="543DAEB4" w:rsidR="00450484" w:rsidRPr="00540679" w:rsidRDefault="00DE0DE2" w:rsidP="005D5D71">
      <w:pPr>
        <w:pStyle w:val="Heading1"/>
        <w:numPr>
          <w:ilvl w:val="0"/>
          <w:numId w:val="0"/>
        </w:numPr>
        <w:spacing w:line="276" w:lineRule="auto"/>
        <w:rPr>
          <w:rFonts w:ascii="Arial" w:hAnsi="Arial" w:cs="Arial"/>
        </w:rPr>
      </w:pPr>
      <w:bookmarkStart w:id="64" w:name="_Toc479147691"/>
      <w:bookmarkStart w:id="65" w:name="_Toc23337568"/>
      <w:bookmarkEnd w:id="59"/>
      <w:bookmarkEnd w:id="60"/>
      <w:r w:rsidRPr="00540679">
        <w:rPr>
          <w:rFonts w:ascii="Arial" w:hAnsi="Arial" w:cs="Arial"/>
        </w:rPr>
        <w:t>1</w:t>
      </w:r>
      <w:r w:rsidR="00104CFC" w:rsidRPr="00540679">
        <w:rPr>
          <w:rFonts w:ascii="Arial" w:hAnsi="Arial" w:cs="Arial"/>
        </w:rPr>
        <w:t>3</w:t>
      </w:r>
      <w:r w:rsidR="00450484" w:rsidRPr="00540679">
        <w:rPr>
          <w:rFonts w:ascii="Arial" w:hAnsi="Arial" w:cs="Arial"/>
        </w:rPr>
        <w:t>. Early Termination</w:t>
      </w:r>
      <w:bookmarkEnd w:id="64"/>
      <w:r w:rsidR="00450484" w:rsidRPr="00540679">
        <w:rPr>
          <w:rFonts w:ascii="Arial" w:hAnsi="Arial" w:cs="Arial"/>
        </w:rPr>
        <w:t xml:space="preserve"> (IF APPLICABLE)</w:t>
      </w:r>
      <w:bookmarkEnd w:id="65"/>
    </w:p>
    <w:p w14:paraId="17215A91" w14:textId="6B2ECF47" w:rsidR="00450484" w:rsidRPr="00540679" w:rsidRDefault="00490EEC" w:rsidP="005D5D71">
      <w:pPr>
        <w:spacing w:line="276" w:lineRule="auto"/>
        <w:jc w:val="both"/>
        <w:rPr>
          <w:rFonts w:ascii="Arial" w:hAnsi="Arial" w:cs="Arial"/>
          <w:iCs/>
          <w:sz w:val="22"/>
          <w:szCs w:val="22"/>
        </w:rPr>
      </w:pPr>
      <w:r w:rsidRPr="00540679">
        <w:rPr>
          <w:rFonts w:ascii="Arial" w:hAnsi="Arial" w:cs="Arial"/>
          <w:iCs/>
          <w:sz w:val="22"/>
          <w:szCs w:val="22"/>
        </w:rPr>
        <w:t>It would be very unlikely that there would be an early termination of the study. No foreseeable adverse circumstance would make this applicable</w:t>
      </w:r>
      <w:r w:rsidR="00AD10EF" w:rsidRPr="00540679">
        <w:rPr>
          <w:rFonts w:ascii="Arial" w:hAnsi="Arial" w:cs="Arial"/>
          <w:iCs/>
          <w:sz w:val="22"/>
          <w:szCs w:val="22"/>
        </w:rPr>
        <w:t xml:space="preserve">. </w:t>
      </w:r>
      <w:r w:rsidR="00450484" w:rsidRPr="00540679">
        <w:rPr>
          <w:rFonts w:ascii="Arial" w:hAnsi="Arial" w:cs="Arial"/>
          <w:iCs/>
          <w:sz w:val="22"/>
          <w:szCs w:val="22"/>
        </w:rPr>
        <w:t>In the event this study needs to be ceased prematurely for any reason, participants and HREC will be informed by study researchers, and a final study report will be compiled and submitted to HREC.</w:t>
      </w:r>
    </w:p>
    <w:p w14:paraId="759C3C9F" w14:textId="77777777" w:rsidR="00450484" w:rsidRPr="00540679" w:rsidRDefault="00450484" w:rsidP="005D5D71">
      <w:pPr>
        <w:spacing w:line="276" w:lineRule="auto"/>
        <w:rPr>
          <w:rFonts w:ascii="Arial" w:hAnsi="Arial" w:cs="Arial"/>
          <w:iCs/>
          <w:sz w:val="22"/>
          <w:szCs w:val="22"/>
        </w:rPr>
      </w:pPr>
    </w:p>
    <w:p w14:paraId="05CE98B3" w14:textId="64DF2A48" w:rsidR="00450484" w:rsidRPr="00540679" w:rsidRDefault="00450484" w:rsidP="005D5D71">
      <w:pPr>
        <w:pStyle w:val="Heading1"/>
        <w:numPr>
          <w:ilvl w:val="0"/>
          <w:numId w:val="0"/>
        </w:numPr>
        <w:spacing w:line="276" w:lineRule="auto"/>
        <w:rPr>
          <w:rFonts w:ascii="Arial" w:hAnsi="Arial" w:cs="Arial"/>
        </w:rPr>
      </w:pPr>
      <w:bookmarkStart w:id="66" w:name="_Toc479147692"/>
      <w:bookmarkStart w:id="67" w:name="_Toc23337569"/>
      <w:r w:rsidRPr="00540679">
        <w:rPr>
          <w:rFonts w:ascii="Arial" w:hAnsi="Arial" w:cs="Arial"/>
        </w:rPr>
        <w:lastRenderedPageBreak/>
        <w:t>1</w:t>
      </w:r>
      <w:r w:rsidR="00104CFC" w:rsidRPr="00540679">
        <w:rPr>
          <w:rFonts w:ascii="Arial" w:hAnsi="Arial" w:cs="Arial"/>
        </w:rPr>
        <w:t>4</w:t>
      </w:r>
      <w:r w:rsidRPr="00540679">
        <w:rPr>
          <w:rFonts w:ascii="Arial" w:hAnsi="Arial" w:cs="Arial"/>
        </w:rPr>
        <w:t>. BLINDING AND UNBLINDING</w:t>
      </w:r>
      <w:bookmarkEnd w:id="66"/>
      <w:r w:rsidRPr="00540679">
        <w:rPr>
          <w:rFonts w:ascii="Arial" w:hAnsi="Arial" w:cs="Arial"/>
        </w:rPr>
        <w:t xml:space="preserve"> </w:t>
      </w:r>
      <w:bookmarkEnd w:id="67"/>
    </w:p>
    <w:p w14:paraId="61C4C518" w14:textId="0C639C8E" w:rsidR="00450484" w:rsidRPr="00540679" w:rsidRDefault="00450484" w:rsidP="005D5D71">
      <w:pPr>
        <w:spacing w:line="276" w:lineRule="auto"/>
        <w:rPr>
          <w:rFonts w:ascii="Arial" w:hAnsi="Arial" w:cs="Arial"/>
          <w:sz w:val="22"/>
          <w:szCs w:val="22"/>
          <w:lang w:val="en-US"/>
        </w:rPr>
      </w:pPr>
      <w:r w:rsidRPr="00540679">
        <w:rPr>
          <w:rFonts w:ascii="Arial" w:hAnsi="Arial" w:cs="Arial"/>
          <w:color w:val="000000"/>
          <w:sz w:val="22"/>
          <w:szCs w:val="22"/>
          <w:lang w:val="en-US"/>
        </w:rPr>
        <w:t xml:space="preserve">Due to the nature of the intervention, it is not possible to blind participants or health care professionals to treatment group. However, we </w:t>
      </w:r>
      <w:r w:rsidR="00B1419D" w:rsidRPr="00540679">
        <w:rPr>
          <w:rFonts w:ascii="Arial" w:hAnsi="Arial" w:cs="Arial"/>
          <w:color w:val="000000"/>
          <w:sz w:val="22"/>
          <w:szCs w:val="22"/>
          <w:lang w:val="en-US"/>
        </w:rPr>
        <w:t>will assessor</w:t>
      </w:r>
      <w:r w:rsidRPr="00540679">
        <w:rPr>
          <w:rFonts w:ascii="Arial" w:hAnsi="Arial" w:cs="Arial"/>
          <w:color w:val="000000"/>
          <w:sz w:val="22"/>
          <w:szCs w:val="22"/>
          <w:lang w:val="en-US"/>
        </w:rPr>
        <w:t>-blind data analysis of outcomes</w:t>
      </w:r>
      <w:r w:rsidR="008D00BC" w:rsidRPr="00540679">
        <w:rPr>
          <w:rFonts w:ascii="Arial" w:hAnsi="Arial" w:cs="Arial"/>
          <w:color w:val="000000"/>
          <w:sz w:val="22"/>
          <w:szCs w:val="22"/>
          <w:lang w:val="en-US"/>
        </w:rPr>
        <w:t xml:space="preserve"> occurs</w:t>
      </w:r>
      <w:r w:rsidRPr="00540679">
        <w:rPr>
          <w:rFonts w:ascii="Arial" w:hAnsi="Arial" w:cs="Arial"/>
          <w:color w:val="000000"/>
          <w:sz w:val="22"/>
          <w:szCs w:val="22"/>
          <w:lang w:val="en-US"/>
        </w:rPr>
        <w:t xml:space="preserve">. </w:t>
      </w:r>
    </w:p>
    <w:p w14:paraId="54CA2127" w14:textId="77777777" w:rsidR="00450484" w:rsidRPr="00540679" w:rsidRDefault="00450484" w:rsidP="005D5D71">
      <w:pPr>
        <w:spacing w:line="276" w:lineRule="auto"/>
        <w:ind w:left="1080"/>
        <w:rPr>
          <w:rFonts w:ascii="Arial" w:hAnsi="Arial" w:cs="Arial"/>
          <w:iCs/>
          <w:sz w:val="22"/>
          <w:szCs w:val="22"/>
        </w:rPr>
      </w:pPr>
    </w:p>
    <w:p w14:paraId="26684DF7" w14:textId="6F1D0740" w:rsidR="00450484" w:rsidRPr="00540679" w:rsidRDefault="00450484" w:rsidP="005D5D71">
      <w:pPr>
        <w:spacing w:line="276" w:lineRule="auto"/>
        <w:outlineLvl w:val="0"/>
        <w:rPr>
          <w:rFonts w:ascii="Arial" w:hAnsi="Arial" w:cs="Arial"/>
          <w:b/>
          <w:sz w:val="22"/>
          <w:szCs w:val="22"/>
        </w:rPr>
      </w:pPr>
      <w:bookmarkStart w:id="68" w:name="_Toc23337570"/>
      <w:bookmarkStart w:id="69" w:name="_Toc224114242"/>
      <w:bookmarkStart w:id="70" w:name="_Toc224114367"/>
      <w:bookmarkStart w:id="71" w:name="_Toc229297246"/>
      <w:bookmarkStart w:id="72" w:name="_Toc229297353"/>
      <w:bookmarkStart w:id="73" w:name="_Toc229298377"/>
      <w:bookmarkStart w:id="74" w:name="_Toc229307345"/>
      <w:bookmarkStart w:id="75" w:name="_Toc229308165"/>
      <w:bookmarkStart w:id="76" w:name="_Toc235338639"/>
      <w:bookmarkStart w:id="77" w:name="_Toc236472642"/>
      <w:bookmarkStart w:id="78" w:name="_Toc236473762"/>
      <w:r w:rsidRPr="00540679">
        <w:rPr>
          <w:rFonts w:ascii="Arial" w:hAnsi="Arial" w:cs="Arial"/>
          <w:b/>
          <w:sz w:val="22"/>
          <w:szCs w:val="22"/>
        </w:rPr>
        <w:t>1</w:t>
      </w:r>
      <w:r w:rsidR="00104CFC" w:rsidRPr="00540679">
        <w:rPr>
          <w:rFonts w:ascii="Arial" w:hAnsi="Arial" w:cs="Arial"/>
          <w:b/>
          <w:sz w:val="22"/>
          <w:szCs w:val="22"/>
        </w:rPr>
        <w:t>5</w:t>
      </w:r>
      <w:r w:rsidRPr="00540679">
        <w:rPr>
          <w:rFonts w:ascii="Arial" w:hAnsi="Arial" w:cs="Arial"/>
          <w:b/>
          <w:sz w:val="22"/>
          <w:szCs w:val="22"/>
        </w:rPr>
        <w:t>. CONFLICT OF INTEREST</w:t>
      </w:r>
      <w:bookmarkEnd w:id="68"/>
    </w:p>
    <w:p w14:paraId="0A83C57D" w14:textId="77777777" w:rsidR="00450484" w:rsidRPr="00540679" w:rsidRDefault="00450484" w:rsidP="005D5D71">
      <w:pPr>
        <w:spacing w:line="276" w:lineRule="auto"/>
        <w:outlineLvl w:val="0"/>
        <w:rPr>
          <w:rFonts w:ascii="Arial" w:hAnsi="Arial" w:cs="Arial"/>
          <w:b/>
          <w:sz w:val="22"/>
          <w:szCs w:val="22"/>
        </w:rPr>
      </w:pPr>
      <w:r w:rsidRPr="00540679">
        <w:rPr>
          <w:rFonts w:ascii="Arial" w:hAnsi="Arial" w:cs="Arial"/>
          <w:bCs/>
          <w:sz w:val="22"/>
          <w:szCs w:val="22"/>
        </w:rPr>
        <w:t xml:space="preserve">There are no actual or perceive conflicts of interest of any of the investigators. </w:t>
      </w:r>
      <w:bookmarkStart w:id="79" w:name="_Toc23337571"/>
    </w:p>
    <w:p w14:paraId="7C3C0E32" w14:textId="77777777" w:rsidR="00450484" w:rsidRPr="00540679" w:rsidRDefault="00450484" w:rsidP="005D5D71">
      <w:pPr>
        <w:spacing w:line="276" w:lineRule="auto"/>
        <w:outlineLvl w:val="0"/>
        <w:rPr>
          <w:rFonts w:ascii="Arial" w:hAnsi="Arial" w:cs="Arial"/>
          <w:b/>
          <w:sz w:val="22"/>
          <w:szCs w:val="22"/>
        </w:rPr>
      </w:pPr>
    </w:p>
    <w:p w14:paraId="26F98070" w14:textId="6F41964B" w:rsidR="00450484" w:rsidRPr="00540679" w:rsidRDefault="00450484" w:rsidP="005D5D71">
      <w:pPr>
        <w:spacing w:line="276" w:lineRule="auto"/>
        <w:jc w:val="both"/>
        <w:outlineLvl w:val="0"/>
        <w:rPr>
          <w:rFonts w:ascii="Arial" w:hAnsi="Arial" w:cs="Arial"/>
          <w:b/>
          <w:sz w:val="22"/>
          <w:szCs w:val="22"/>
        </w:rPr>
      </w:pPr>
      <w:r w:rsidRPr="00540679">
        <w:rPr>
          <w:rFonts w:ascii="Arial" w:hAnsi="Arial" w:cs="Arial"/>
          <w:b/>
          <w:sz w:val="22"/>
          <w:szCs w:val="22"/>
        </w:rPr>
        <w:t>1</w:t>
      </w:r>
      <w:r w:rsidR="00104CFC" w:rsidRPr="00540679">
        <w:rPr>
          <w:rFonts w:ascii="Arial" w:hAnsi="Arial" w:cs="Arial"/>
          <w:b/>
          <w:sz w:val="22"/>
          <w:szCs w:val="22"/>
        </w:rPr>
        <w:t>6</w:t>
      </w:r>
      <w:r w:rsidRPr="00540679">
        <w:rPr>
          <w:rFonts w:ascii="Arial" w:hAnsi="Arial" w:cs="Arial"/>
          <w:b/>
          <w:sz w:val="22"/>
          <w:szCs w:val="22"/>
        </w:rPr>
        <w:t>. FUNDING</w:t>
      </w:r>
      <w:bookmarkEnd w:id="79"/>
    </w:p>
    <w:p w14:paraId="4CC10E4C" w14:textId="0574CCDA" w:rsidR="00450484" w:rsidRPr="00540679" w:rsidRDefault="00450484" w:rsidP="005D5D71">
      <w:pPr>
        <w:pStyle w:val="Header"/>
        <w:tabs>
          <w:tab w:val="clear" w:pos="4513"/>
          <w:tab w:val="clear" w:pos="9026"/>
          <w:tab w:val="right" w:pos="6804"/>
          <w:tab w:val="left" w:pos="6946"/>
        </w:tabs>
        <w:spacing w:line="276" w:lineRule="auto"/>
        <w:jc w:val="both"/>
        <w:rPr>
          <w:rFonts w:ascii="Arial" w:hAnsi="Arial" w:cs="Arial"/>
          <w:sz w:val="22"/>
          <w:szCs w:val="22"/>
        </w:rPr>
      </w:pPr>
      <w:r w:rsidRPr="00540679">
        <w:rPr>
          <w:rFonts w:ascii="Arial" w:hAnsi="Arial" w:cs="Arial"/>
          <w:bCs/>
          <w:sz w:val="22"/>
          <w:szCs w:val="22"/>
        </w:rPr>
        <w:t xml:space="preserve">Commonwealth Government of Australia - 2022 </w:t>
      </w:r>
      <w:r w:rsidRPr="00540679">
        <w:rPr>
          <w:rFonts w:ascii="Arial" w:hAnsi="Arial" w:cs="Arial"/>
          <w:sz w:val="22"/>
          <w:szCs w:val="22"/>
        </w:rPr>
        <w:t xml:space="preserve">MRFF Clinician Researchers - Nurses Midwives and Allied Health - </w:t>
      </w:r>
      <w:r w:rsidR="00B1419D" w:rsidRPr="00540679">
        <w:rPr>
          <w:rFonts w:ascii="Arial" w:hAnsi="Arial" w:cs="Arial"/>
          <w:sz w:val="22"/>
          <w:szCs w:val="22"/>
        </w:rPr>
        <w:t>MRFMMIP000023</w:t>
      </w:r>
    </w:p>
    <w:p w14:paraId="254E49A2" w14:textId="77777777" w:rsidR="00450484" w:rsidRPr="00540679" w:rsidRDefault="00450484" w:rsidP="005D5D71">
      <w:pPr>
        <w:spacing w:line="276" w:lineRule="auto"/>
        <w:jc w:val="center"/>
        <w:rPr>
          <w:rFonts w:ascii="Arial" w:hAnsi="Arial" w:cs="Arial"/>
          <w:sz w:val="22"/>
          <w:szCs w:val="22"/>
        </w:rPr>
      </w:pPr>
    </w:p>
    <w:p w14:paraId="476BA564" w14:textId="58A40D0A" w:rsidR="00450484" w:rsidRPr="00540679" w:rsidRDefault="00450484" w:rsidP="005D5D71">
      <w:pPr>
        <w:spacing w:line="276" w:lineRule="auto"/>
        <w:outlineLvl w:val="0"/>
        <w:rPr>
          <w:rFonts w:ascii="Arial" w:hAnsi="Arial" w:cs="Arial"/>
          <w:b/>
          <w:sz w:val="22"/>
          <w:szCs w:val="22"/>
        </w:rPr>
      </w:pPr>
    </w:p>
    <w:p w14:paraId="07B4C97E" w14:textId="2A743FF2" w:rsidR="00450484" w:rsidRPr="00540679" w:rsidRDefault="00450484" w:rsidP="005D5D71">
      <w:pPr>
        <w:spacing w:line="276" w:lineRule="auto"/>
        <w:outlineLvl w:val="0"/>
        <w:rPr>
          <w:rFonts w:ascii="Arial" w:hAnsi="Arial" w:cs="Arial"/>
          <w:b/>
          <w:sz w:val="22"/>
          <w:szCs w:val="22"/>
        </w:rPr>
      </w:pPr>
      <w:bookmarkStart w:id="80" w:name="_Toc23337572"/>
      <w:r w:rsidRPr="00540679">
        <w:rPr>
          <w:rFonts w:ascii="Arial" w:hAnsi="Arial" w:cs="Arial"/>
          <w:b/>
          <w:sz w:val="22"/>
          <w:szCs w:val="22"/>
        </w:rPr>
        <w:t>1</w:t>
      </w:r>
      <w:r w:rsidR="00104CFC" w:rsidRPr="00540679">
        <w:rPr>
          <w:rFonts w:ascii="Arial" w:hAnsi="Arial" w:cs="Arial"/>
          <w:b/>
          <w:sz w:val="22"/>
          <w:szCs w:val="22"/>
        </w:rPr>
        <w:t>7</w:t>
      </w:r>
      <w:r w:rsidRPr="00540679">
        <w:rPr>
          <w:rFonts w:ascii="Arial" w:hAnsi="Arial" w:cs="Arial"/>
          <w:b/>
          <w:sz w:val="22"/>
          <w:szCs w:val="22"/>
        </w:rPr>
        <w:t>. RESEARCH OUTCOMES</w:t>
      </w:r>
      <w:bookmarkEnd w:id="80"/>
      <w:r w:rsidRPr="00540679">
        <w:rPr>
          <w:rFonts w:ascii="Arial" w:hAnsi="Arial" w:cs="Arial"/>
          <w:b/>
          <w:sz w:val="22"/>
          <w:szCs w:val="22"/>
        </w:rPr>
        <w:t xml:space="preserve"> </w:t>
      </w:r>
      <w:bookmarkEnd w:id="69"/>
      <w:bookmarkEnd w:id="70"/>
      <w:bookmarkEnd w:id="71"/>
      <w:bookmarkEnd w:id="72"/>
      <w:bookmarkEnd w:id="73"/>
      <w:bookmarkEnd w:id="74"/>
      <w:bookmarkEnd w:id="75"/>
      <w:bookmarkEnd w:id="76"/>
      <w:bookmarkEnd w:id="77"/>
      <w:bookmarkEnd w:id="78"/>
    </w:p>
    <w:p w14:paraId="246B7F40" w14:textId="5C4D025F" w:rsidR="00450484" w:rsidRPr="00540679" w:rsidRDefault="00022F1C" w:rsidP="005D5D71">
      <w:pPr>
        <w:spacing w:line="276" w:lineRule="auto"/>
        <w:jc w:val="both"/>
        <w:outlineLvl w:val="0"/>
        <w:rPr>
          <w:rFonts w:ascii="Arial" w:hAnsi="Arial" w:cs="Arial"/>
          <w:sz w:val="22"/>
          <w:szCs w:val="22"/>
        </w:rPr>
      </w:pPr>
      <w:r w:rsidRPr="00540679">
        <w:rPr>
          <w:rFonts w:ascii="Arial" w:hAnsi="Arial" w:cs="Arial"/>
          <w:bCs/>
          <w:sz w:val="22"/>
          <w:szCs w:val="22"/>
        </w:rPr>
        <w:t xml:space="preserve">A series of manuscripts will result from this trial and will be submitted to a variety of targeted peer reviewed journals. Dissemination of results may also be presented </w:t>
      </w:r>
      <w:r w:rsidR="00450484" w:rsidRPr="00540679">
        <w:rPr>
          <w:rFonts w:ascii="Arial" w:hAnsi="Arial" w:cs="Arial"/>
          <w:color w:val="000000"/>
          <w:sz w:val="22"/>
          <w:szCs w:val="22"/>
        </w:rPr>
        <w:t>at scientific conferences,</w:t>
      </w:r>
      <w:r w:rsidR="00263368" w:rsidRPr="00540679">
        <w:rPr>
          <w:rFonts w:ascii="Arial" w:hAnsi="Arial" w:cs="Arial"/>
          <w:color w:val="000000"/>
          <w:sz w:val="22"/>
          <w:szCs w:val="22"/>
        </w:rPr>
        <w:t xml:space="preserve"> and</w:t>
      </w:r>
      <w:r w:rsidR="00450484" w:rsidRPr="00540679">
        <w:rPr>
          <w:rFonts w:ascii="Arial" w:hAnsi="Arial" w:cs="Arial"/>
          <w:color w:val="000000"/>
          <w:sz w:val="22"/>
          <w:szCs w:val="22"/>
        </w:rPr>
        <w:t xml:space="preserve"> meetings with key stakeholders. At this stage, no plans for sharing of future data, follow-up research or secondary use of data are anticipated.  </w:t>
      </w:r>
    </w:p>
    <w:p w14:paraId="4AFD6DBA" w14:textId="77777777" w:rsidR="00450484" w:rsidRPr="00540679" w:rsidRDefault="00450484" w:rsidP="005D5D71">
      <w:pPr>
        <w:spacing w:line="276" w:lineRule="auto"/>
        <w:jc w:val="both"/>
        <w:rPr>
          <w:rFonts w:ascii="Arial" w:hAnsi="Arial" w:cs="Arial"/>
          <w:sz w:val="22"/>
          <w:szCs w:val="22"/>
        </w:rPr>
      </w:pPr>
    </w:p>
    <w:p w14:paraId="509805EA" w14:textId="6F0F1E2C" w:rsidR="00450484" w:rsidRPr="00540679" w:rsidRDefault="00450484" w:rsidP="00791910">
      <w:pPr>
        <w:spacing w:line="276" w:lineRule="auto"/>
        <w:rPr>
          <w:rFonts w:ascii="Arial" w:hAnsi="Arial" w:cs="Arial"/>
          <w:b/>
          <w:bCs/>
          <w:sz w:val="22"/>
          <w:szCs w:val="22"/>
        </w:rPr>
      </w:pPr>
      <w:r w:rsidRPr="00540679">
        <w:rPr>
          <w:rFonts w:ascii="Arial" w:hAnsi="Arial" w:cs="Arial"/>
          <w:b/>
          <w:bCs/>
          <w:sz w:val="22"/>
          <w:szCs w:val="22"/>
        </w:rPr>
        <w:t>1</w:t>
      </w:r>
      <w:r w:rsidR="00104CFC" w:rsidRPr="00540679">
        <w:rPr>
          <w:rFonts w:ascii="Arial" w:hAnsi="Arial" w:cs="Arial"/>
          <w:b/>
          <w:bCs/>
          <w:sz w:val="22"/>
          <w:szCs w:val="22"/>
        </w:rPr>
        <w:t>8</w:t>
      </w:r>
      <w:r w:rsidRPr="00540679">
        <w:rPr>
          <w:rFonts w:ascii="Arial" w:hAnsi="Arial" w:cs="Arial"/>
          <w:b/>
          <w:bCs/>
          <w:sz w:val="22"/>
          <w:szCs w:val="22"/>
        </w:rPr>
        <w:t>. REFERENCES</w:t>
      </w:r>
    </w:p>
    <w:p w14:paraId="7F755F4F" w14:textId="77777777" w:rsidR="00C33229" w:rsidRPr="00540679" w:rsidRDefault="00C3322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1.</w:t>
      </w:r>
      <w:r w:rsidR="004A7159" w:rsidRPr="00540679">
        <w:rPr>
          <w:rFonts w:ascii="Arial" w:hAnsi="Arial" w:cs="Arial"/>
          <w:noProof/>
          <w:sz w:val="22"/>
          <w:szCs w:val="22"/>
        </w:rPr>
        <w:t xml:space="preserve"> Pharmaceutical Society of Australia (PSA). Medicine Safety: Take Care. 2019</w:t>
      </w:r>
    </w:p>
    <w:p w14:paraId="2FFEB76F" w14:textId="77777777" w:rsidR="00C3322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2. WHO. The third WHO Global Patient Safety Challenge: Medication Without Harm. 2020</w:t>
      </w:r>
    </w:p>
    <w:p w14:paraId="31940A34" w14:textId="77777777" w:rsidR="00C3322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 WHO. Medication Safety in Transitions of Care. 2019</w:t>
      </w:r>
    </w:p>
    <w:p w14:paraId="32DFBF1D" w14:textId="77777777" w:rsidR="00C3322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4. Lin R, et al. </w:t>
      </w:r>
      <w:r w:rsidRPr="00540679">
        <w:rPr>
          <w:rFonts w:ascii="Arial" w:hAnsi="Arial" w:cs="Arial"/>
          <w:i/>
          <w:noProof/>
          <w:sz w:val="22"/>
          <w:szCs w:val="22"/>
        </w:rPr>
        <w:t>Pharmaceutical Society of Australia</w:t>
      </w:r>
      <w:r w:rsidRPr="00540679">
        <w:rPr>
          <w:rFonts w:ascii="Arial" w:hAnsi="Arial" w:cs="Arial"/>
          <w:noProof/>
          <w:sz w:val="22"/>
          <w:szCs w:val="22"/>
        </w:rPr>
        <w:t xml:space="preserve"> 2019</w:t>
      </w:r>
    </w:p>
    <w:p w14:paraId="06373389" w14:textId="7828089F"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5. Roughead L, et al. </w:t>
      </w:r>
      <w:r w:rsidRPr="00540679">
        <w:rPr>
          <w:rFonts w:ascii="Arial" w:hAnsi="Arial" w:cs="Arial"/>
          <w:i/>
          <w:noProof/>
          <w:sz w:val="22"/>
          <w:szCs w:val="22"/>
        </w:rPr>
        <w:t>Sydney: Australian Commission on Safety and Quality in Health Care</w:t>
      </w:r>
      <w:r w:rsidR="00F277E4" w:rsidRPr="00540679">
        <w:rPr>
          <w:rFonts w:ascii="Arial" w:hAnsi="Arial" w:cs="Arial"/>
          <w:i/>
          <w:noProof/>
          <w:sz w:val="22"/>
          <w:szCs w:val="22"/>
        </w:rPr>
        <w:t>.</w:t>
      </w:r>
      <w:r w:rsidRPr="00540679">
        <w:rPr>
          <w:rFonts w:ascii="Arial" w:hAnsi="Arial" w:cs="Arial"/>
          <w:noProof/>
          <w:sz w:val="22"/>
          <w:szCs w:val="22"/>
        </w:rPr>
        <w:t xml:space="preserve"> 2013</w:t>
      </w:r>
    </w:p>
    <w:p w14:paraId="0EC0BCDB"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6. Australian Commission on Safety and Quality in Health Care. Quality Use of Medicines and Medicines Safety. 2020</w:t>
      </w:r>
    </w:p>
    <w:p w14:paraId="1319C5E0"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7. PSA. Medicine Safety: Rural and Remote. 2021</w:t>
      </w:r>
    </w:p>
    <w:p w14:paraId="5EC8CB36"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8. AIHW. Aboriginal and Torres Strait Islander Health Performance Framework 2020</w:t>
      </w:r>
    </w:p>
    <w:p w14:paraId="5828B03B"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9. Angley M, et al. </w:t>
      </w:r>
      <w:r w:rsidRPr="00540679">
        <w:rPr>
          <w:rFonts w:ascii="Arial" w:hAnsi="Arial" w:cs="Arial"/>
          <w:i/>
          <w:noProof/>
          <w:sz w:val="22"/>
          <w:szCs w:val="22"/>
        </w:rPr>
        <w:t>Journal of Pharmacy Practice and Research</w:t>
      </w:r>
      <w:r w:rsidRPr="00540679">
        <w:rPr>
          <w:rFonts w:ascii="Arial" w:hAnsi="Arial" w:cs="Arial"/>
          <w:noProof/>
          <w:sz w:val="22"/>
          <w:szCs w:val="22"/>
        </w:rPr>
        <w:t xml:space="preserve"> 2011;41(1):27-32.</w:t>
      </w:r>
    </w:p>
    <w:p w14:paraId="2BFDAA91"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10. Naunton M, et al. </w:t>
      </w:r>
      <w:r w:rsidRPr="00540679">
        <w:rPr>
          <w:rFonts w:ascii="Arial" w:hAnsi="Arial" w:cs="Arial"/>
          <w:i/>
          <w:noProof/>
          <w:sz w:val="22"/>
          <w:szCs w:val="22"/>
        </w:rPr>
        <w:t>Journal of Pharmacy Practice and Research</w:t>
      </w:r>
      <w:r w:rsidRPr="00540679">
        <w:rPr>
          <w:rFonts w:ascii="Arial" w:hAnsi="Arial" w:cs="Arial"/>
          <w:noProof/>
          <w:sz w:val="22"/>
          <w:szCs w:val="22"/>
        </w:rPr>
        <w:t xml:space="preserve"> 2003;33(3):176-82.</w:t>
      </w:r>
    </w:p>
    <w:p w14:paraId="3D853C11"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11. Bollella G, et al. </w:t>
      </w:r>
      <w:r w:rsidRPr="00540679">
        <w:rPr>
          <w:rFonts w:ascii="Arial" w:hAnsi="Arial" w:cs="Arial"/>
          <w:i/>
          <w:noProof/>
          <w:sz w:val="22"/>
          <w:szCs w:val="22"/>
        </w:rPr>
        <w:t>Journal of Pharmacy Practice and Research</w:t>
      </w:r>
      <w:r w:rsidRPr="00540679">
        <w:rPr>
          <w:rFonts w:ascii="Arial" w:hAnsi="Arial" w:cs="Arial"/>
          <w:noProof/>
          <w:sz w:val="22"/>
          <w:szCs w:val="22"/>
        </w:rPr>
        <w:t xml:space="preserve"> 2008;38(2):107-10.</w:t>
      </w:r>
    </w:p>
    <w:p w14:paraId="3B5E2547"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12. Criddle DT, et al. Medicines Management Mapping Project Final report. 2020</w:t>
      </w:r>
    </w:p>
    <w:p w14:paraId="25C8EB1D"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13. Roughead E, et al. </w:t>
      </w:r>
      <w:r w:rsidRPr="00540679">
        <w:rPr>
          <w:rFonts w:ascii="Arial" w:hAnsi="Arial" w:cs="Arial"/>
          <w:i/>
          <w:noProof/>
          <w:sz w:val="22"/>
          <w:szCs w:val="22"/>
        </w:rPr>
        <w:t>Internal Medicine Journal</w:t>
      </w:r>
      <w:r w:rsidRPr="00540679">
        <w:rPr>
          <w:rFonts w:ascii="Arial" w:hAnsi="Arial" w:cs="Arial"/>
          <w:noProof/>
          <w:sz w:val="22"/>
          <w:szCs w:val="22"/>
        </w:rPr>
        <w:t xml:space="preserve"> 2011;41(9):662-67.</w:t>
      </w:r>
    </w:p>
    <w:p w14:paraId="27F0749A" w14:textId="4E2EE6D4"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14. Angley M, et al. </w:t>
      </w:r>
      <w:r w:rsidRPr="00540679">
        <w:rPr>
          <w:rFonts w:ascii="Arial" w:hAnsi="Arial" w:cs="Arial"/>
          <w:i/>
          <w:noProof/>
          <w:sz w:val="22"/>
          <w:szCs w:val="22"/>
        </w:rPr>
        <w:t>Journal of Pharmacy Practice and Research</w:t>
      </w:r>
      <w:r w:rsidRPr="00540679">
        <w:rPr>
          <w:rFonts w:ascii="Arial" w:hAnsi="Arial" w:cs="Arial"/>
          <w:noProof/>
          <w:sz w:val="22"/>
          <w:szCs w:val="22"/>
        </w:rPr>
        <w:t xml:space="preserve"> 202</w:t>
      </w:r>
      <w:r w:rsidR="00CC73E4" w:rsidRPr="00540679">
        <w:rPr>
          <w:rFonts w:ascii="Arial" w:hAnsi="Arial" w:cs="Arial"/>
          <w:noProof/>
          <w:sz w:val="22"/>
          <w:szCs w:val="22"/>
        </w:rPr>
        <w:t xml:space="preserve">2; </w:t>
      </w:r>
      <w:r w:rsidR="00A506E5" w:rsidRPr="00540679">
        <w:rPr>
          <w:rStyle w:val="Emphasis"/>
          <w:rFonts w:ascii="Arial" w:hAnsi="Arial" w:cs="Arial"/>
          <w:sz w:val="22"/>
          <w:szCs w:val="22"/>
          <w:shd w:val="clear" w:color="auto" w:fill="FFFFFF"/>
        </w:rPr>
        <w:t>52</w:t>
      </w:r>
      <w:r w:rsidR="00A506E5" w:rsidRPr="00540679">
        <w:rPr>
          <w:rFonts w:ascii="Arial" w:hAnsi="Arial" w:cs="Arial"/>
          <w:sz w:val="22"/>
          <w:szCs w:val="22"/>
          <w:shd w:val="clear" w:color="auto" w:fill="FFFFFF"/>
        </w:rPr>
        <w:t>(6), 446-453.</w:t>
      </w:r>
    </w:p>
    <w:p w14:paraId="4EB61335"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15. Luetsch K, et al. </w:t>
      </w:r>
      <w:r w:rsidRPr="00540679">
        <w:rPr>
          <w:rFonts w:ascii="Arial" w:hAnsi="Arial" w:cs="Arial"/>
          <w:i/>
          <w:noProof/>
          <w:sz w:val="22"/>
          <w:szCs w:val="22"/>
        </w:rPr>
        <w:t>BMJ Quality &amp; Safety</w:t>
      </w:r>
      <w:r w:rsidRPr="00540679">
        <w:rPr>
          <w:rFonts w:ascii="Arial" w:hAnsi="Arial" w:cs="Arial"/>
          <w:noProof/>
          <w:sz w:val="22"/>
          <w:szCs w:val="22"/>
        </w:rPr>
        <w:t xml:space="preserve"> 2020</w:t>
      </w:r>
    </w:p>
    <w:p w14:paraId="3A0BBB3C"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16. Criddle DT, et al. </w:t>
      </w:r>
      <w:r w:rsidRPr="00540679">
        <w:rPr>
          <w:rFonts w:ascii="Arial" w:hAnsi="Arial" w:cs="Arial"/>
          <w:i/>
          <w:noProof/>
          <w:sz w:val="22"/>
          <w:szCs w:val="22"/>
        </w:rPr>
        <w:t>Research in Social and Administrative Pharmacy</w:t>
      </w:r>
      <w:r w:rsidRPr="00540679">
        <w:rPr>
          <w:rFonts w:ascii="Arial" w:hAnsi="Arial" w:cs="Arial"/>
          <w:noProof/>
          <w:sz w:val="22"/>
          <w:szCs w:val="22"/>
        </w:rPr>
        <w:t xml:space="preserve"> 2022;18(7):3137-48.</w:t>
      </w:r>
    </w:p>
    <w:p w14:paraId="6F1AC49C"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17. Rothwell M, et al. </w:t>
      </w:r>
      <w:r w:rsidRPr="00540679">
        <w:rPr>
          <w:rFonts w:ascii="Arial" w:hAnsi="Arial" w:cs="Arial"/>
          <w:i/>
          <w:noProof/>
          <w:sz w:val="22"/>
          <w:szCs w:val="22"/>
        </w:rPr>
        <w:t>Journal of Pharmacy Practice and Research</w:t>
      </w:r>
      <w:r w:rsidRPr="00540679">
        <w:rPr>
          <w:rFonts w:ascii="Arial" w:hAnsi="Arial" w:cs="Arial"/>
          <w:noProof/>
          <w:sz w:val="22"/>
          <w:szCs w:val="22"/>
        </w:rPr>
        <w:t xml:space="preserve"> 2011;41(4):290-94.</w:t>
      </w:r>
    </w:p>
    <w:p w14:paraId="70F59060"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18. Harris M, et al. </w:t>
      </w:r>
      <w:r w:rsidRPr="00540679">
        <w:rPr>
          <w:rFonts w:ascii="Arial" w:hAnsi="Arial" w:cs="Arial"/>
          <w:i/>
          <w:noProof/>
          <w:sz w:val="22"/>
          <w:szCs w:val="22"/>
        </w:rPr>
        <w:t>Journal of the American Pharmacists Association</w:t>
      </w:r>
      <w:r w:rsidRPr="00540679">
        <w:rPr>
          <w:rFonts w:ascii="Arial" w:hAnsi="Arial" w:cs="Arial"/>
          <w:noProof/>
          <w:sz w:val="22"/>
          <w:szCs w:val="22"/>
        </w:rPr>
        <w:t xml:space="preserve"> 2022</w:t>
      </w:r>
    </w:p>
    <w:p w14:paraId="17B0AEE2"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19. Rodrigues CR, et al. </w:t>
      </w:r>
      <w:r w:rsidRPr="00540679">
        <w:rPr>
          <w:rFonts w:ascii="Arial" w:hAnsi="Arial" w:cs="Arial"/>
          <w:i/>
          <w:noProof/>
          <w:sz w:val="22"/>
          <w:szCs w:val="22"/>
        </w:rPr>
        <w:t>Annals of Pharmacotherapy</w:t>
      </w:r>
      <w:r w:rsidRPr="00540679">
        <w:rPr>
          <w:rFonts w:ascii="Arial" w:hAnsi="Arial" w:cs="Arial"/>
          <w:noProof/>
          <w:sz w:val="22"/>
          <w:szCs w:val="22"/>
        </w:rPr>
        <w:t xml:space="preserve"> 2017;51(10):866-89.</w:t>
      </w:r>
    </w:p>
    <w:p w14:paraId="7031DF41"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20. Damschroder LJ, et al. </w:t>
      </w:r>
      <w:r w:rsidRPr="00540679">
        <w:rPr>
          <w:rFonts w:ascii="Arial" w:hAnsi="Arial" w:cs="Arial"/>
          <w:i/>
          <w:noProof/>
          <w:sz w:val="22"/>
          <w:szCs w:val="22"/>
        </w:rPr>
        <w:t>Implementation Science</w:t>
      </w:r>
      <w:r w:rsidRPr="00540679">
        <w:rPr>
          <w:rFonts w:ascii="Arial" w:hAnsi="Arial" w:cs="Arial"/>
          <w:noProof/>
          <w:sz w:val="22"/>
          <w:szCs w:val="22"/>
        </w:rPr>
        <w:t xml:space="preserve"> 2009;4(1):1-15.</w:t>
      </w:r>
    </w:p>
    <w:p w14:paraId="444EA192" w14:textId="71B645A8"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21.The Society of Hospital Pharmacists of Australia. Hospital-initiated medication reviews.</w:t>
      </w:r>
      <w:r w:rsidR="00741119" w:rsidRPr="00540679">
        <w:rPr>
          <w:rFonts w:ascii="Arial" w:hAnsi="Arial" w:cs="Arial"/>
          <w:noProof/>
          <w:sz w:val="22"/>
          <w:szCs w:val="22"/>
        </w:rPr>
        <w:t xml:space="preserve"> </w:t>
      </w:r>
      <w:r w:rsidRPr="00540679">
        <w:rPr>
          <w:rFonts w:ascii="Arial" w:hAnsi="Arial" w:cs="Arial"/>
          <w:noProof/>
          <w:sz w:val="22"/>
          <w:szCs w:val="22"/>
        </w:rPr>
        <w:t>2020</w:t>
      </w:r>
    </w:p>
    <w:p w14:paraId="179939AE"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22. Consumers Health Forum of Australia. Pharmacists and Primary Health Care Consumer Survey. 2015</w:t>
      </w:r>
    </w:p>
    <w:p w14:paraId="6C46814E"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23. Chambers B, et al. </w:t>
      </w:r>
      <w:r w:rsidRPr="00540679">
        <w:rPr>
          <w:rFonts w:ascii="Arial" w:hAnsi="Arial" w:cs="Arial"/>
          <w:i/>
          <w:noProof/>
          <w:sz w:val="22"/>
          <w:szCs w:val="22"/>
        </w:rPr>
        <w:t>American Journal of Health-System Pharmacy</w:t>
      </w:r>
      <w:r w:rsidRPr="00540679">
        <w:rPr>
          <w:rFonts w:ascii="Arial" w:hAnsi="Arial" w:cs="Arial"/>
          <w:noProof/>
          <w:sz w:val="22"/>
          <w:szCs w:val="22"/>
        </w:rPr>
        <w:t xml:space="preserve"> 2022</w:t>
      </w:r>
    </w:p>
    <w:p w14:paraId="67DB76E8"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lastRenderedPageBreak/>
        <w:t xml:space="preserve">24. Allan J, et al. </w:t>
      </w:r>
      <w:r w:rsidRPr="00540679">
        <w:rPr>
          <w:rFonts w:ascii="Arial" w:hAnsi="Arial" w:cs="Arial"/>
          <w:i/>
          <w:noProof/>
          <w:sz w:val="22"/>
          <w:szCs w:val="22"/>
        </w:rPr>
        <w:t>BMC Health Services Research</w:t>
      </w:r>
      <w:r w:rsidRPr="00540679">
        <w:rPr>
          <w:rFonts w:ascii="Arial" w:hAnsi="Arial" w:cs="Arial"/>
          <w:noProof/>
          <w:sz w:val="22"/>
          <w:szCs w:val="22"/>
        </w:rPr>
        <w:t xml:space="preserve"> 2021;21(1):1-11.</w:t>
      </w:r>
    </w:p>
    <w:p w14:paraId="696D9FEF"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25. Sansoni JE, et al. 2015</w:t>
      </w:r>
    </w:p>
    <w:p w14:paraId="2D9D851E"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26. Agency for Clinical Innovation. Risk Stratification in NSW. </w:t>
      </w:r>
    </w:p>
    <w:p w14:paraId="0F089BF4" w14:textId="09B2399D"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27. Criddle D, et al. Implementing e-PHarmacie-R – a feasibility study to identify high-risk </w:t>
      </w:r>
      <w:r w:rsidR="00CA7822" w:rsidRPr="00540679">
        <w:rPr>
          <w:rFonts w:ascii="Arial" w:hAnsi="Arial" w:cs="Arial"/>
          <w:noProof/>
          <w:sz w:val="22"/>
          <w:szCs w:val="22"/>
        </w:rPr>
        <w:t xml:space="preserve">   </w:t>
      </w:r>
      <w:r w:rsidRPr="00540679">
        <w:rPr>
          <w:rFonts w:ascii="Arial" w:hAnsi="Arial" w:cs="Arial"/>
          <w:noProof/>
          <w:sz w:val="22"/>
          <w:szCs w:val="22"/>
        </w:rPr>
        <w:t>patients for early post-discharge medicines review 2022</w:t>
      </w:r>
    </w:p>
    <w:p w14:paraId="5853A120"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28. Parekh N, et al. </w:t>
      </w:r>
      <w:r w:rsidRPr="00540679">
        <w:rPr>
          <w:rFonts w:ascii="Arial" w:hAnsi="Arial" w:cs="Arial"/>
          <w:i/>
          <w:noProof/>
          <w:sz w:val="22"/>
          <w:szCs w:val="22"/>
        </w:rPr>
        <w:t>BMJ Quality &amp; Safety</w:t>
      </w:r>
      <w:r w:rsidRPr="00540679">
        <w:rPr>
          <w:rFonts w:ascii="Arial" w:hAnsi="Arial" w:cs="Arial"/>
          <w:noProof/>
          <w:sz w:val="22"/>
          <w:szCs w:val="22"/>
        </w:rPr>
        <w:t xml:space="preserve"> 2020;29(2):142-53.</w:t>
      </w:r>
    </w:p>
    <w:p w14:paraId="1B593F64"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29. Dautzenberg L, et al. </w:t>
      </w:r>
      <w:r w:rsidRPr="00540679">
        <w:rPr>
          <w:rFonts w:ascii="Arial" w:hAnsi="Arial" w:cs="Arial"/>
          <w:i/>
          <w:noProof/>
          <w:sz w:val="22"/>
          <w:szCs w:val="22"/>
        </w:rPr>
        <w:t>Journal of the American Geriatrics Society</w:t>
      </w:r>
      <w:r w:rsidRPr="00540679">
        <w:rPr>
          <w:rFonts w:ascii="Arial" w:hAnsi="Arial" w:cs="Arial"/>
          <w:noProof/>
          <w:sz w:val="22"/>
          <w:szCs w:val="22"/>
        </w:rPr>
        <w:t xml:space="preserve"> 2021</w:t>
      </w:r>
    </w:p>
    <w:p w14:paraId="49E18EFB"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30. NHS. NHS Discharge Medicines Service. </w:t>
      </w:r>
    </w:p>
    <w:p w14:paraId="6D37211A"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 xml:space="preserve">31. Elliott RA, et al. </w:t>
      </w:r>
      <w:r w:rsidRPr="00540679">
        <w:rPr>
          <w:rFonts w:ascii="Arial" w:hAnsi="Arial" w:cs="Arial"/>
          <w:i/>
          <w:noProof/>
          <w:sz w:val="22"/>
          <w:szCs w:val="22"/>
        </w:rPr>
        <w:t>Drugs &amp; Aging</w:t>
      </w:r>
      <w:r w:rsidRPr="00540679">
        <w:rPr>
          <w:rFonts w:ascii="Arial" w:hAnsi="Arial" w:cs="Arial"/>
          <w:noProof/>
          <w:sz w:val="22"/>
          <w:szCs w:val="22"/>
        </w:rPr>
        <w:t xml:space="preserve"> 2012;29(7):593-605.</w:t>
      </w:r>
    </w:p>
    <w:p w14:paraId="76FDCE30" w14:textId="7777777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32. WNSWLHD. Strategic Plan 2020-2025: Healthier rural people, thriving communities. 2020</w:t>
      </w:r>
    </w:p>
    <w:p w14:paraId="7248E2DF" w14:textId="6F190E7C"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33. Indigenous Allied Health Australia. Cultural Responsiveness Training 2022</w:t>
      </w:r>
    </w:p>
    <w:p w14:paraId="71348524" w14:textId="1818A9E8"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w:t>
      </w:r>
      <w:r w:rsidR="6193ADA9" w:rsidRPr="00540679">
        <w:rPr>
          <w:rFonts w:ascii="Arial" w:hAnsi="Arial" w:cs="Arial"/>
          <w:noProof/>
          <w:sz w:val="22"/>
          <w:szCs w:val="22"/>
        </w:rPr>
        <w:t>4</w:t>
      </w:r>
      <w:r w:rsidRPr="00540679">
        <w:rPr>
          <w:rFonts w:ascii="Arial" w:hAnsi="Arial" w:cs="Arial"/>
          <w:noProof/>
          <w:sz w:val="22"/>
          <w:szCs w:val="22"/>
        </w:rPr>
        <w:t>. PSA. Guidelines for comprehensive medication management reviews. 2020</w:t>
      </w:r>
    </w:p>
    <w:p w14:paraId="06E497DD" w14:textId="75307073"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w:t>
      </w:r>
      <w:r w:rsidR="0E23F0D9" w:rsidRPr="00540679">
        <w:rPr>
          <w:rFonts w:ascii="Arial" w:hAnsi="Arial" w:cs="Arial"/>
          <w:noProof/>
          <w:sz w:val="22"/>
          <w:szCs w:val="22"/>
        </w:rPr>
        <w:t>5</w:t>
      </w:r>
      <w:r w:rsidRPr="00540679">
        <w:rPr>
          <w:rFonts w:ascii="Arial" w:hAnsi="Arial" w:cs="Arial"/>
          <w:noProof/>
          <w:sz w:val="22"/>
          <w:szCs w:val="22"/>
        </w:rPr>
        <w:t xml:space="preserve">. Herdman M, et al. </w:t>
      </w:r>
      <w:r w:rsidRPr="00540679">
        <w:rPr>
          <w:rFonts w:ascii="Arial" w:hAnsi="Arial" w:cs="Arial"/>
          <w:i/>
          <w:iCs/>
          <w:noProof/>
          <w:sz w:val="22"/>
          <w:szCs w:val="22"/>
        </w:rPr>
        <w:t>Quality of Life Research</w:t>
      </w:r>
      <w:r w:rsidRPr="00540679">
        <w:rPr>
          <w:rFonts w:ascii="Arial" w:hAnsi="Arial" w:cs="Arial"/>
          <w:noProof/>
          <w:sz w:val="22"/>
          <w:szCs w:val="22"/>
        </w:rPr>
        <w:t xml:space="preserve"> 2011;20(10):1727-36.</w:t>
      </w:r>
    </w:p>
    <w:p w14:paraId="0AA2AE6A" w14:textId="10FAB50D"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w:t>
      </w:r>
      <w:r w:rsidR="349D259C" w:rsidRPr="00540679">
        <w:rPr>
          <w:rFonts w:ascii="Arial" w:hAnsi="Arial" w:cs="Arial"/>
          <w:noProof/>
          <w:sz w:val="22"/>
          <w:szCs w:val="22"/>
        </w:rPr>
        <w:t>6</w:t>
      </w:r>
      <w:r w:rsidRPr="00540679">
        <w:rPr>
          <w:rFonts w:ascii="Arial" w:hAnsi="Arial" w:cs="Arial"/>
          <w:noProof/>
          <w:sz w:val="22"/>
          <w:szCs w:val="22"/>
        </w:rPr>
        <w:t xml:space="preserve">. Basger BJ, et al. </w:t>
      </w:r>
      <w:r w:rsidRPr="00540679">
        <w:rPr>
          <w:rFonts w:ascii="Arial" w:hAnsi="Arial" w:cs="Arial"/>
          <w:i/>
          <w:iCs/>
          <w:noProof/>
          <w:sz w:val="22"/>
          <w:szCs w:val="22"/>
        </w:rPr>
        <w:t>Annals of Pharmacotherapy</w:t>
      </w:r>
      <w:r w:rsidRPr="00540679">
        <w:rPr>
          <w:rFonts w:ascii="Arial" w:hAnsi="Arial" w:cs="Arial"/>
          <w:noProof/>
          <w:sz w:val="22"/>
          <w:szCs w:val="22"/>
        </w:rPr>
        <w:t xml:space="preserve"> 2015;49(4):405-18.</w:t>
      </w:r>
    </w:p>
    <w:p w14:paraId="1E09C3AB" w14:textId="75FE5210"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w:t>
      </w:r>
      <w:r w:rsidR="7B113A19" w:rsidRPr="00540679">
        <w:rPr>
          <w:rFonts w:ascii="Arial" w:hAnsi="Arial" w:cs="Arial"/>
          <w:noProof/>
          <w:sz w:val="22"/>
          <w:szCs w:val="22"/>
        </w:rPr>
        <w:t>7</w:t>
      </w:r>
      <w:r w:rsidRPr="00540679">
        <w:rPr>
          <w:rFonts w:ascii="Arial" w:hAnsi="Arial" w:cs="Arial"/>
          <w:noProof/>
          <w:sz w:val="22"/>
          <w:szCs w:val="22"/>
        </w:rPr>
        <w:t xml:space="preserve">. Risser J, et al. </w:t>
      </w:r>
      <w:r w:rsidRPr="00540679">
        <w:rPr>
          <w:rFonts w:ascii="Arial" w:hAnsi="Arial" w:cs="Arial"/>
          <w:i/>
          <w:iCs/>
          <w:noProof/>
          <w:sz w:val="22"/>
          <w:szCs w:val="22"/>
        </w:rPr>
        <w:t>Journal of Nursing Measurement</w:t>
      </w:r>
      <w:r w:rsidRPr="00540679">
        <w:rPr>
          <w:rFonts w:ascii="Arial" w:hAnsi="Arial" w:cs="Arial"/>
          <w:noProof/>
          <w:sz w:val="22"/>
          <w:szCs w:val="22"/>
        </w:rPr>
        <w:t xml:space="preserve"> 2007;15(3):203-19.</w:t>
      </w:r>
    </w:p>
    <w:p w14:paraId="77A44292" w14:textId="53294927" w:rsidR="004A7159" w:rsidRPr="00540679" w:rsidRDefault="004A7159"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w:t>
      </w:r>
      <w:r w:rsidR="2F8CCE8F" w:rsidRPr="00540679">
        <w:rPr>
          <w:rFonts w:ascii="Arial" w:hAnsi="Arial" w:cs="Arial"/>
          <w:noProof/>
          <w:sz w:val="22"/>
          <w:szCs w:val="22"/>
        </w:rPr>
        <w:t>8</w:t>
      </w:r>
      <w:r w:rsidRPr="00540679">
        <w:rPr>
          <w:rFonts w:ascii="Arial" w:hAnsi="Arial" w:cs="Arial"/>
          <w:noProof/>
          <w:sz w:val="22"/>
          <w:szCs w:val="22"/>
        </w:rPr>
        <w:t xml:space="preserve">. Weir KR, et al. </w:t>
      </w:r>
      <w:r w:rsidRPr="00540679">
        <w:rPr>
          <w:rFonts w:ascii="Arial" w:hAnsi="Arial" w:cs="Arial"/>
          <w:i/>
          <w:iCs/>
          <w:noProof/>
          <w:sz w:val="22"/>
          <w:szCs w:val="22"/>
        </w:rPr>
        <w:t>Journal of Health Services Research &amp; Policy</w:t>
      </w:r>
      <w:r w:rsidRPr="00540679">
        <w:rPr>
          <w:rFonts w:ascii="Arial" w:hAnsi="Arial" w:cs="Arial"/>
          <w:noProof/>
          <w:sz w:val="22"/>
          <w:szCs w:val="22"/>
        </w:rPr>
        <w:t xml:space="preserve"> 2020;25(2):77-85.</w:t>
      </w:r>
    </w:p>
    <w:p w14:paraId="739AD7DE" w14:textId="77777777" w:rsidR="004A7159" w:rsidRPr="00540679" w:rsidRDefault="52A74B78" w:rsidP="00791910">
      <w:pPr>
        <w:pStyle w:val="EndNoteBibliography"/>
        <w:spacing w:line="276" w:lineRule="auto"/>
        <w:ind w:left="340" w:hanging="340"/>
        <w:jc w:val="both"/>
        <w:rPr>
          <w:rFonts w:ascii="Arial" w:hAnsi="Arial" w:cs="Arial"/>
          <w:noProof/>
          <w:sz w:val="22"/>
          <w:szCs w:val="22"/>
        </w:rPr>
      </w:pPr>
      <w:r w:rsidRPr="00540679">
        <w:rPr>
          <w:rFonts w:ascii="Arial" w:hAnsi="Arial" w:cs="Arial"/>
          <w:noProof/>
          <w:sz w:val="22"/>
          <w:szCs w:val="22"/>
        </w:rPr>
        <w:t>39</w:t>
      </w:r>
      <w:r w:rsidR="004A7159" w:rsidRPr="00540679">
        <w:rPr>
          <w:rFonts w:ascii="Arial" w:hAnsi="Arial" w:cs="Arial"/>
          <w:noProof/>
          <w:sz w:val="22"/>
          <w:szCs w:val="22"/>
        </w:rPr>
        <w:t xml:space="preserve">. Bernard H, et al. </w:t>
      </w:r>
      <w:r w:rsidR="004A7159" w:rsidRPr="00540679">
        <w:rPr>
          <w:rFonts w:ascii="Arial" w:hAnsi="Arial" w:cs="Arial"/>
          <w:i/>
          <w:iCs/>
          <w:noProof/>
          <w:sz w:val="22"/>
          <w:szCs w:val="22"/>
        </w:rPr>
        <w:t>Analyzing Qualitative Data: Systematic Approaches</w:t>
      </w:r>
      <w:r w:rsidR="004A7159" w:rsidRPr="00540679">
        <w:rPr>
          <w:rFonts w:ascii="Arial" w:hAnsi="Arial" w:cs="Arial"/>
          <w:noProof/>
          <w:sz w:val="22"/>
          <w:szCs w:val="22"/>
        </w:rPr>
        <w:t xml:space="preserve"> 2010;2:287-310.</w:t>
      </w:r>
    </w:p>
    <w:p w14:paraId="76887DF5"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76EC558C"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6F9238F"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539671CD"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76D6472F"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62A1EB05"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8FF0211"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D08B947"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639B37A8"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77E799CB"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33324133"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4A1FA20"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463A492" w14:textId="70C68C86" w:rsidR="00DB1A41" w:rsidRPr="00540679" w:rsidRDefault="00DB1A41" w:rsidP="00DB1A41">
      <w:pPr>
        <w:spacing w:line="276" w:lineRule="auto"/>
        <w:rPr>
          <w:rFonts w:ascii="Arial" w:hAnsi="Arial" w:cs="Arial"/>
          <w:b/>
          <w:bCs/>
          <w:sz w:val="22"/>
          <w:szCs w:val="22"/>
        </w:rPr>
      </w:pPr>
      <w:r w:rsidRPr="00540679">
        <w:rPr>
          <w:rFonts w:ascii="Arial" w:hAnsi="Arial" w:cs="Arial"/>
          <w:b/>
          <w:bCs/>
          <w:sz w:val="22"/>
          <w:szCs w:val="22"/>
        </w:rPr>
        <w:t xml:space="preserve">APPENDIX </w:t>
      </w:r>
    </w:p>
    <w:p w14:paraId="7297938A" w14:textId="27D2CCD9" w:rsidR="004B0607" w:rsidRPr="00540679" w:rsidRDefault="004B0607" w:rsidP="004B0607">
      <w:pPr>
        <w:spacing w:line="276" w:lineRule="auto"/>
        <w:rPr>
          <w:rFonts w:ascii="Arial" w:hAnsi="Arial" w:cs="Arial"/>
          <w:b/>
          <w:bCs/>
          <w:sz w:val="22"/>
          <w:szCs w:val="22"/>
        </w:rPr>
      </w:pPr>
    </w:p>
    <w:p w14:paraId="63E824BF" w14:textId="37E6DE21" w:rsidR="004B0607" w:rsidRPr="00540679" w:rsidRDefault="00A05665" w:rsidP="00A05665">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Attachment 1</w:t>
      </w:r>
      <w:r w:rsidR="00AA7D95" w:rsidRPr="00540679">
        <w:rPr>
          <w:rFonts w:ascii="Arial" w:hAnsi="Arial" w:cs="Arial"/>
          <w:b/>
          <w:bCs/>
          <w:sz w:val="22"/>
          <w:szCs w:val="22"/>
        </w:rPr>
        <w:t xml:space="preserve"> </w:t>
      </w:r>
      <w:r w:rsidR="00AA7D95" w:rsidRPr="00540679">
        <w:rPr>
          <w:rFonts w:ascii="Arial" w:hAnsi="Arial" w:cs="Arial"/>
          <w:sz w:val="22"/>
          <w:szCs w:val="22"/>
        </w:rPr>
        <w:t xml:space="preserve">Participant </w:t>
      </w:r>
      <w:r w:rsidR="00206622" w:rsidRPr="00540679">
        <w:rPr>
          <w:rFonts w:ascii="Arial" w:hAnsi="Arial" w:cs="Arial"/>
          <w:sz w:val="22"/>
          <w:szCs w:val="22"/>
        </w:rPr>
        <w:t>I</w:t>
      </w:r>
      <w:r w:rsidR="00AA7D95" w:rsidRPr="00540679">
        <w:rPr>
          <w:rFonts w:ascii="Arial" w:hAnsi="Arial" w:cs="Arial"/>
          <w:sz w:val="22"/>
          <w:szCs w:val="22"/>
        </w:rPr>
        <w:t xml:space="preserve">nformation </w:t>
      </w:r>
      <w:r w:rsidR="00F714CC" w:rsidRPr="00540679">
        <w:rPr>
          <w:rFonts w:ascii="Arial" w:hAnsi="Arial" w:cs="Arial"/>
          <w:sz w:val="22"/>
          <w:szCs w:val="22"/>
        </w:rPr>
        <w:t>Statement</w:t>
      </w:r>
    </w:p>
    <w:p w14:paraId="47A9B3AD" w14:textId="7736BAF2" w:rsidR="00A05665" w:rsidRPr="00540679" w:rsidRDefault="00A05665" w:rsidP="00A05665">
      <w:pPr>
        <w:pStyle w:val="ListParagraph"/>
        <w:numPr>
          <w:ilvl w:val="0"/>
          <w:numId w:val="22"/>
        </w:numPr>
        <w:spacing w:line="276" w:lineRule="auto"/>
        <w:ind w:left="360"/>
        <w:rPr>
          <w:rFonts w:ascii="Arial" w:hAnsi="Arial" w:cs="Arial"/>
          <w:sz w:val="22"/>
          <w:szCs w:val="22"/>
        </w:rPr>
      </w:pPr>
      <w:r w:rsidRPr="00540679">
        <w:rPr>
          <w:rFonts w:ascii="Arial" w:hAnsi="Arial" w:cs="Arial"/>
          <w:sz w:val="22"/>
          <w:szCs w:val="22"/>
        </w:rPr>
        <w:t>A</w:t>
      </w:r>
      <w:r w:rsidRPr="00540679">
        <w:rPr>
          <w:rFonts w:ascii="Arial" w:hAnsi="Arial" w:cs="Arial"/>
          <w:b/>
          <w:bCs/>
          <w:sz w:val="22"/>
          <w:szCs w:val="22"/>
        </w:rPr>
        <w:t xml:space="preserve">ttachment </w:t>
      </w:r>
      <w:r w:rsidR="00F714CC" w:rsidRPr="00540679">
        <w:rPr>
          <w:rFonts w:ascii="Arial" w:hAnsi="Arial" w:cs="Arial"/>
          <w:b/>
          <w:bCs/>
          <w:sz w:val="22"/>
          <w:szCs w:val="22"/>
        </w:rPr>
        <w:t>2</w:t>
      </w:r>
      <w:r w:rsidR="000A02DB" w:rsidRPr="00540679">
        <w:rPr>
          <w:rFonts w:ascii="Arial" w:hAnsi="Arial" w:cs="Arial"/>
          <w:b/>
          <w:bCs/>
          <w:sz w:val="22"/>
          <w:szCs w:val="22"/>
        </w:rPr>
        <w:t xml:space="preserve"> </w:t>
      </w:r>
      <w:r w:rsidR="000A02DB" w:rsidRPr="00540679">
        <w:rPr>
          <w:rFonts w:ascii="Arial" w:hAnsi="Arial" w:cs="Arial"/>
          <w:sz w:val="22"/>
          <w:szCs w:val="22"/>
        </w:rPr>
        <w:t>Participant Consent Form</w:t>
      </w:r>
    </w:p>
    <w:p w14:paraId="545EBD34" w14:textId="59C1002F" w:rsidR="00A05665" w:rsidRPr="00540679" w:rsidRDefault="00A05665" w:rsidP="00A05665">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 xml:space="preserve">Attachment </w:t>
      </w:r>
      <w:r w:rsidR="00206622" w:rsidRPr="00540679">
        <w:rPr>
          <w:rFonts w:ascii="Arial" w:hAnsi="Arial" w:cs="Arial"/>
          <w:b/>
          <w:bCs/>
          <w:sz w:val="22"/>
          <w:szCs w:val="22"/>
        </w:rPr>
        <w:t xml:space="preserve">3 </w:t>
      </w:r>
      <w:r w:rsidR="00206622" w:rsidRPr="00540679">
        <w:rPr>
          <w:rFonts w:ascii="Arial" w:hAnsi="Arial" w:cs="Arial"/>
          <w:sz w:val="22"/>
          <w:szCs w:val="22"/>
        </w:rPr>
        <w:t xml:space="preserve">Participant Information Statement </w:t>
      </w:r>
      <w:r w:rsidR="00962435" w:rsidRPr="00540679">
        <w:rPr>
          <w:rFonts w:ascii="Arial" w:hAnsi="Arial" w:cs="Arial"/>
          <w:sz w:val="22"/>
          <w:szCs w:val="22"/>
        </w:rPr>
        <w:t>Qualitative Interviews (Participants)</w:t>
      </w:r>
    </w:p>
    <w:p w14:paraId="4FA00035" w14:textId="480DC596" w:rsidR="00962435" w:rsidRPr="00540679" w:rsidRDefault="00A05665" w:rsidP="00962435">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 xml:space="preserve">Attachment </w:t>
      </w:r>
      <w:r w:rsidR="00206622" w:rsidRPr="00540679">
        <w:rPr>
          <w:rFonts w:ascii="Arial" w:hAnsi="Arial" w:cs="Arial"/>
          <w:b/>
          <w:bCs/>
          <w:sz w:val="22"/>
          <w:szCs w:val="22"/>
        </w:rPr>
        <w:t>4</w:t>
      </w:r>
      <w:r w:rsidR="00962435" w:rsidRPr="00540679">
        <w:rPr>
          <w:rFonts w:ascii="Arial" w:hAnsi="Arial" w:cs="Arial"/>
          <w:b/>
          <w:bCs/>
          <w:sz w:val="22"/>
          <w:szCs w:val="22"/>
        </w:rPr>
        <w:t xml:space="preserve"> </w:t>
      </w:r>
      <w:r w:rsidR="00962435" w:rsidRPr="00540679">
        <w:rPr>
          <w:rFonts w:ascii="Arial" w:hAnsi="Arial" w:cs="Arial"/>
          <w:sz w:val="22"/>
          <w:szCs w:val="22"/>
        </w:rPr>
        <w:t>Participant Consent Form Qualitative Interviews (Participants)</w:t>
      </w:r>
    </w:p>
    <w:p w14:paraId="33EBFC1E" w14:textId="270D137D" w:rsidR="00A05665" w:rsidRPr="00540679" w:rsidRDefault="00A05665" w:rsidP="00A05665">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 xml:space="preserve">Attachment </w:t>
      </w:r>
      <w:r w:rsidR="00206622" w:rsidRPr="00540679">
        <w:rPr>
          <w:rFonts w:ascii="Arial" w:hAnsi="Arial" w:cs="Arial"/>
          <w:b/>
          <w:bCs/>
          <w:sz w:val="22"/>
          <w:szCs w:val="22"/>
        </w:rPr>
        <w:t xml:space="preserve">5 </w:t>
      </w:r>
      <w:r w:rsidR="00206622" w:rsidRPr="00540679">
        <w:rPr>
          <w:rFonts w:ascii="Arial" w:hAnsi="Arial" w:cs="Arial"/>
          <w:sz w:val="22"/>
          <w:szCs w:val="22"/>
        </w:rPr>
        <w:t>Participant Information Statement</w:t>
      </w:r>
      <w:r w:rsidR="002A25F1" w:rsidRPr="00540679">
        <w:rPr>
          <w:rFonts w:ascii="Arial" w:hAnsi="Arial" w:cs="Arial"/>
          <w:sz w:val="22"/>
          <w:szCs w:val="22"/>
        </w:rPr>
        <w:t xml:space="preserve"> Qualitative Interviews (Clinicians)</w:t>
      </w:r>
    </w:p>
    <w:p w14:paraId="02EFC113" w14:textId="21259441" w:rsidR="002A25F1" w:rsidRPr="00540679" w:rsidRDefault="00A05665" w:rsidP="002A25F1">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 xml:space="preserve">Attachment </w:t>
      </w:r>
      <w:r w:rsidR="00206622" w:rsidRPr="00540679">
        <w:rPr>
          <w:rFonts w:ascii="Arial" w:hAnsi="Arial" w:cs="Arial"/>
          <w:b/>
          <w:bCs/>
          <w:sz w:val="22"/>
          <w:szCs w:val="22"/>
        </w:rPr>
        <w:t>6</w:t>
      </w:r>
      <w:r w:rsidR="002A25F1" w:rsidRPr="00540679">
        <w:rPr>
          <w:rFonts w:ascii="Arial" w:hAnsi="Arial" w:cs="Arial"/>
          <w:b/>
          <w:bCs/>
          <w:sz w:val="22"/>
          <w:szCs w:val="22"/>
        </w:rPr>
        <w:t xml:space="preserve"> </w:t>
      </w:r>
      <w:r w:rsidR="002A25F1" w:rsidRPr="00540679">
        <w:rPr>
          <w:rFonts w:ascii="Arial" w:hAnsi="Arial" w:cs="Arial"/>
          <w:sz w:val="22"/>
          <w:szCs w:val="22"/>
        </w:rPr>
        <w:t>Participant Consent Form Qualitative Interviews (Clinicians)</w:t>
      </w:r>
    </w:p>
    <w:p w14:paraId="0242F636" w14:textId="318CF8F3" w:rsidR="00A05665" w:rsidRPr="00540679" w:rsidRDefault="00A05665" w:rsidP="00A05665">
      <w:pPr>
        <w:pStyle w:val="ListParagraph"/>
        <w:numPr>
          <w:ilvl w:val="0"/>
          <w:numId w:val="22"/>
        </w:numPr>
        <w:spacing w:line="276" w:lineRule="auto"/>
        <w:ind w:left="360"/>
        <w:rPr>
          <w:rFonts w:ascii="Arial" w:hAnsi="Arial" w:cs="Arial"/>
          <w:sz w:val="22"/>
          <w:szCs w:val="22"/>
        </w:rPr>
      </w:pPr>
      <w:r w:rsidRPr="00540679">
        <w:rPr>
          <w:rFonts w:ascii="Arial" w:hAnsi="Arial" w:cs="Arial"/>
          <w:b/>
          <w:bCs/>
          <w:sz w:val="22"/>
          <w:szCs w:val="22"/>
        </w:rPr>
        <w:t xml:space="preserve">Attachment </w:t>
      </w:r>
      <w:r w:rsidR="002A25F1" w:rsidRPr="00540679">
        <w:rPr>
          <w:rFonts w:ascii="Arial" w:hAnsi="Arial" w:cs="Arial"/>
          <w:b/>
          <w:bCs/>
          <w:sz w:val="22"/>
          <w:szCs w:val="22"/>
        </w:rPr>
        <w:t>7</w:t>
      </w:r>
      <w:r w:rsidR="00DA05B7" w:rsidRPr="00540679">
        <w:rPr>
          <w:rFonts w:ascii="Arial" w:hAnsi="Arial" w:cs="Arial"/>
          <w:b/>
          <w:bCs/>
          <w:sz w:val="22"/>
          <w:szCs w:val="22"/>
        </w:rPr>
        <w:t xml:space="preserve"> </w:t>
      </w:r>
      <w:r w:rsidR="00DA05B7" w:rsidRPr="00540679">
        <w:rPr>
          <w:rFonts w:ascii="Arial" w:hAnsi="Arial" w:cs="Arial"/>
          <w:sz w:val="22"/>
          <w:szCs w:val="22"/>
        </w:rPr>
        <w:t xml:space="preserve">Data Collection Form – </w:t>
      </w:r>
      <w:r w:rsidR="001E6B30">
        <w:rPr>
          <w:rFonts w:ascii="Arial" w:hAnsi="Arial" w:cs="Arial"/>
          <w:sz w:val="22"/>
          <w:szCs w:val="22"/>
        </w:rPr>
        <w:t>Enrolment</w:t>
      </w:r>
      <w:r w:rsidR="00DA05B7" w:rsidRPr="00540679">
        <w:rPr>
          <w:rFonts w:ascii="Arial" w:hAnsi="Arial" w:cs="Arial"/>
          <w:sz w:val="22"/>
          <w:szCs w:val="22"/>
        </w:rPr>
        <w:t xml:space="preserve"> Log </w:t>
      </w:r>
    </w:p>
    <w:p w14:paraId="36FA7E6C" w14:textId="77777777" w:rsidR="00DA05B7" w:rsidRPr="00540679" w:rsidRDefault="00A05665" w:rsidP="00DA05B7">
      <w:pPr>
        <w:pStyle w:val="ListParagraph"/>
        <w:numPr>
          <w:ilvl w:val="0"/>
          <w:numId w:val="22"/>
        </w:numPr>
        <w:spacing w:line="276" w:lineRule="auto"/>
        <w:ind w:left="360"/>
        <w:rPr>
          <w:rFonts w:ascii="Arial" w:hAnsi="Arial" w:cs="Arial"/>
          <w:sz w:val="22"/>
          <w:szCs w:val="22"/>
        </w:rPr>
      </w:pPr>
      <w:r w:rsidRPr="00540679">
        <w:rPr>
          <w:rFonts w:ascii="Arial" w:hAnsi="Arial" w:cs="Arial"/>
          <w:b/>
          <w:bCs/>
          <w:sz w:val="22"/>
          <w:szCs w:val="22"/>
        </w:rPr>
        <w:t xml:space="preserve">Attachment </w:t>
      </w:r>
      <w:r w:rsidR="002A25F1" w:rsidRPr="00540679">
        <w:rPr>
          <w:rFonts w:ascii="Arial" w:hAnsi="Arial" w:cs="Arial"/>
          <w:b/>
          <w:bCs/>
          <w:sz w:val="22"/>
          <w:szCs w:val="22"/>
        </w:rPr>
        <w:t>8</w:t>
      </w:r>
      <w:r w:rsidR="00DA05B7" w:rsidRPr="00540679">
        <w:rPr>
          <w:rFonts w:ascii="Arial" w:hAnsi="Arial" w:cs="Arial"/>
          <w:b/>
          <w:bCs/>
          <w:sz w:val="22"/>
          <w:szCs w:val="22"/>
        </w:rPr>
        <w:t xml:space="preserve"> </w:t>
      </w:r>
      <w:r w:rsidR="00DA05B7" w:rsidRPr="00540679">
        <w:rPr>
          <w:rFonts w:ascii="Arial" w:hAnsi="Arial" w:cs="Arial"/>
          <w:sz w:val="22"/>
          <w:szCs w:val="22"/>
        </w:rPr>
        <w:t xml:space="preserve">Data Collection Form – Screening Log </w:t>
      </w:r>
    </w:p>
    <w:p w14:paraId="60EEBA05" w14:textId="5872992E" w:rsidR="00AC16B0" w:rsidRPr="00DA05B7" w:rsidRDefault="00A05665" w:rsidP="00AC16B0">
      <w:pPr>
        <w:pStyle w:val="ListParagraph"/>
        <w:numPr>
          <w:ilvl w:val="0"/>
          <w:numId w:val="22"/>
        </w:numPr>
        <w:spacing w:line="276" w:lineRule="auto"/>
        <w:ind w:left="360"/>
        <w:rPr>
          <w:rFonts w:ascii="Arial" w:hAnsi="Arial" w:cs="Arial"/>
          <w:sz w:val="22"/>
          <w:szCs w:val="22"/>
        </w:rPr>
      </w:pPr>
      <w:r w:rsidRPr="00540679">
        <w:rPr>
          <w:rFonts w:ascii="Arial" w:hAnsi="Arial" w:cs="Arial"/>
          <w:b/>
          <w:bCs/>
          <w:sz w:val="22"/>
          <w:szCs w:val="22"/>
        </w:rPr>
        <w:t xml:space="preserve">Attachment </w:t>
      </w:r>
      <w:r w:rsidR="002A25F1" w:rsidRPr="00540679">
        <w:rPr>
          <w:rFonts w:ascii="Arial" w:hAnsi="Arial" w:cs="Arial"/>
          <w:b/>
          <w:bCs/>
          <w:sz w:val="22"/>
          <w:szCs w:val="22"/>
        </w:rPr>
        <w:t>9</w:t>
      </w:r>
      <w:r w:rsidR="00AC16B0">
        <w:rPr>
          <w:rFonts w:ascii="Arial" w:hAnsi="Arial" w:cs="Arial"/>
          <w:b/>
          <w:bCs/>
          <w:sz w:val="22"/>
          <w:szCs w:val="22"/>
        </w:rPr>
        <w:t xml:space="preserve"> </w:t>
      </w:r>
      <w:r w:rsidR="00AC16B0" w:rsidRPr="00DA05B7">
        <w:rPr>
          <w:rFonts w:ascii="Arial" w:hAnsi="Arial" w:cs="Arial"/>
          <w:sz w:val="22"/>
          <w:szCs w:val="22"/>
        </w:rPr>
        <w:t xml:space="preserve">Data Collection Form – </w:t>
      </w:r>
      <w:r w:rsidR="00021150" w:rsidRPr="00021150">
        <w:rPr>
          <w:rFonts w:ascii="Arial" w:hAnsi="Arial" w:cs="Arial"/>
          <w:sz w:val="22"/>
          <w:szCs w:val="22"/>
        </w:rPr>
        <w:t xml:space="preserve">Patient Demographic and Baseline Data </w:t>
      </w:r>
    </w:p>
    <w:p w14:paraId="426B2F2E" w14:textId="0B95FD64" w:rsidR="00AC16B0" w:rsidRPr="00DA05B7" w:rsidRDefault="00A05665" w:rsidP="00AC16B0">
      <w:pPr>
        <w:pStyle w:val="ListParagraph"/>
        <w:numPr>
          <w:ilvl w:val="0"/>
          <w:numId w:val="22"/>
        </w:numPr>
        <w:spacing w:line="276" w:lineRule="auto"/>
        <w:ind w:left="360"/>
        <w:rPr>
          <w:rFonts w:ascii="Arial" w:hAnsi="Arial" w:cs="Arial"/>
          <w:sz w:val="22"/>
          <w:szCs w:val="22"/>
        </w:rPr>
      </w:pPr>
      <w:r w:rsidRPr="00540679">
        <w:rPr>
          <w:rFonts w:ascii="Arial" w:hAnsi="Arial" w:cs="Arial"/>
          <w:b/>
          <w:bCs/>
          <w:sz w:val="22"/>
          <w:szCs w:val="22"/>
        </w:rPr>
        <w:t xml:space="preserve">Attachment </w:t>
      </w:r>
      <w:r w:rsidR="002A25F1" w:rsidRPr="00540679">
        <w:rPr>
          <w:rFonts w:ascii="Arial" w:hAnsi="Arial" w:cs="Arial"/>
          <w:b/>
          <w:bCs/>
          <w:sz w:val="22"/>
          <w:szCs w:val="22"/>
        </w:rPr>
        <w:t>10</w:t>
      </w:r>
      <w:r w:rsidR="00AC16B0">
        <w:rPr>
          <w:rFonts w:ascii="Arial" w:hAnsi="Arial" w:cs="Arial"/>
          <w:b/>
          <w:bCs/>
          <w:sz w:val="22"/>
          <w:szCs w:val="22"/>
        </w:rPr>
        <w:t xml:space="preserve"> </w:t>
      </w:r>
      <w:r w:rsidR="00AC16B0" w:rsidRPr="00DA05B7">
        <w:rPr>
          <w:rFonts w:ascii="Arial" w:hAnsi="Arial" w:cs="Arial"/>
          <w:sz w:val="22"/>
          <w:szCs w:val="22"/>
        </w:rPr>
        <w:t xml:space="preserve">Data Collection Form – </w:t>
      </w:r>
      <w:r w:rsidR="005C23D6">
        <w:rPr>
          <w:rFonts w:ascii="Arial" w:hAnsi="Arial" w:cs="Arial"/>
          <w:sz w:val="22"/>
          <w:szCs w:val="22"/>
        </w:rPr>
        <w:t>Post Discharge Data Collection</w:t>
      </w:r>
      <w:r w:rsidR="003B3846">
        <w:rPr>
          <w:rFonts w:ascii="Arial" w:hAnsi="Arial" w:cs="Arial"/>
          <w:sz w:val="22"/>
          <w:szCs w:val="22"/>
        </w:rPr>
        <w:t xml:space="preserve"> 30 days</w:t>
      </w:r>
    </w:p>
    <w:p w14:paraId="0248B45F" w14:textId="63639552" w:rsidR="00AC16B0" w:rsidRPr="00DA05B7" w:rsidRDefault="00A05665" w:rsidP="00AC16B0">
      <w:pPr>
        <w:pStyle w:val="ListParagraph"/>
        <w:numPr>
          <w:ilvl w:val="0"/>
          <w:numId w:val="22"/>
        </w:numPr>
        <w:spacing w:line="276" w:lineRule="auto"/>
        <w:ind w:left="360"/>
        <w:rPr>
          <w:rFonts w:ascii="Arial" w:hAnsi="Arial" w:cs="Arial"/>
          <w:sz w:val="22"/>
          <w:szCs w:val="22"/>
        </w:rPr>
      </w:pPr>
      <w:r w:rsidRPr="00540679">
        <w:rPr>
          <w:rFonts w:ascii="Arial" w:hAnsi="Arial" w:cs="Arial"/>
          <w:b/>
          <w:bCs/>
          <w:sz w:val="22"/>
          <w:szCs w:val="22"/>
        </w:rPr>
        <w:t xml:space="preserve">Attachment </w:t>
      </w:r>
      <w:r w:rsidR="002A25F1" w:rsidRPr="00540679">
        <w:rPr>
          <w:rFonts w:ascii="Arial" w:hAnsi="Arial" w:cs="Arial"/>
          <w:b/>
          <w:bCs/>
          <w:sz w:val="22"/>
          <w:szCs w:val="22"/>
        </w:rPr>
        <w:t>11</w:t>
      </w:r>
      <w:r w:rsidR="00AC16B0">
        <w:rPr>
          <w:rFonts w:ascii="Arial" w:hAnsi="Arial" w:cs="Arial"/>
          <w:b/>
          <w:bCs/>
          <w:sz w:val="22"/>
          <w:szCs w:val="22"/>
        </w:rPr>
        <w:t xml:space="preserve"> </w:t>
      </w:r>
      <w:r w:rsidR="00AC16B0" w:rsidRPr="00DA05B7">
        <w:rPr>
          <w:rFonts w:ascii="Arial" w:hAnsi="Arial" w:cs="Arial"/>
          <w:sz w:val="22"/>
          <w:szCs w:val="22"/>
        </w:rPr>
        <w:t xml:space="preserve">Data Collection Form – </w:t>
      </w:r>
      <w:r w:rsidR="003B3846">
        <w:rPr>
          <w:rFonts w:ascii="Arial" w:hAnsi="Arial" w:cs="Arial"/>
          <w:sz w:val="22"/>
          <w:szCs w:val="22"/>
        </w:rPr>
        <w:t>Post Discharge Data Collection 90 and 180 days</w:t>
      </w:r>
    </w:p>
    <w:p w14:paraId="72108BB2" w14:textId="18610516" w:rsidR="00A05665" w:rsidRPr="00540679" w:rsidRDefault="00A05665" w:rsidP="00A05665">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Attachment 1</w:t>
      </w:r>
      <w:r w:rsidR="00F36F75">
        <w:rPr>
          <w:rFonts w:ascii="Arial" w:hAnsi="Arial" w:cs="Arial"/>
          <w:b/>
          <w:bCs/>
          <w:sz w:val="22"/>
          <w:szCs w:val="22"/>
        </w:rPr>
        <w:t>2</w:t>
      </w:r>
      <w:r w:rsidR="00AC16B0">
        <w:rPr>
          <w:rFonts w:ascii="Arial" w:hAnsi="Arial" w:cs="Arial"/>
          <w:b/>
          <w:bCs/>
          <w:sz w:val="22"/>
          <w:szCs w:val="22"/>
        </w:rPr>
        <w:t xml:space="preserve"> </w:t>
      </w:r>
      <w:r w:rsidR="00AC16B0" w:rsidRPr="00E826BD">
        <w:rPr>
          <w:rFonts w:ascii="Arial" w:hAnsi="Arial" w:cs="Arial"/>
          <w:sz w:val="22"/>
          <w:szCs w:val="22"/>
        </w:rPr>
        <w:t xml:space="preserve">Interview Guides </w:t>
      </w:r>
      <w:r w:rsidR="00E826BD" w:rsidRPr="00E826BD">
        <w:rPr>
          <w:rFonts w:ascii="Arial" w:hAnsi="Arial" w:cs="Arial"/>
          <w:sz w:val="22"/>
          <w:szCs w:val="22"/>
        </w:rPr>
        <w:t xml:space="preserve">Qualitative Interviews </w:t>
      </w:r>
      <w:r w:rsidR="00AC16B0" w:rsidRPr="00E826BD">
        <w:rPr>
          <w:rFonts w:ascii="Arial" w:hAnsi="Arial" w:cs="Arial"/>
          <w:sz w:val="22"/>
          <w:szCs w:val="22"/>
        </w:rPr>
        <w:t>Participants</w:t>
      </w:r>
      <w:r w:rsidR="00AC16B0">
        <w:rPr>
          <w:rFonts w:ascii="Arial" w:hAnsi="Arial" w:cs="Arial"/>
          <w:b/>
          <w:bCs/>
          <w:sz w:val="22"/>
          <w:szCs w:val="22"/>
        </w:rPr>
        <w:t xml:space="preserve"> </w:t>
      </w:r>
    </w:p>
    <w:p w14:paraId="7FCC2C50" w14:textId="4F7B3F34" w:rsidR="00A05665" w:rsidRPr="00540679" w:rsidRDefault="00A05665" w:rsidP="00A05665">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lastRenderedPageBreak/>
        <w:t>Attachment 1</w:t>
      </w:r>
      <w:r w:rsidR="00F36F75">
        <w:rPr>
          <w:rFonts w:ascii="Arial" w:hAnsi="Arial" w:cs="Arial"/>
          <w:b/>
          <w:bCs/>
          <w:sz w:val="22"/>
          <w:szCs w:val="22"/>
        </w:rPr>
        <w:t>3</w:t>
      </w:r>
      <w:r w:rsidR="00E826BD">
        <w:rPr>
          <w:rFonts w:ascii="Arial" w:hAnsi="Arial" w:cs="Arial"/>
          <w:b/>
          <w:bCs/>
          <w:sz w:val="22"/>
          <w:szCs w:val="22"/>
        </w:rPr>
        <w:t xml:space="preserve"> </w:t>
      </w:r>
      <w:r w:rsidR="00E826BD" w:rsidRPr="00E826BD">
        <w:rPr>
          <w:rFonts w:ascii="Arial" w:hAnsi="Arial" w:cs="Arial"/>
          <w:sz w:val="22"/>
          <w:szCs w:val="22"/>
        </w:rPr>
        <w:t>Interview Guides Qualitative Interviews</w:t>
      </w:r>
      <w:r w:rsidR="00E826BD">
        <w:rPr>
          <w:rFonts w:ascii="Arial" w:hAnsi="Arial" w:cs="Arial"/>
          <w:sz w:val="22"/>
          <w:szCs w:val="22"/>
        </w:rPr>
        <w:t xml:space="preserve"> Clinicians</w:t>
      </w:r>
    </w:p>
    <w:p w14:paraId="56CCF49E" w14:textId="6BBA5AE6" w:rsidR="00A05665" w:rsidRPr="00540679" w:rsidRDefault="00A05665" w:rsidP="00A05665">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Attachment 1</w:t>
      </w:r>
      <w:r w:rsidR="00F36F75">
        <w:rPr>
          <w:rFonts w:ascii="Arial" w:hAnsi="Arial" w:cs="Arial"/>
          <w:b/>
          <w:bCs/>
          <w:sz w:val="22"/>
          <w:szCs w:val="22"/>
        </w:rPr>
        <w:t>4</w:t>
      </w:r>
      <w:r w:rsidR="00A95CCB">
        <w:rPr>
          <w:rFonts w:ascii="Arial" w:hAnsi="Arial" w:cs="Arial"/>
          <w:b/>
          <w:bCs/>
          <w:sz w:val="22"/>
          <w:szCs w:val="22"/>
        </w:rPr>
        <w:t xml:space="preserve"> </w:t>
      </w:r>
      <w:r w:rsidR="00A95CCB" w:rsidRPr="00A95CCB">
        <w:rPr>
          <w:rFonts w:ascii="Arial" w:hAnsi="Arial" w:cs="Arial"/>
          <w:sz w:val="22"/>
          <w:szCs w:val="22"/>
        </w:rPr>
        <w:t>Aboriginal Reference Group Invitation</w:t>
      </w:r>
    </w:p>
    <w:p w14:paraId="0FD13F79" w14:textId="56E32880" w:rsidR="00A05665" w:rsidRPr="00C77FF0" w:rsidRDefault="00A05665" w:rsidP="00A05665">
      <w:pPr>
        <w:pStyle w:val="ListParagraph"/>
        <w:numPr>
          <w:ilvl w:val="0"/>
          <w:numId w:val="22"/>
        </w:numPr>
        <w:spacing w:line="276" w:lineRule="auto"/>
        <w:ind w:left="360"/>
        <w:rPr>
          <w:rFonts w:ascii="Arial" w:hAnsi="Arial" w:cs="Arial"/>
          <w:sz w:val="22"/>
          <w:szCs w:val="22"/>
        </w:rPr>
      </w:pPr>
      <w:r w:rsidRPr="00540679">
        <w:rPr>
          <w:rFonts w:ascii="Arial" w:hAnsi="Arial" w:cs="Arial"/>
          <w:b/>
          <w:bCs/>
          <w:sz w:val="22"/>
          <w:szCs w:val="22"/>
        </w:rPr>
        <w:t>Attachment 1</w:t>
      </w:r>
      <w:r w:rsidR="00F36F75">
        <w:rPr>
          <w:rFonts w:ascii="Arial" w:hAnsi="Arial" w:cs="Arial"/>
          <w:b/>
          <w:bCs/>
          <w:sz w:val="22"/>
          <w:szCs w:val="22"/>
        </w:rPr>
        <w:t>5</w:t>
      </w:r>
      <w:r w:rsidR="00C77FF0">
        <w:rPr>
          <w:rFonts w:ascii="Arial" w:hAnsi="Arial" w:cs="Arial"/>
          <w:b/>
          <w:bCs/>
          <w:sz w:val="22"/>
          <w:szCs w:val="22"/>
        </w:rPr>
        <w:t xml:space="preserve"> </w:t>
      </w:r>
      <w:r w:rsidR="00C77FF0" w:rsidRPr="00C77FF0">
        <w:rPr>
          <w:rFonts w:ascii="Arial" w:hAnsi="Arial" w:cs="Arial"/>
          <w:sz w:val="22"/>
          <w:szCs w:val="22"/>
        </w:rPr>
        <w:t xml:space="preserve">Aboriginal Health Impact Statement </w:t>
      </w:r>
    </w:p>
    <w:p w14:paraId="5AEC1C78" w14:textId="7E672D66" w:rsidR="00383B87" w:rsidRDefault="00383B87" w:rsidP="00383B87">
      <w:pPr>
        <w:pStyle w:val="ListParagraph"/>
        <w:numPr>
          <w:ilvl w:val="0"/>
          <w:numId w:val="22"/>
        </w:numPr>
        <w:spacing w:line="276" w:lineRule="auto"/>
        <w:ind w:left="360"/>
        <w:rPr>
          <w:rFonts w:ascii="Arial" w:hAnsi="Arial" w:cs="Arial"/>
          <w:b/>
          <w:bCs/>
          <w:sz w:val="22"/>
          <w:szCs w:val="22"/>
        </w:rPr>
      </w:pPr>
      <w:r w:rsidRPr="00540679">
        <w:rPr>
          <w:rFonts w:ascii="Arial" w:hAnsi="Arial" w:cs="Arial"/>
          <w:b/>
          <w:bCs/>
          <w:sz w:val="22"/>
          <w:szCs w:val="22"/>
        </w:rPr>
        <w:t>Attachment 1</w:t>
      </w:r>
      <w:r w:rsidR="00F36F75">
        <w:rPr>
          <w:rFonts w:ascii="Arial" w:hAnsi="Arial" w:cs="Arial"/>
          <w:b/>
          <w:bCs/>
          <w:sz w:val="22"/>
          <w:szCs w:val="22"/>
        </w:rPr>
        <w:t>6</w:t>
      </w:r>
      <w:r w:rsidR="00C77FF0">
        <w:rPr>
          <w:rFonts w:ascii="Arial" w:hAnsi="Arial" w:cs="Arial"/>
          <w:b/>
          <w:bCs/>
          <w:sz w:val="22"/>
          <w:szCs w:val="22"/>
        </w:rPr>
        <w:t xml:space="preserve"> </w:t>
      </w:r>
      <w:r w:rsidR="00C77FF0" w:rsidRPr="00A96AF4">
        <w:rPr>
          <w:rFonts w:ascii="Arial" w:hAnsi="Arial" w:cs="Arial"/>
          <w:sz w:val="22"/>
          <w:szCs w:val="22"/>
        </w:rPr>
        <w:t>AH</w:t>
      </w:r>
      <w:r w:rsidR="00A96AF4" w:rsidRPr="00A96AF4">
        <w:rPr>
          <w:rFonts w:ascii="Arial" w:hAnsi="Arial" w:cs="Arial"/>
          <w:sz w:val="22"/>
          <w:szCs w:val="22"/>
        </w:rPr>
        <w:t>&amp;MRC Letter of Support</w:t>
      </w:r>
      <w:r w:rsidR="00A96AF4">
        <w:rPr>
          <w:rFonts w:ascii="Arial" w:hAnsi="Arial" w:cs="Arial"/>
          <w:b/>
          <w:bCs/>
          <w:sz w:val="22"/>
          <w:szCs w:val="22"/>
        </w:rPr>
        <w:t xml:space="preserve"> </w:t>
      </w:r>
    </w:p>
    <w:p w14:paraId="6C836E4A" w14:textId="7BE9787D" w:rsidR="003B3846" w:rsidRPr="00540679" w:rsidRDefault="003B3846" w:rsidP="00383B87">
      <w:pPr>
        <w:pStyle w:val="ListParagraph"/>
        <w:numPr>
          <w:ilvl w:val="0"/>
          <w:numId w:val="22"/>
        </w:numPr>
        <w:spacing w:line="276" w:lineRule="auto"/>
        <w:ind w:left="360"/>
        <w:rPr>
          <w:rFonts w:ascii="Arial" w:hAnsi="Arial" w:cs="Arial"/>
          <w:b/>
          <w:bCs/>
          <w:sz w:val="22"/>
          <w:szCs w:val="22"/>
        </w:rPr>
      </w:pPr>
      <w:r>
        <w:rPr>
          <w:rFonts w:ascii="Arial" w:hAnsi="Arial" w:cs="Arial"/>
          <w:b/>
          <w:bCs/>
          <w:sz w:val="22"/>
          <w:szCs w:val="22"/>
        </w:rPr>
        <w:t xml:space="preserve">Attachment 17 </w:t>
      </w:r>
      <w:r w:rsidR="00DF65CA" w:rsidRPr="00DF65CA">
        <w:rPr>
          <w:rFonts w:ascii="Arial" w:hAnsi="Arial" w:cs="Arial"/>
          <w:sz w:val="22"/>
          <w:szCs w:val="22"/>
        </w:rPr>
        <w:t>Safety Protocol for participants</w:t>
      </w:r>
    </w:p>
    <w:p w14:paraId="42BAC296" w14:textId="77777777" w:rsidR="00A05665" w:rsidRPr="00540679" w:rsidRDefault="00A05665" w:rsidP="00A51AC5">
      <w:pPr>
        <w:pStyle w:val="ListParagraph"/>
        <w:numPr>
          <w:ilvl w:val="0"/>
          <w:numId w:val="0"/>
        </w:numPr>
        <w:spacing w:line="276" w:lineRule="auto"/>
        <w:ind w:left="360"/>
        <w:rPr>
          <w:rFonts w:ascii="Arial" w:hAnsi="Arial" w:cs="Arial"/>
          <w:b/>
          <w:bCs/>
          <w:sz w:val="22"/>
          <w:szCs w:val="22"/>
        </w:rPr>
      </w:pPr>
    </w:p>
    <w:p w14:paraId="617ED568"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B416D79"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458555C"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349B9E4C"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1B9F14B1"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58DE6937"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63AA3E5D"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25BB1E86"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7E2E7E7F"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1E8210A2"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612ACC50"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3B320DF3"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6ECBA45C"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1C0FFE84"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259E9854"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3D1DD1A0"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5D2A7A72"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6FE1C084"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1224CC53"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p w14:paraId="4D93E2AB" w14:textId="77777777" w:rsidR="00DB1A41" w:rsidRPr="00540679" w:rsidRDefault="00DB1A41" w:rsidP="00791910">
      <w:pPr>
        <w:pStyle w:val="EndNoteBibliography"/>
        <w:spacing w:line="276" w:lineRule="auto"/>
        <w:ind w:left="340" w:hanging="340"/>
        <w:jc w:val="both"/>
        <w:rPr>
          <w:rFonts w:ascii="Arial" w:hAnsi="Arial" w:cs="Arial"/>
          <w:noProof/>
          <w:sz w:val="22"/>
          <w:szCs w:val="22"/>
        </w:rPr>
      </w:pPr>
    </w:p>
    <w:sectPr w:rsidR="00DB1A41" w:rsidRPr="0054067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AA1" w14:textId="77777777" w:rsidR="00011D9C" w:rsidRDefault="00011D9C" w:rsidP="004F7530">
      <w:r>
        <w:separator/>
      </w:r>
    </w:p>
  </w:endnote>
  <w:endnote w:type="continuationSeparator" w:id="0">
    <w:p w14:paraId="0E25315D" w14:textId="77777777" w:rsidR="00011D9C" w:rsidRDefault="00011D9C" w:rsidP="004F7530">
      <w:r>
        <w:continuationSeparator/>
      </w:r>
    </w:p>
  </w:endnote>
  <w:endnote w:type="continuationNotice" w:id="1">
    <w:p w14:paraId="09A095A9" w14:textId="77777777" w:rsidR="00011D9C" w:rsidRDefault="00011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ardianTextEgypGR-Regular">
    <w:altName w:val="Yu Gothic"/>
    <w:panose1 w:val="00000000000000000000"/>
    <w:charset w:val="0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30A8" w14:textId="36B8F804" w:rsidR="00CE472A" w:rsidRPr="00666D8F" w:rsidRDefault="008D00BC">
    <w:pPr>
      <w:autoSpaceDE w:val="0"/>
      <w:autoSpaceDN w:val="0"/>
      <w:adjustRightInd w:val="0"/>
      <w:rPr>
        <w:rFonts w:ascii="Arial" w:hAnsi="Arial" w:cs="Arial"/>
        <w:sz w:val="18"/>
        <w:szCs w:val="18"/>
      </w:rPr>
    </w:pPr>
    <w:r w:rsidRPr="00666D8F">
      <w:rPr>
        <w:rFonts w:ascii="Arial" w:hAnsi="Arial"/>
        <w:sz w:val="18"/>
        <w:szCs w:val="18"/>
      </w:rPr>
      <w:t xml:space="preserve">Research Protocol </w:t>
    </w:r>
    <w:r w:rsidR="004F7530">
      <w:rPr>
        <w:rFonts w:ascii="Arial" w:hAnsi="Arial"/>
        <w:sz w:val="18"/>
        <w:szCs w:val="18"/>
      </w:rPr>
      <w:t>TIC TOC</w:t>
    </w:r>
    <w:r w:rsidRPr="00666D8F">
      <w:rPr>
        <w:rFonts w:ascii="Arial" w:hAnsi="Arial"/>
        <w:sz w:val="18"/>
        <w:szCs w:val="18"/>
      </w:rPr>
      <w:t xml:space="preserve"> Study</w:t>
    </w:r>
    <w:r>
      <w:rPr>
        <w:rFonts w:ascii="Arial" w:hAnsi="Arial"/>
        <w:sz w:val="18"/>
        <w:szCs w:val="18"/>
      </w:rPr>
      <w:t xml:space="preserve">, Version1, </w:t>
    </w:r>
    <w:r w:rsidR="00040BAB">
      <w:rPr>
        <w:rFonts w:ascii="Arial" w:hAnsi="Arial"/>
        <w:sz w:val="18"/>
        <w:szCs w:val="18"/>
      </w:rPr>
      <w:t>1</w:t>
    </w:r>
    <w:r w:rsidR="005D5D71">
      <w:rPr>
        <w:rFonts w:ascii="Arial" w:hAnsi="Arial"/>
        <w:sz w:val="18"/>
        <w:szCs w:val="18"/>
      </w:rPr>
      <w:t>2</w:t>
    </w:r>
    <w:r>
      <w:rPr>
        <w:rFonts w:ascii="Arial" w:hAnsi="Arial"/>
        <w:sz w:val="18"/>
        <w:szCs w:val="18"/>
      </w:rPr>
      <w:t>/0</w:t>
    </w:r>
    <w:r w:rsidR="005D5D71">
      <w:rPr>
        <w:rFonts w:ascii="Arial" w:hAnsi="Arial"/>
        <w:sz w:val="18"/>
        <w:szCs w:val="18"/>
      </w:rPr>
      <w:t>6</w:t>
    </w:r>
    <w:r>
      <w:rPr>
        <w:rFonts w:ascii="Arial" w:hAnsi="Arial"/>
        <w:sz w:val="18"/>
        <w:szCs w:val="18"/>
      </w:rPr>
      <w:t>/2023</w:t>
    </w:r>
    <w:r w:rsidRPr="00666D8F">
      <w:rPr>
        <w:rFonts w:ascii="Arial" w:hAnsi="Arial"/>
        <w:sz w:val="18"/>
        <w:szCs w:val="18"/>
      </w:rPr>
      <w:tab/>
    </w:r>
    <w:r w:rsidRPr="00666D8F">
      <w:rPr>
        <w:rFonts w:ascii="Arial" w:hAnsi="Arial"/>
        <w:sz w:val="18"/>
        <w:szCs w:val="18"/>
      </w:rPr>
      <w:tab/>
      <w:t xml:space="preserve">Page </w:t>
    </w:r>
    <w:r w:rsidRPr="00666D8F">
      <w:rPr>
        <w:rFonts w:ascii="Arial" w:hAnsi="Arial"/>
        <w:sz w:val="18"/>
        <w:szCs w:val="18"/>
      </w:rPr>
      <w:fldChar w:fldCharType="begin"/>
    </w:r>
    <w:r w:rsidRPr="00666D8F">
      <w:rPr>
        <w:rFonts w:ascii="Arial" w:hAnsi="Arial"/>
        <w:sz w:val="18"/>
        <w:szCs w:val="18"/>
      </w:rPr>
      <w:instrText xml:space="preserve"> PAGE </w:instrText>
    </w:r>
    <w:r w:rsidRPr="00666D8F">
      <w:rPr>
        <w:rFonts w:ascii="Arial" w:hAnsi="Arial"/>
        <w:sz w:val="18"/>
        <w:szCs w:val="18"/>
      </w:rPr>
      <w:fldChar w:fldCharType="separate"/>
    </w:r>
    <w:r w:rsidRPr="00666D8F">
      <w:rPr>
        <w:rFonts w:ascii="Arial" w:hAnsi="Arial"/>
        <w:sz w:val="18"/>
        <w:szCs w:val="18"/>
      </w:rPr>
      <w:t>1</w:t>
    </w:r>
    <w:r w:rsidRPr="00666D8F">
      <w:rPr>
        <w:rFonts w:ascii="Arial" w:hAnsi="Arial"/>
        <w:sz w:val="18"/>
        <w:szCs w:val="18"/>
      </w:rPr>
      <w:fldChar w:fldCharType="end"/>
    </w:r>
    <w:r w:rsidRPr="00666D8F">
      <w:rPr>
        <w:rFonts w:ascii="Arial" w:hAnsi="Arial"/>
        <w:sz w:val="18"/>
        <w:szCs w:val="18"/>
      </w:rPr>
      <w:t xml:space="preserve"> of </w:t>
    </w:r>
    <w:r w:rsidRPr="00666D8F">
      <w:rPr>
        <w:rFonts w:ascii="Arial" w:hAnsi="Arial"/>
        <w:sz w:val="18"/>
        <w:szCs w:val="18"/>
      </w:rPr>
      <w:fldChar w:fldCharType="begin"/>
    </w:r>
    <w:r w:rsidRPr="00666D8F">
      <w:rPr>
        <w:rFonts w:ascii="Arial" w:hAnsi="Arial"/>
        <w:sz w:val="18"/>
        <w:szCs w:val="18"/>
      </w:rPr>
      <w:instrText xml:space="preserve"> NUMPAGES </w:instrText>
    </w:r>
    <w:r w:rsidRPr="00666D8F">
      <w:rPr>
        <w:rFonts w:ascii="Arial" w:hAnsi="Arial"/>
        <w:sz w:val="18"/>
        <w:szCs w:val="18"/>
      </w:rPr>
      <w:fldChar w:fldCharType="separate"/>
    </w:r>
    <w:r w:rsidRPr="00666D8F">
      <w:rPr>
        <w:rFonts w:ascii="Arial" w:hAnsi="Arial"/>
        <w:sz w:val="18"/>
        <w:szCs w:val="18"/>
      </w:rPr>
      <w:t>1</w:t>
    </w:r>
    <w:r w:rsidRPr="00666D8F">
      <w:rPr>
        <w:rFonts w:ascii="Arial" w:hAnsi="Arial"/>
        <w:sz w:val="18"/>
        <w:szCs w:val="18"/>
      </w:rPr>
      <w:fldChar w:fldCharType="end"/>
    </w:r>
  </w:p>
  <w:p w14:paraId="192F5B73" w14:textId="77777777" w:rsidR="00CE472A" w:rsidRDefault="00CE4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4A77" w14:textId="77777777" w:rsidR="00011D9C" w:rsidRDefault="00011D9C" w:rsidP="004F7530">
      <w:r>
        <w:separator/>
      </w:r>
    </w:p>
  </w:footnote>
  <w:footnote w:type="continuationSeparator" w:id="0">
    <w:p w14:paraId="029F8419" w14:textId="77777777" w:rsidR="00011D9C" w:rsidRDefault="00011D9C" w:rsidP="004F7530">
      <w:r>
        <w:continuationSeparator/>
      </w:r>
    </w:p>
  </w:footnote>
  <w:footnote w:type="continuationNotice" w:id="1">
    <w:p w14:paraId="2ED7635A" w14:textId="77777777" w:rsidR="00011D9C" w:rsidRDefault="00011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6CA" w14:textId="77777777" w:rsidR="00CE472A" w:rsidRDefault="00CE472A">
    <w:pPr>
      <w:pStyle w:val="Header"/>
    </w:pPr>
  </w:p>
  <w:p w14:paraId="34D73114" w14:textId="77777777" w:rsidR="00CE472A" w:rsidRDefault="00CE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2BBAE"/>
    <w:lvl w:ilvl="0">
      <w:start w:val="1"/>
      <w:numFmt w:val="decimal"/>
      <w:pStyle w:val="Heading1"/>
      <w:lvlText w:val="%1."/>
      <w:legacy w:legacy="1" w:legacySpace="0" w:legacyIndent="0"/>
      <w:lvlJc w:val="left"/>
      <w:pPr>
        <w:ind w:left="2552" w:firstLine="0"/>
      </w:pPr>
      <w:rPr>
        <w:b/>
      </w:rPr>
    </w:lvl>
    <w:lvl w:ilvl="1">
      <w:start w:val="1"/>
      <w:numFmt w:val="decimal"/>
      <w:pStyle w:val="Heading2"/>
      <w:lvlText w:val="%1.%2."/>
      <w:legacy w:legacy="1" w:legacySpace="0" w:legacyIndent="708"/>
      <w:lvlJc w:val="left"/>
      <w:pPr>
        <w:ind w:left="3260" w:hanging="708"/>
      </w:pPr>
    </w:lvl>
    <w:lvl w:ilvl="2">
      <w:start w:val="1"/>
      <w:numFmt w:val="decimal"/>
      <w:pStyle w:val="Heading3"/>
      <w:lvlText w:val="%1.%2.%3."/>
      <w:legacy w:legacy="1" w:legacySpace="0" w:legacyIndent="708"/>
      <w:lvlJc w:val="left"/>
      <w:pPr>
        <w:ind w:left="2978" w:hanging="708"/>
      </w:pPr>
    </w:lvl>
    <w:lvl w:ilvl="3">
      <w:start w:val="1"/>
      <w:numFmt w:val="decimal"/>
      <w:pStyle w:val="Heading4"/>
      <w:lvlText w:val="%1.%2.%3.%4."/>
      <w:legacy w:legacy="1" w:legacySpace="0" w:legacyIndent="708"/>
      <w:lvlJc w:val="left"/>
      <w:pPr>
        <w:ind w:left="2978" w:hanging="708"/>
      </w:pPr>
    </w:lvl>
    <w:lvl w:ilvl="4">
      <w:start w:val="1"/>
      <w:numFmt w:val="decimal"/>
      <w:pStyle w:val="Heading5"/>
      <w:lvlText w:val="%1.%2.%3.%4.%5."/>
      <w:legacy w:legacy="1" w:legacySpace="0" w:legacyIndent="708"/>
      <w:lvlJc w:val="left"/>
      <w:pPr>
        <w:ind w:left="4959" w:hanging="708"/>
      </w:pPr>
    </w:lvl>
    <w:lvl w:ilvl="5">
      <w:start w:val="1"/>
      <w:numFmt w:val="decimal"/>
      <w:pStyle w:val="Heading6"/>
      <w:lvlText w:val="%1.%2.%3.%4.%5.%6."/>
      <w:legacy w:legacy="1" w:legacySpace="0" w:legacyIndent="708"/>
      <w:lvlJc w:val="left"/>
      <w:pPr>
        <w:ind w:left="5667" w:hanging="708"/>
      </w:pPr>
    </w:lvl>
    <w:lvl w:ilvl="6">
      <w:start w:val="1"/>
      <w:numFmt w:val="decimal"/>
      <w:pStyle w:val="Heading7"/>
      <w:lvlText w:val="%1.%2.%3.%4.%5.%6.%7."/>
      <w:legacy w:legacy="1" w:legacySpace="0" w:legacyIndent="708"/>
      <w:lvlJc w:val="left"/>
      <w:pPr>
        <w:ind w:left="6375" w:hanging="708"/>
      </w:pPr>
    </w:lvl>
    <w:lvl w:ilvl="7">
      <w:start w:val="1"/>
      <w:numFmt w:val="decimal"/>
      <w:pStyle w:val="Heading8"/>
      <w:lvlText w:val="%1.%2.%3.%4.%5.%6.%7.%8."/>
      <w:legacy w:legacy="1" w:legacySpace="0" w:legacyIndent="708"/>
      <w:lvlJc w:val="left"/>
      <w:pPr>
        <w:ind w:left="7083" w:hanging="708"/>
      </w:pPr>
    </w:lvl>
    <w:lvl w:ilvl="8">
      <w:start w:val="1"/>
      <w:numFmt w:val="decimal"/>
      <w:pStyle w:val="Heading9"/>
      <w:lvlText w:val="%1.%2.%3.%4.%5.%6.%7.%8.%9."/>
      <w:legacy w:legacy="1" w:legacySpace="0" w:legacyIndent="708"/>
      <w:lvlJc w:val="left"/>
      <w:pPr>
        <w:ind w:left="7791" w:hanging="708"/>
      </w:pPr>
    </w:lvl>
  </w:abstractNum>
  <w:abstractNum w:abstractNumId="1" w15:restartNumberingAfterBreak="0">
    <w:nsid w:val="00C832A2"/>
    <w:multiLevelType w:val="multilevel"/>
    <w:tmpl w:val="3C38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522F5"/>
    <w:multiLevelType w:val="hybridMultilevel"/>
    <w:tmpl w:val="441C3264"/>
    <w:lvl w:ilvl="0" w:tplc="3CE0C6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50B0C"/>
    <w:multiLevelType w:val="hybridMultilevel"/>
    <w:tmpl w:val="137615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53B9"/>
    <w:multiLevelType w:val="hybridMultilevel"/>
    <w:tmpl w:val="74B6C56E"/>
    <w:lvl w:ilvl="0" w:tplc="AAE6CE7E">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C17323"/>
    <w:multiLevelType w:val="hybridMultilevel"/>
    <w:tmpl w:val="6B3C6AEA"/>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E1584"/>
    <w:multiLevelType w:val="hybridMultilevel"/>
    <w:tmpl w:val="A78AC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CE1CED"/>
    <w:multiLevelType w:val="hybridMultilevel"/>
    <w:tmpl w:val="C2C6C648"/>
    <w:lvl w:ilvl="0" w:tplc="6EF2ADE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9656C"/>
    <w:multiLevelType w:val="multilevel"/>
    <w:tmpl w:val="3C38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C6788B"/>
    <w:multiLevelType w:val="hybridMultilevel"/>
    <w:tmpl w:val="5DECA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D1636"/>
    <w:multiLevelType w:val="hybridMultilevel"/>
    <w:tmpl w:val="9B9666CE"/>
    <w:lvl w:ilvl="0" w:tplc="563CA85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D390C"/>
    <w:multiLevelType w:val="hybridMultilevel"/>
    <w:tmpl w:val="D7043936"/>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96598B"/>
    <w:multiLevelType w:val="hybridMultilevel"/>
    <w:tmpl w:val="EA22E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B07B31"/>
    <w:multiLevelType w:val="hybridMultilevel"/>
    <w:tmpl w:val="8124BB16"/>
    <w:lvl w:ilvl="0" w:tplc="96769F6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E305D"/>
    <w:multiLevelType w:val="hybridMultilevel"/>
    <w:tmpl w:val="1B726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6F49A2"/>
    <w:multiLevelType w:val="hybridMultilevel"/>
    <w:tmpl w:val="2574363A"/>
    <w:lvl w:ilvl="0" w:tplc="6EF2ADE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53541"/>
    <w:multiLevelType w:val="hybridMultilevel"/>
    <w:tmpl w:val="73A63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212B6D"/>
    <w:multiLevelType w:val="hybridMultilevel"/>
    <w:tmpl w:val="955ECCF4"/>
    <w:lvl w:ilvl="0" w:tplc="0C09000F">
      <w:start w:val="8"/>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637247"/>
    <w:multiLevelType w:val="hybridMultilevel"/>
    <w:tmpl w:val="EAFEC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985CF7"/>
    <w:multiLevelType w:val="multilevel"/>
    <w:tmpl w:val="990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342100"/>
    <w:multiLevelType w:val="multilevel"/>
    <w:tmpl w:val="49BA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7C0B4C"/>
    <w:multiLevelType w:val="hybridMultilevel"/>
    <w:tmpl w:val="9830E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641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88630">
    <w:abstractNumId w:val="17"/>
  </w:num>
  <w:num w:numId="3" w16cid:durableId="809133721">
    <w:abstractNumId w:val="2"/>
  </w:num>
  <w:num w:numId="4" w16cid:durableId="1415056615">
    <w:abstractNumId w:val="1"/>
  </w:num>
  <w:num w:numId="5" w16cid:durableId="628318437">
    <w:abstractNumId w:val="7"/>
  </w:num>
  <w:num w:numId="6" w16cid:durableId="2010019262">
    <w:abstractNumId w:val="15"/>
  </w:num>
  <w:num w:numId="7" w16cid:durableId="1492676925">
    <w:abstractNumId w:val="8"/>
  </w:num>
  <w:num w:numId="8" w16cid:durableId="253973893">
    <w:abstractNumId w:val="3"/>
  </w:num>
  <w:num w:numId="9" w16cid:durableId="194923939">
    <w:abstractNumId w:val="13"/>
  </w:num>
  <w:num w:numId="10" w16cid:durableId="849610063">
    <w:abstractNumId w:val="6"/>
  </w:num>
  <w:num w:numId="11" w16cid:durableId="1375234927">
    <w:abstractNumId w:val="18"/>
  </w:num>
  <w:num w:numId="12" w16cid:durableId="1558784945">
    <w:abstractNumId w:val="4"/>
  </w:num>
  <w:num w:numId="13" w16cid:durableId="1440577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9085824">
    <w:abstractNumId w:val="9"/>
  </w:num>
  <w:num w:numId="15" w16cid:durableId="990989762">
    <w:abstractNumId w:val="21"/>
  </w:num>
  <w:num w:numId="16" w16cid:durableId="2099665930">
    <w:abstractNumId w:val="5"/>
  </w:num>
  <w:num w:numId="17" w16cid:durableId="1743330551">
    <w:abstractNumId w:val="11"/>
  </w:num>
  <w:num w:numId="18" w16cid:durableId="12925923">
    <w:abstractNumId w:val="12"/>
  </w:num>
  <w:num w:numId="19" w16cid:durableId="1254438308">
    <w:abstractNumId w:val="20"/>
  </w:num>
  <w:num w:numId="20" w16cid:durableId="541525037">
    <w:abstractNumId w:val="19"/>
  </w:num>
  <w:num w:numId="21" w16cid:durableId="850098018">
    <w:abstractNumId w:val="14"/>
  </w:num>
  <w:num w:numId="22" w16cid:durableId="645745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E9"/>
    <w:rsid w:val="00000245"/>
    <w:rsid w:val="00001B47"/>
    <w:rsid w:val="000028C9"/>
    <w:rsid w:val="0000393B"/>
    <w:rsid w:val="0000777E"/>
    <w:rsid w:val="00011D9C"/>
    <w:rsid w:val="00012844"/>
    <w:rsid w:val="00021150"/>
    <w:rsid w:val="00021C20"/>
    <w:rsid w:val="00022284"/>
    <w:rsid w:val="000222C3"/>
    <w:rsid w:val="00022617"/>
    <w:rsid w:val="00022F1C"/>
    <w:rsid w:val="00024F25"/>
    <w:rsid w:val="00036671"/>
    <w:rsid w:val="00040571"/>
    <w:rsid w:val="00040BAB"/>
    <w:rsid w:val="000466D4"/>
    <w:rsid w:val="00057A96"/>
    <w:rsid w:val="00061ADB"/>
    <w:rsid w:val="00062CDB"/>
    <w:rsid w:val="00063F24"/>
    <w:rsid w:val="0006512A"/>
    <w:rsid w:val="00070B98"/>
    <w:rsid w:val="00074273"/>
    <w:rsid w:val="00076037"/>
    <w:rsid w:val="0008543B"/>
    <w:rsid w:val="0008658E"/>
    <w:rsid w:val="000871B1"/>
    <w:rsid w:val="00090E42"/>
    <w:rsid w:val="00094D2C"/>
    <w:rsid w:val="00096985"/>
    <w:rsid w:val="000A02DB"/>
    <w:rsid w:val="000A4C8F"/>
    <w:rsid w:val="000A5F07"/>
    <w:rsid w:val="000B5CC1"/>
    <w:rsid w:val="000B63BC"/>
    <w:rsid w:val="000C6334"/>
    <w:rsid w:val="000C7AE0"/>
    <w:rsid w:val="000D15A7"/>
    <w:rsid w:val="000D24DC"/>
    <w:rsid w:val="000D4653"/>
    <w:rsid w:val="000D5A90"/>
    <w:rsid w:val="000E26BA"/>
    <w:rsid w:val="000E7441"/>
    <w:rsid w:val="000F4D06"/>
    <w:rsid w:val="000F5C77"/>
    <w:rsid w:val="000F6101"/>
    <w:rsid w:val="000F775D"/>
    <w:rsid w:val="0010271A"/>
    <w:rsid w:val="00104CFC"/>
    <w:rsid w:val="00105D22"/>
    <w:rsid w:val="001063CE"/>
    <w:rsid w:val="00107D92"/>
    <w:rsid w:val="00110E02"/>
    <w:rsid w:val="00111053"/>
    <w:rsid w:val="00120FFF"/>
    <w:rsid w:val="0012332E"/>
    <w:rsid w:val="00124C26"/>
    <w:rsid w:val="00130857"/>
    <w:rsid w:val="001338B1"/>
    <w:rsid w:val="0014538F"/>
    <w:rsid w:val="00146697"/>
    <w:rsid w:val="00160BCF"/>
    <w:rsid w:val="00161AFD"/>
    <w:rsid w:val="001638CA"/>
    <w:rsid w:val="001731CA"/>
    <w:rsid w:val="00183D7A"/>
    <w:rsid w:val="00185E5C"/>
    <w:rsid w:val="00186FAD"/>
    <w:rsid w:val="0018761E"/>
    <w:rsid w:val="00195290"/>
    <w:rsid w:val="001A1A83"/>
    <w:rsid w:val="001A2B36"/>
    <w:rsid w:val="001A4002"/>
    <w:rsid w:val="001B0D8A"/>
    <w:rsid w:val="001B235F"/>
    <w:rsid w:val="001C08A9"/>
    <w:rsid w:val="001C4F8D"/>
    <w:rsid w:val="001C5EC6"/>
    <w:rsid w:val="001C6873"/>
    <w:rsid w:val="001D1D12"/>
    <w:rsid w:val="001D4753"/>
    <w:rsid w:val="001D72F5"/>
    <w:rsid w:val="001E2D14"/>
    <w:rsid w:val="001E684A"/>
    <w:rsid w:val="001E6B30"/>
    <w:rsid w:val="001F0F1B"/>
    <w:rsid w:val="001F4E17"/>
    <w:rsid w:val="00206622"/>
    <w:rsid w:val="00212580"/>
    <w:rsid w:val="002148BC"/>
    <w:rsid w:val="00226AFC"/>
    <w:rsid w:val="00231DA6"/>
    <w:rsid w:val="00233D5D"/>
    <w:rsid w:val="00235B7C"/>
    <w:rsid w:val="00246185"/>
    <w:rsid w:val="00246E52"/>
    <w:rsid w:val="0024788C"/>
    <w:rsid w:val="002555F6"/>
    <w:rsid w:val="00260F5A"/>
    <w:rsid w:val="00263368"/>
    <w:rsid w:val="002646AE"/>
    <w:rsid w:val="00274BEB"/>
    <w:rsid w:val="00277647"/>
    <w:rsid w:val="0029017C"/>
    <w:rsid w:val="0029019E"/>
    <w:rsid w:val="00292E4F"/>
    <w:rsid w:val="0029333F"/>
    <w:rsid w:val="00297797"/>
    <w:rsid w:val="002A25F1"/>
    <w:rsid w:val="002A5B44"/>
    <w:rsid w:val="002B34A4"/>
    <w:rsid w:val="002B3DC0"/>
    <w:rsid w:val="002B4AD6"/>
    <w:rsid w:val="002B4B05"/>
    <w:rsid w:val="002C0C94"/>
    <w:rsid w:val="002C0D25"/>
    <w:rsid w:val="002C50D3"/>
    <w:rsid w:val="002D31C1"/>
    <w:rsid w:val="002D5726"/>
    <w:rsid w:val="002E58E4"/>
    <w:rsid w:val="002E66AF"/>
    <w:rsid w:val="002F4497"/>
    <w:rsid w:val="002F6768"/>
    <w:rsid w:val="002F75DF"/>
    <w:rsid w:val="0030180B"/>
    <w:rsid w:val="00303199"/>
    <w:rsid w:val="003106EB"/>
    <w:rsid w:val="003252EB"/>
    <w:rsid w:val="00327A53"/>
    <w:rsid w:val="00340CED"/>
    <w:rsid w:val="00341AD4"/>
    <w:rsid w:val="00350D9B"/>
    <w:rsid w:val="00357308"/>
    <w:rsid w:val="00357E00"/>
    <w:rsid w:val="0036020C"/>
    <w:rsid w:val="0036737E"/>
    <w:rsid w:val="00376B74"/>
    <w:rsid w:val="00381AAF"/>
    <w:rsid w:val="00383603"/>
    <w:rsid w:val="00383B87"/>
    <w:rsid w:val="003908DD"/>
    <w:rsid w:val="00397B67"/>
    <w:rsid w:val="003A0CF8"/>
    <w:rsid w:val="003A45C4"/>
    <w:rsid w:val="003B0BF9"/>
    <w:rsid w:val="003B1027"/>
    <w:rsid w:val="003B3846"/>
    <w:rsid w:val="003B5971"/>
    <w:rsid w:val="003C2986"/>
    <w:rsid w:val="003C505F"/>
    <w:rsid w:val="003C60B3"/>
    <w:rsid w:val="003C66CA"/>
    <w:rsid w:val="003D0440"/>
    <w:rsid w:val="003D2089"/>
    <w:rsid w:val="003E1E35"/>
    <w:rsid w:val="003F1014"/>
    <w:rsid w:val="00400C83"/>
    <w:rsid w:val="0040546C"/>
    <w:rsid w:val="004107F6"/>
    <w:rsid w:val="00412000"/>
    <w:rsid w:val="00415F0B"/>
    <w:rsid w:val="00416873"/>
    <w:rsid w:val="004174B7"/>
    <w:rsid w:val="00417F7A"/>
    <w:rsid w:val="00421DF5"/>
    <w:rsid w:val="0042495B"/>
    <w:rsid w:val="0042750E"/>
    <w:rsid w:val="00430687"/>
    <w:rsid w:val="00437FED"/>
    <w:rsid w:val="00441039"/>
    <w:rsid w:val="00445FB2"/>
    <w:rsid w:val="00446792"/>
    <w:rsid w:val="00450484"/>
    <w:rsid w:val="0045239C"/>
    <w:rsid w:val="00454ABC"/>
    <w:rsid w:val="00455A84"/>
    <w:rsid w:val="00455DBF"/>
    <w:rsid w:val="004578F6"/>
    <w:rsid w:val="00463E70"/>
    <w:rsid w:val="004703FD"/>
    <w:rsid w:val="0048576D"/>
    <w:rsid w:val="00486003"/>
    <w:rsid w:val="0049080F"/>
    <w:rsid w:val="00490EEC"/>
    <w:rsid w:val="004951F7"/>
    <w:rsid w:val="00496750"/>
    <w:rsid w:val="004A58D1"/>
    <w:rsid w:val="004A7159"/>
    <w:rsid w:val="004B0607"/>
    <w:rsid w:val="004B27CE"/>
    <w:rsid w:val="004B3101"/>
    <w:rsid w:val="004B69A8"/>
    <w:rsid w:val="004C38F3"/>
    <w:rsid w:val="004C5697"/>
    <w:rsid w:val="004D2DE4"/>
    <w:rsid w:val="004D41E7"/>
    <w:rsid w:val="004E43E4"/>
    <w:rsid w:val="004E77E7"/>
    <w:rsid w:val="004F5D1F"/>
    <w:rsid w:val="004F5F68"/>
    <w:rsid w:val="004F72BA"/>
    <w:rsid w:val="004F7530"/>
    <w:rsid w:val="004F78EC"/>
    <w:rsid w:val="00503630"/>
    <w:rsid w:val="00504F78"/>
    <w:rsid w:val="0050600A"/>
    <w:rsid w:val="00512B81"/>
    <w:rsid w:val="00515250"/>
    <w:rsid w:val="00526CF0"/>
    <w:rsid w:val="00531651"/>
    <w:rsid w:val="00540679"/>
    <w:rsid w:val="00545403"/>
    <w:rsid w:val="00546E15"/>
    <w:rsid w:val="00551D74"/>
    <w:rsid w:val="0055224C"/>
    <w:rsid w:val="00554458"/>
    <w:rsid w:val="00555FDA"/>
    <w:rsid w:val="0056209C"/>
    <w:rsid w:val="005630F8"/>
    <w:rsid w:val="00567CD9"/>
    <w:rsid w:val="005704CE"/>
    <w:rsid w:val="00575957"/>
    <w:rsid w:val="00581DF7"/>
    <w:rsid w:val="005830BE"/>
    <w:rsid w:val="005830CC"/>
    <w:rsid w:val="00585AF9"/>
    <w:rsid w:val="005900EE"/>
    <w:rsid w:val="005914F2"/>
    <w:rsid w:val="00597C5D"/>
    <w:rsid w:val="005A38E9"/>
    <w:rsid w:val="005B173C"/>
    <w:rsid w:val="005B1812"/>
    <w:rsid w:val="005B33E0"/>
    <w:rsid w:val="005B423A"/>
    <w:rsid w:val="005B6FF7"/>
    <w:rsid w:val="005C0287"/>
    <w:rsid w:val="005C0524"/>
    <w:rsid w:val="005C10CC"/>
    <w:rsid w:val="005C23D6"/>
    <w:rsid w:val="005D45C9"/>
    <w:rsid w:val="005D5D71"/>
    <w:rsid w:val="005F5366"/>
    <w:rsid w:val="005F674D"/>
    <w:rsid w:val="005F7684"/>
    <w:rsid w:val="0060000D"/>
    <w:rsid w:val="00600A79"/>
    <w:rsid w:val="00600D5C"/>
    <w:rsid w:val="006031A3"/>
    <w:rsid w:val="00604647"/>
    <w:rsid w:val="00607188"/>
    <w:rsid w:val="006119AD"/>
    <w:rsid w:val="006230E9"/>
    <w:rsid w:val="00623E1D"/>
    <w:rsid w:val="0062574E"/>
    <w:rsid w:val="006309D0"/>
    <w:rsid w:val="00630E05"/>
    <w:rsid w:val="00631B81"/>
    <w:rsid w:val="00642B79"/>
    <w:rsid w:val="0064417A"/>
    <w:rsid w:val="00652190"/>
    <w:rsid w:val="00655EE5"/>
    <w:rsid w:val="006640D1"/>
    <w:rsid w:val="00666759"/>
    <w:rsid w:val="00670876"/>
    <w:rsid w:val="00682C0E"/>
    <w:rsid w:val="00685085"/>
    <w:rsid w:val="006A0844"/>
    <w:rsid w:val="006A1980"/>
    <w:rsid w:val="006A2BFB"/>
    <w:rsid w:val="006B29ED"/>
    <w:rsid w:val="006B582A"/>
    <w:rsid w:val="006C116A"/>
    <w:rsid w:val="006C6BCC"/>
    <w:rsid w:val="006C7162"/>
    <w:rsid w:val="006D2413"/>
    <w:rsid w:val="006D7965"/>
    <w:rsid w:val="006E120B"/>
    <w:rsid w:val="006E2D60"/>
    <w:rsid w:val="006E4132"/>
    <w:rsid w:val="006E56D2"/>
    <w:rsid w:val="006F3B0D"/>
    <w:rsid w:val="006F53BA"/>
    <w:rsid w:val="006F58D0"/>
    <w:rsid w:val="00703770"/>
    <w:rsid w:val="00712953"/>
    <w:rsid w:val="0071488D"/>
    <w:rsid w:val="00723B3B"/>
    <w:rsid w:val="00725D3E"/>
    <w:rsid w:val="00730810"/>
    <w:rsid w:val="00731562"/>
    <w:rsid w:val="00732072"/>
    <w:rsid w:val="00734CFD"/>
    <w:rsid w:val="007365CB"/>
    <w:rsid w:val="00741119"/>
    <w:rsid w:val="00743C7C"/>
    <w:rsid w:val="007444C4"/>
    <w:rsid w:val="007450AF"/>
    <w:rsid w:val="00747466"/>
    <w:rsid w:val="00750E3A"/>
    <w:rsid w:val="007570EF"/>
    <w:rsid w:val="00762D2F"/>
    <w:rsid w:val="007635F9"/>
    <w:rsid w:val="00771092"/>
    <w:rsid w:val="00771F4E"/>
    <w:rsid w:val="00772969"/>
    <w:rsid w:val="00773765"/>
    <w:rsid w:val="00791910"/>
    <w:rsid w:val="00792DC8"/>
    <w:rsid w:val="00793F52"/>
    <w:rsid w:val="007A3BCC"/>
    <w:rsid w:val="007A413A"/>
    <w:rsid w:val="007A5741"/>
    <w:rsid w:val="007B6857"/>
    <w:rsid w:val="007B7998"/>
    <w:rsid w:val="007B7DBA"/>
    <w:rsid w:val="007C6183"/>
    <w:rsid w:val="007D4C04"/>
    <w:rsid w:val="007D62EF"/>
    <w:rsid w:val="007E0004"/>
    <w:rsid w:val="007E6258"/>
    <w:rsid w:val="007E66C4"/>
    <w:rsid w:val="007E6D81"/>
    <w:rsid w:val="007F1441"/>
    <w:rsid w:val="007F2F44"/>
    <w:rsid w:val="007F3E16"/>
    <w:rsid w:val="007F4A8A"/>
    <w:rsid w:val="007F5A94"/>
    <w:rsid w:val="007F68EA"/>
    <w:rsid w:val="007F70E2"/>
    <w:rsid w:val="00805462"/>
    <w:rsid w:val="00814BEE"/>
    <w:rsid w:val="00821ADE"/>
    <w:rsid w:val="0082268F"/>
    <w:rsid w:val="00823055"/>
    <w:rsid w:val="00827AAD"/>
    <w:rsid w:val="00832B99"/>
    <w:rsid w:val="00836222"/>
    <w:rsid w:val="00847488"/>
    <w:rsid w:val="00860589"/>
    <w:rsid w:val="00865B5F"/>
    <w:rsid w:val="008757DA"/>
    <w:rsid w:val="0087686D"/>
    <w:rsid w:val="00877719"/>
    <w:rsid w:val="0088060C"/>
    <w:rsid w:val="008809F8"/>
    <w:rsid w:val="00886404"/>
    <w:rsid w:val="00894D18"/>
    <w:rsid w:val="008954CF"/>
    <w:rsid w:val="00895C28"/>
    <w:rsid w:val="00896FE0"/>
    <w:rsid w:val="008A1F2A"/>
    <w:rsid w:val="008B0CA9"/>
    <w:rsid w:val="008B13A1"/>
    <w:rsid w:val="008B1524"/>
    <w:rsid w:val="008D00BC"/>
    <w:rsid w:val="008D3B0C"/>
    <w:rsid w:val="008D5600"/>
    <w:rsid w:val="008E0E8B"/>
    <w:rsid w:val="008E62F6"/>
    <w:rsid w:val="008F0D12"/>
    <w:rsid w:val="008F4EE8"/>
    <w:rsid w:val="00901C32"/>
    <w:rsid w:val="009167CB"/>
    <w:rsid w:val="009201DF"/>
    <w:rsid w:val="009220B1"/>
    <w:rsid w:val="00927F02"/>
    <w:rsid w:val="009311B0"/>
    <w:rsid w:val="0093181C"/>
    <w:rsid w:val="009327E4"/>
    <w:rsid w:val="0094013C"/>
    <w:rsid w:val="0094186E"/>
    <w:rsid w:val="00942B91"/>
    <w:rsid w:val="00942DB5"/>
    <w:rsid w:val="00945194"/>
    <w:rsid w:val="009467CB"/>
    <w:rsid w:val="0095236D"/>
    <w:rsid w:val="00953269"/>
    <w:rsid w:val="009572B1"/>
    <w:rsid w:val="00960F70"/>
    <w:rsid w:val="00962435"/>
    <w:rsid w:val="00964B9F"/>
    <w:rsid w:val="00965474"/>
    <w:rsid w:val="00965CAA"/>
    <w:rsid w:val="0098038E"/>
    <w:rsid w:val="009A415E"/>
    <w:rsid w:val="009A4E54"/>
    <w:rsid w:val="009A54A9"/>
    <w:rsid w:val="009A6410"/>
    <w:rsid w:val="009A7377"/>
    <w:rsid w:val="009A7664"/>
    <w:rsid w:val="009A7BD8"/>
    <w:rsid w:val="009B1B47"/>
    <w:rsid w:val="009B373D"/>
    <w:rsid w:val="009B5868"/>
    <w:rsid w:val="009B5D56"/>
    <w:rsid w:val="009B740F"/>
    <w:rsid w:val="009C17E7"/>
    <w:rsid w:val="009C3CE3"/>
    <w:rsid w:val="009D097C"/>
    <w:rsid w:val="009D4D12"/>
    <w:rsid w:val="009D6DC5"/>
    <w:rsid w:val="009E01F1"/>
    <w:rsid w:val="009E7250"/>
    <w:rsid w:val="009E733D"/>
    <w:rsid w:val="009E7342"/>
    <w:rsid w:val="009F0F02"/>
    <w:rsid w:val="009F63D2"/>
    <w:rsid w:val="00A010B4"/>
    <w:rsid w:val="00A0415C"/>
    <w:rsid w:val="00A04C9A"/>
    <w:rsid w:val="00A05475"/>
    <w:rsid w:val="00A05665"/>
    <w:rsid w:val="00A10367"/>
    <w:rsid w:val="00A107EE"/>
    <w:rsid w:val="00A11585"/>
    <w:rsid w:val="00A158D3"/>
    <w:rsid w:val="00A1660A"/>
    <w:rsid w:val="00A16D7C"/>
    <w:rsid w:val="00A237DD"/>
    <w:rsid w:val="00A25366"/>
    <w:rsid w:val="00A31F08"/>
    <w:rsid w:val="00A36A15"/>
    <w:rsid w:val="00A36FA7"/>
    <w:rsid w:val="00A40C17"/>
    <w:rsid w:val="00A4186B"/>
    <w:rsid w:val="00A45B12"/>
    <w:rsid w:val="00A471B6"/>
    <w:rsid w:val="00A50083"/>
    <w:rsid w:val="00A506E5"/>
    <w:rsid w:val="00A51AC5"/>
    <w:rsid w:val="00A51F62"/>
    <w:rsid w:val="00A53FC2"/>
    <w:rsid w:val="00A64B53"/>
    <w:rsid w:val="00A739BC"/>
    <w:rsid w:val="00A75DE2"/>
    <w:rsid w:val="00A75E0A"/>
    <w:rsid w:val="00A81ABE"/>
    <w:rsid w:val="00A82C33"/>
    <w:rsid w:val="00A859E6"/>
    <w:rsid w:val="00A85AA7"/>
    <w:rsid w:val="00A87429"/>
    <w:rsid w:val="00A9120C"/>
    <w:rsid w:val="00A9183D"/>
    <w:rsid w:val="00A95CCB"/>
    <w:rsid w:val="00A96AF4"/>
    <w:rsid w:val="00AA305E"/>
    <w:rsid w:val="00AA37AD"/>
    <w:rsid w:val="00AA6113"/>
    <w:rsid w:val="00AA7D95"/>
    <w:rsid w:val="00AB33A2"/>
    <w:rsid w:val="00AB67E1"/>
    <w:rsid w:val="00AB6CAB"/>
    <w:rsid w:val="00AB6DE5"/>
    <w:rsid w:val="00AC16B0"/>
    <w:rsid w:val="00AD0B8E"/>
    <w:rsid w:val="00AD10EF"/>
    <w:rsid w:val="00AD6BD2"/>
    <w:rsid w:val="00AF0EB1"/>
    <w:rsid w:val="00AF55AB"/>
    <w:rsid w:val="00AF77E4"/>
    <w:rsid w:val="00B013B7"/>
    <w:rsid w:val="00B06F40"/>
    <w:rsid w:val="00B0706B"/>
    <w:rsid w:val="00B12E58"/>
    <w:rsid w:val="00B1419D"/>
    <w:rsid w:val="00B208FD"/>
    <w:rsid w:val="00B20E91"/>
    <w:rsid w:val="00B21691"/>
    <w:rsid w:val="00B23D9A"/>
    <w:rsid w:val="00B3037C"/>
    <w:rsid w:val="00B31277"/>
    <w:rsid w:val="00B335A3"/>
    <w:rsid w:val="00B400B4"/>
    <w:rsid w:val="00B400C3"/>
    <w:rsid w:val="00B50960"/>
    <w:rsid w:val="00B51390"/>
    <w:rsid w:val="00B523F9"/>
    <w:rsid w:val="00B62BC6"/>
    <w:rsid w:val="00B63167"/>
    <w:rsid w:val="00B64C9A"/>
    <w:rsid w:val="00B67D8E"/>
    <w:rsid w:val="00B706A5"/>
    <w:rsid w:val="00B72242"/>
    <w:rsid w:val="00B77551"/>
    <w:rsid w:val="00B83E2D"/>
    <w:rsid w:val="00B9328D"/>
    <w:rsid w:val="00B9407B"/>
    <w:rsid w:val="00B945BE"/>
    <w:rsid w:val="00BA206C"/>
    <w:rsid w:val="00BA30B3"/>
    <w:rsid w:val="00BB59A5"/>
    <w:rsid w:val="00BC2679"/>
    <w:rsid w:val="00BC3D45"/>
    <w:rsid w:val="00BC50B0"/>
    <w:rsid w:val="00BC625F"/>
    <w:rsid w:val="00BC6FAD"/>
    <w:rsid w:val="00BD20CF"/>
    <w:rsid w:val="00BD3B4B"/>
    <w:rsid w:val="00BE36AC"/>
    <w:rsid w:val="00BE3CDF"/>
    <w:rsid w:val="00BE40C5"/>
    <w:rsid w:val="00BF0DE4"/>
    <w:rsid w:val="00BF1341"/>
    <w:rsid w:val="00BF7C3F"/>
    <w:rsid w:val="00C01380"/>
    <w:rsid w:val="00C05E0A"/>
    <w:rsid w:val="00C13ECD"/>
    <w:rsid w:val="00C15A54"/>
    <w:rsid w:val="00C2086F"/>
    <w:rsid w:val="00C3182C"/>
    <w:rsid w:val="00C31D8A"/>
    <w:rsid w:val="00C33229"/>
    <w:rsid w:val="00C33A23"/>
    <w:rsid w:val="00C40D6D"/>
    <w:rsid w:val="00C424E4"/>
    <w:rsid w:val="00C4292D"/>
    <w:rsid w:val="00C52BDE"/>
    <w:rsid w:val="00C53C03"/>
    <w:rsid w:val="00C57629"/>
    <w:rsid w:val="00C6097D"/>
    <w:rsid w:val="00C66301"/>
    <w:rsid w:val="00C679CD"/>
    <w:rsid w:val="00C70F5C"/>
    <w:rsid w:val="00C7128B"/>
    <w:rsid w:val="00C77FF0"/>
    <w:rsid w:val="00C81CC0"/>
    <w:rsid w:val="00C87444"/>
    <w:rsid w:val="00C91AE5"/>
    <w:rsid w:val="00CA7822"/>
    <w:rsid w:val="00CB5DFC"/>
    <w:rsid w:val="00CC3CAD"/>
    <w:rsid w:val="00CC73E4"/>
    <w:rsid w:val="00CD39A3"/>
    <w:rsid w:val="00CE3AFC"/>
    <w:rsid w:val="00CE472A"/>
    <w:rsid w:val="00CF03EF"/>
    <w:rsid w:val="00CF5F72"/>
    <w:rsid w:val="00D00CF4"/>
    <w:rsid w:val="00D013C0"/>
    <w:rsid w:val="00D10060"/>
    <w:rsid w:val="00D12196"/>
    <w:rsid w:val="00D1522D"/>
    <w:rsid w:val="00D16D8A"/>
    <w:rsid w:val="00D20C36"/>
    <w:rsid w:val="00D2282A"/>
    <w:rsid w:val="00D22AAB"/>
    <w:rsid w:val="00D23958"/>
    <w:rsid w:val="00D436B3"/>
    <w:rsid w:val="00D50576"/>
    <w:rsid w:val="00D51388"/>
    <w:rsid w:val="00D60BCC"/>
    <w:rsid w:val="00D63726"/>
    <w:rsid w:val="00D6694F"/>
    <w:rsid w:val="00D6761B"/>
    <w:rsid w:val="00D67CAA"/>
    <w:rsid w:val="00D702F2"/>
    <w:rsid w:val="00D71C44"/>
    <w:rsid w:val="00D86F82"/>
    <w:rsid w:val="00D87243"/>
    <w:rsid w:val="00D91A8B"/>
    <w:rsid w:val="00D9443E"/>
    <w:rsid w:val="00DA05B7"/>
    <w:rsid w:val="00DA3352"/>
    <w:rsid w:val="00DA4A9D"/>
    <w:rsid w:val="00DA4DE0"/>
    <w:rsid w:val="00DA4F38"/>
    <w:rsid w:val="00DB131F"/>
    <w:rsid w:val="00DB1A41"/>
    <w:rsid w:val="00DB7DCC"/>
    <w:rsid w:val="00DC5B18"/>
    <w:rsid w:val="00DD24AC"/>
    <w:rsid w:val="00DD3C73"/>
    <w:rsid w:val="00DD4F66"/>
    <w:rsid w:val="00DD521D"/>
    <w:rsid w:val="00DD6DE3"/>
    <w:rsid w:val="00DE0DE2"/>
    <w:rsid w:val="00DE2FB6"/>
    <w:rsid w:val="00DE691B"/>
    <w:rsid w:val="00DF0537"/>
    <w:rsid w:val="00DF1C49"/>
    <w:rsid w:val="00DF3685"/>
    <w:rsid w:val="00DF65CA"/>
    <w:rsid w:val="00E0103C"/>
    <w:rsid w:val="00E10130"/>
    <w:rsid w:val="00E12753"/>
    <w:rsid w:val="00E127D4"/>
    <w:rsid w:val="00E1302F"/>
    <w:rsid w:val="00E21D66"/>
    <w:rsid w:val="00E23AC7"/>
    <w:rsid w:val="00E257B7"/>
    <w:rsid w:val="00E25A1D"/>
    <w:rsid w:val="00E32CDD"/>
    <w:rsid w:val="00E3466F"/>
    <w:rsid w:val="00E34A1C"/>
    <w:rsid w:val="00E370C1"/>
    <w:rsid w:val="00E40961"/>
    <w:rsid w:val="00E52E57"/>
    <w:rsid w:val="00E53797"/>
    <w:rsid w:val="00E56B0F"/>
    <w:rsid w:val="00E57C27"/>
    <w:rsid w:val="00E645A3"/>
    <w:rsid w:val="00E65FED"/>
    <w:rsid w:val="00E735A5"/>
    <w:rsid w:val="00E74774"/>
    <w:rsid w:val="00E7733E"/>
    <w:rsid w:val="00E8040A"/>
    <w:rsid w:val="00E826BD"/>
    <w:rsid w:val="00E8634C"/>
    <w:rsid w:val="00E95C65"/>
    <w:rsid w:val="00E969EE"/>
    <w:rsid w:val="00EB5FD8"/>
    <w:rsid w:val="00EC0762"/>
    <w:rsid w:val="00EC7C9A"/>
    <w:rsid w:val="00ED1D23"/>
    <w:rsid w:val="00ED292D"/>
    <w:rsid w:val="00EE2591"/>
    <w:rsid w:val="00EF2D74"/>
    <w:rsid w:val="00F05C63"/>
    <w:rsid w:val="00F0766B"/>
    <w:rsid w:val="00F1324D"/>
    <w:rsid w:val="00F1480E"/>
    <w:rsid w:val="00F20E13"/>
    <w:rsid w:val="00F277E4"/>
    <w:rsid w:val="00F27DA6"/>
    <w:rsid w:val="00F32208"/>
    <w:rsid w:val="00F33557"/>
    <w:rsid w:val="00F34387"/>
    <w:rsid w:val="00F35BE4"/>
    <w:rsid w:val="00F36F75"/>
    <w:rsid w:val="00F43CC2"/>
    <w:rsid w:val="00F50D9F"/>
    <w:rsid w:val="00F51E46"/>
    <w:rsid w:val="00F52CB4"/>
    <w:rsid w:val="00F53531"/>
    <w:rsid w:val="00F5734B"/>
    <w:rsid w:val="00F5759B"/>
    <w:rsid w:val="00F618D9"/>
    <w:rsid w:val="00F6565E"/>
    <w:rsid w:val="00F65B8C"/>
    <w:rsid w:val="00F66A1D"/>
    <w:rsid w:val="00F714CC"/>
    <w:rsid w:val="00F76426"/>
    <w:rsid w:val="00F765BE"/>
    <w:rsid w:val="00F820E4"/>
    <w:rsid w:val="00F84DE5"/>
    <w:rsid w:val="00F90838"/>
    <w:rsid w:val="00F91B8C"/>
    <w:rsid w:val="00F91F9E"/>
    <w:rsid w:val="00F94B35"/>
    <w:rsid w:val="00FA332B"/>
    <w:rsid w:val="00FB3823"/>
    <w:rsid w:val="00FC3D76"/>
    <w:rsid w:val="00FD313E"/>
    <w:rsid w:val="00FD375D"/>
    <w:rsid w:val="00FD633A"/>
    <w:rsid w:val="00FE04DD"/>
    <w:rsid w:val="00FE2647"/>
    <w:rsid w:val="00FE7512"/>
    <w:rsid w:val="00FF7D66"/>
    <w:rsid w:val="01849E3E"/>
    <w:rsid w:val="01E868AE"/>
    <w:rsid w:val="026B8A7A"/>
    <w:rsid w:val="06C82943"/>
    <w:rsid w:val="07FD54C6"/>
    <w:rsid w:val="0AE6F311"/>
    <w:rsid w:val="0B125827"/>
    <w:rsid w:val="0B1581A4"/>
    <w:rsid w:val="0BEEFB80"/>
    <w:rsid w:val="0D370DAB"/>
    <w:rsid w:val="0DBC9B56"/>
    <w:rsid w:val="0E23F0D9"/>
    <w:rsid w:val="11723305"/>
    <w:rsid w:val="11ACEDE0"/>
    <w:rsid w:val="11F537DE"/>
    <w:rsid w:val="1215D1F4"/>
    <w:rsid w:val="123A967E"/>
    <w:rsid w:val="13E27BB8"/>
    <w:rsid w:val="1442D569"/>
    <w:rsid w:val="154D72B6"/>
    <w:rsid w:val="16584D26"/>
    <w:rsid w:val="1797EB47"/>
    <w:rsid w:val="18851378"/>
    <w:rsid w:val="197FA303"/>
    <w:rsid w:val="1AAF7C6F"/>
    <w:rsid w:val="1B294BB8"/>
    <w:rsid w:val="1C801FAC"/>
    <w:rsid w:val="1D44DD6F"/>
    <w:rsid w:val="1DF485D2"/>
    <w:rsid w:val="1F65B294"/>
    <w:rsid w:val="212945F7"/>
    <w:rsid w:val="22AFDDC9"/>
    <w:rsid w:val="2688972B"/>
    <w:rsid w:val="26F82750"/>
    <w:rsid w:val="290CEDC4"/>
    <w:rsid w:val="29BAD6C9"/>
    <w:rsid w:val="29C46BDD"/>
    <w:rsid w:val="2C03E698"/>
    <w:rsid w:val="2E7B60D3"/>
    <w:rsid w:val="2E7EF438"/>
    <w:rsid w:val="2F8CCE8F"/>
    <w:rsid w:val="3054F2BC"/>
    <w:rsid w:val="30F5AB17"/>
    <w:rsid w:val="31D58703"/>
    <w:rsid w:val="329597C4"/>
    <w:rsid w:val="3390CF54"/>
    <w:rsid w:val="341161FB"/>
    <w:rsid w:val="349D259C"/>
    <w:rsid w:val="3614528A"/>
    <w:rsid w:val="362B0A44"/>
    <w:rsid w:val="36A9AD7B"/>
    <w:rsid w:val="3763DA7E"/>
    <w:rsid w:val="378677DF"/>
    <w:rsid w:val="381D12E6"/>
    <w:rsid w:val="391C55DA"/>
    <w:rsid w:val="3A1F554D"/>
    <w:rsid w:val="3A82CD88"/>
    <w:rsid w:val="3ABE18A1"/>
    <w:rsid w:val="3B3C1D43"/>
    <w:rsid w:val="3B79B508"/>
    <w:rsid w:val="407B2F63"/>
    <w:rsid w:val="4097B56D"/>
    <w:rsid w:val="439BD796"/>
    <w:rsid w:val="4567C8E3"/>
    <w:rsid w:val="480E3691"/>
    <w:rsid w:val="48606613"/>
    <w:rsid w:val="50C44511"/>
    <w:rsid w:val="51414E21"/>
    <w:rsid w:val="521E1885"/>
    <w:rsid w:val="52A74B78"/>
    <w:rsid w:val="55AC93BF"/>
    <w:rsid w:val="56243954"/>
    <w:rsid w:val="5627E336"/>
    <w:rsid w:val="56F189A8"/>
    <w:rsid w:val="594EED5E"/>
    <w:rsid w:val="595461A0"/>
    <w:rsid w:val="5BCECDB2"/>
    <w:rsid w:val="5CA6BD14"/>
    <w:rsid w:val="5D60CB2C"/>
    <w:rsid w:val="5DD26614"/>
    <w:rsid w:val="5EDA0B41"/>
    <w:rsid w:val="60009879"/>
    <w:rsid w:val="60307FC0"/>
    <w:rsid w:val="608EA746"/>
    <w:rsid w:val="60986BEE"/>
    <w:rsid w:val="6193ADA9"/>
    <w:rsid w:val="62E92B13"/>
    <w:rsid w:val="647BAAF7"/>
    <w:rsid w:val="64BDD98C"/>
    <w:rsid w:val="64DAC832"/>
    <w:rsid w:val="65C44F9C"/>
    <w:rsid w:val="66CD004C"/>
    <w:rsid w:val="67626E00"/>
    <w:rsid w:val="697357A2"/>
    <w:rsid w:val="6BA1E128"/>
    <w:rsid w:val="6C5F1F6B"/>
    <w:rsid w:val="6C90119E"/>
    <w:rsid w:val="6CBE7972"/>
    <w:rsid w:val="6D65B41F"/>
    <w:rsid w:val="6DB8A49C"/>
    <w:rsid w:val="7324FAAF"/>
    <w:rsid w:val="74D7C39F"/>
    <w:rsid w:val="75C3990C"/>
    <w:rsid w:val="783ED14D"/>
    <w:rsid w:val="79177E68"/>
    <w:rsid w:val="79A92F8E"/>
    <w:rsid w:val="7B113A19"/>
    <w:rsid w:val="7B8413B0"/>
    <w:rsid w:val="7CD4CFD6"/>
    <w:rsid w:val="7F15787C"/>
    <w:rsid w:val="7F8B0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669"/>
  <w15:chartTrackingRefBased/>
  <w15:docId w15:val="{56133AF3-C369-4746-B66A-FB428ED4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8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450484"/>
    <w:pPr>
      <w:keepNext/>
      <w:numPr>
        <w:numId w:val="1"/>
      </w:numPr>
      <w:spacing w:before="60" w:after="120"/>
      <w:outlineLvl w:val="0"/>
    </w:pPr>
    <w:rPr>
      <w:rFonts w:ascii="Calibri" w:hAnsi="Calibri" w:cs="Calibri"/>
      <w:b/>
      <w:caps/>
      <w:sz w:val="22"/>
      <w:szCs w:val="22"/>
      <w:lang w:eastAsia="ja-JP"/>
    </w:rPr>
  </w:style>
  <w:style w:type="paragraph" w:styleId="Heading2">
    <w:name w:val="heading 2"/>
    <w:basedOn w:val="Normal"/>
    <w:next w:val="Normal"/>
    <w:link w:val="Heading2Char"/>
    <w:semiHidden/>
    <w:unhideWhenUsed/>
    <w:qFormat/>
    <w:rsid w:val="00450484"/>
    <w:pPr>
      <w:keepNext/>
      <w:numPr>
        <w:ilvl w:val="1"/>
        <w:numId w:val="1"/>
      </w:numPr>
      <w:spacing w:before="60" w:after="60"/>
      <w:outlineLvl w:val="1"/>
    </w:pPr>
    <w:rPr>
      <w:rFonts w:ascii="Calibri" w:hAnsi="Calibri"/>
      <w:b/>
      <w:smallCaps/>
      <w:sz w:val="22"/>
      <w:szCs w:val="20"/>
      <w:lang w:eastAsia="ja-JP"/>
    </w:rPr>
  </w:style>
  <w:style w:type="paragraph" w:styleId="Heading3">
    <w:name w:val="heading 3"/>
    <w:basedOn w:val="Normal"/>
    <w:next w:val="Normal"/>
    <w:link w:val="Heading3Char"/>
    <w:semiHidden/>
    <w:unhideWhenUsed/>
    <w:qFormat/>
    <w:rsid w:val="00450484"/>
    <w:pPr>
      <w:keepNext/>
      <w:numPr>
        <w:ilvl w:val="2"/>
        <w:numId w:val="1"/>
      </w:numPr>
      <w:spacing w:before="60" w:after="60"/>
      <w:outlineLvl w:val="2"/>
    </w:pPr>
    <w:rPr>
      <w:rFonts w:ascii="Calibri" w:hAnsi="Calibri"/>
      <w:b/>
      <w:smallCaps/>
      <w:sz w:val="22"/>
      <w:szCs w:val="20"/>
      <w:lang w:eastAsia="ja-JP"/>
    </w:rPr>
  </w:style>
  <w:style w:type="paragraph" w:styleId="Heading4">
    <w:name w:val="heading 4"/>
    <w:basedOn w:val="Normal"/>
    <w:next w:val="Normal"/>
    <w:link w:val="Heading4Char"/>
    <w:uiPriority w:val="9"/>
    <w:unhideWhenUsed/>
    <w:qFormat/>
    <w:rsid w:val="00450484"/>
    <w:pPr>
      <w:widowControl w:val="0"/>
      <w:numPr>
        <w:ilvl w:val="3"/>
        <w:numId w:val="1"/>
      </w:numPr>
      <w:spacing w:before="60" w:after="60"/>
      <w:outlineLvl w:val="3"/>
    </w:pPr>
    <w:rPr>
      <w:rFonts w:ascii="Calibri" w:hAnsi="Calibri"/>
      <w:b/>
      <w:sz w:val="22"/>
      <w:szCs w:val="20"/>
      <w:lang w:eastAsia="ja-JP"/>
    </w:rPr>
  </w:style>
  <w:style w:type="paragraph" w:styleId="Heading5">
    <w:name w:val="heading 5"/>
    <w:basedOn w:val="Normal"/>
    <w:next w:val="Normal"/>
    <w:link w:val="Heading5Char"/>
    <w:uiPriority w:val="9"/>
    <w:unhideWhenUsed/>
    <w:qFormat/>
    <w:rsid w:val="00450484"/>
    <w:pPr>
      <w:keepNext/>
      <w:numPr>
        <w:ilvl w:val="4"/>
        <w:numId w:val="1"/>
      </w:numPr>
      <w:tabs>
        <w:tab w:val="left" w:pos="851"/>
        <w:tab w:val="left" w:pos="2269"/>
      </w:tabs>
      <w:spacing w:before="60" w:after="120"/>
      <w:outlineLvl w:val="4"/>
    </w:pPr>
    <w:rPr>
      <w:rFonts w:ascii="Helvetica" w:hAnsi="Helvetica"/>
      <w:b/>
      <w:sz w:val="32"/>
      <w:szCs w:val="20"/>
      <w:lang w:val="en-GB" w:eastAsia="ja-JP"/>
    </w:rPr>
  </w:style>
  <w:style w:type="paragraph" w:styleId="Heading6">
    <w:name w:val="heading 6"/>
    <w:basedOn w:val="Normal"/>
    <w:next w:val="NormalIndent"/>
    <w:link w:val="Heading6Char"/>
    <w:uiPriority w:val="9"/>
    <w:semiHidden/>
    <w:unhideWhenUsed/>
    <w:qFormat/>
    <w:rsid w:val="00450484"/>
    <w:pPr>
      <w:keepNext/>
      <w:numPr>
        <w:ilvl w:val="5"/>
        <w:numId w:val="1"/>
      </w:numPr>
      <w:tabs>
        <w:tab w:val="left" w:pos="851"/>
      </w:tabs>
      <w:spacing w:before="360" w:after="240"/>
      <w:outlineLvl w:val="5"/>
    </w:pPr>
    <w:rPr>
      <w:rFonts w:ascii="Helvetica" w:hAnsi="Helvetica"/>
      <w:b/>
      <w:sz w:val="28"/>
      <w:szCs w:val="20"/>
      <w:lang w:val="de-DE" w:eastAsia="ja-JP"/>
    </w:rPr>
  </w:style>
  <w:style w:type="paragraph" w:styleId="Heading7">
    <w:name w:val="heading 7"/>
    <w:basedOn w:val="Normal"/>
    <w:next w:val="Normal"/>
    <w:link w:val="Heading7Char"/>
    <w:uiPriority w:val="9"/>
    <w:semiHidden/>
    <w:unhideWhenUsed/>
    <w:qFormat/>
    <w:rsid w:val="00450484"/>
    <w:pPr>
      <w:numPr>
        <w:ilvl w:val="6"/>
        <w:numId w:val="1"/>
      </w:numPr>
      <w:spacing w:before="240" w:after="60"/>
      <w:outlineLvl w:val="6"/>
    </w:pPr>
    <w:rPr>
      <w:rFonts w:ascii="Arial" w:hAnsi="Arial"/>
      <w:sz w:val="20"/>
      <w:szCs w:val="20"/>
      <w:lang w:eastAsia="ja-JP"/>
    </w:rPr>
  </w:style>
  <w:style w:type="paragraph" w:styleId="Heading8">
    <w:name w:val="heading 8"/>
    <w:basedOn w:val="Normal"/>
    <w:next w:val="Normal"/>
    <w:link w:val="Heading8Char"/>
    <w:uiPriority w:val="9"/>
    <w:semiHidden/>
    <w:unhideWhenUsed/>
    <w:qFormat/>
    <w:rsid w:val="00450484"/>
    <w:pPr>
      <w:numPr>
        <w:ilvl w:val="7"/>
        <w:numId w:val="1"/>
      </w:numPr>
      <w:spacing w:before="240" w:after="60"/>
      <w:outlineLvl w:val="7"/>
    </w:pPr>
    <w:rPr>
      <w:rFonts w:ascii="Arial" w:hAnsi="Arial"/>
      <w:i/>
      <w:sz w:val="20"/>
      <w:szCs w:val="20"/>
      <w:lang w:eastAsia="ja-JP"/>
    </w:rPr>
  </w:style>
  <w:style w:type="paragraph" w:styleId="Heading9">
    <w:name w:val="heading 9"/>
    <w:basedOn w:val="Normal"/>
    <w:next w:val="Normal"/>
    <w:link w:val="Heading9Char"/>
    <w:uiPriority w:val="9"/>
    <w:semiHidden/>
    <w:unhideWhenUsed/>
    <w:qFormat/>
    <w:rsid w:val="00450484"/>
    <w:pPr>
      <w:numPr>
        <w:ilvl w:val="8"/>
        <w:numId w:val="1"/>
      </w:numPr>
      <w:spacing w:before="240" w:after="60"/>
      <w:outlineLvl w:val="8"/>
    </w:pPr>
    <w:rPr>
      <w:rFonts w:ascii="Arial" w:hAnsi="Arial"/>
      <w:i/>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484"/>
    <w:rPr>
      <w:rFonts w:ascii="Calibri" w:eastAsia="Times New Roman" w:hAnsi="Calibri" w:cs="Calibri"/>
      <w:b/>
      <w:caps/>
      <w:lang w:eastAsia="ja-JP"/>
    </w:rPr>
  </w:style>
  <w:style w:type="character" w:customStyle="1" w:styleId="Heading2Char">
    <w:name w:val="Heading 2 Char"/>
    <w:basedOn w:val="DefaultParagraphFont"/>
    <w:link w:val="Heading2"/>
    <w:semiHidden/>
    <w:rsid w:val="00450484"/>
    <w:rPr>
      <w:rFonts w:ascii="Calibri" w:eastAsia="Times New Roman" w:hAnsi="Calibri" w:cs="Times New Roman"/>
      <w:b/>
      <w:smallCaps/>
      <w:szCs w:val="20"/>
      <w:lang w:eastAsia="ja-JP"/>
    </w:rPr>
  </w:style>
  <w:style w:type="character" w:customStyle="1" w:styleId="Heading3Char">
    <w:name w:val="Heading 3 Char"/>
    <w:basedOn w:val="DefaultParagraphFont"/>
    <w:link w:val="Heading3"/>
    <w:semiHidden/>
    <w:rsid w:val="00450484"/>
    <w:rPr>
      <w:rFonts w:ascii="Calibri" w:eastAsia="Times New Roman" w:hAnsi="Calibri" w:cs="Times New Roman"/>
      <w:b/>
      <w:smallCaps/>
      <w:szCs w:val="20"/>
      <w:lang w:eastAsia="ja-JP"/>
    </w:rPr>
  </w:style>
  <w:style w:type="character" w:customStyle="1" w:styleId="Heading4Char">
    <w:name w:val="Heading 4 Char"/>
    <w:basedOn w:val="DefaultParagraphFont"/>
    <w:link w:val="Heading4"/>
    <w:semiHidden/>
    <w:rsid w:val="00450484"/>
    <w:rPr>
      <w:rFonts w:ascii="Calibri" w:eastAsia="Times New Roman" w:hAnsi="Calibri" w:cs="Times New Roman"/>
      <w:b/>
      <w:szCs w:val="20"/>
      <w:lang w:eastAsia="ja-JP"/>
    </w:rPr>
  </w:style>
  <w:style w:type="character" w:customStyle="1" w:styleId="Heading5Char">
    <w:name w:val="Heading 5 Char"/>
    <w:basedOn w:val="DefaultParagraphFont"/>
    <w:link w:val="Heading5"/>
    <w:semiHidden/>
    <w:rsid w:val="00450484"/>
    <w:rPr>
      <w:rFonts w:ascii="Helvetica" w:eastAsia="Times New Roman" w:hAnsi="Helvetica" w:cs="Times New Roman"/>
      <w:b/>
      <w:sz w:val="32"/>
      <w:szCs w:val="20"/>
      <w:lang w:val="en-GB" w:eastAsia="ja-JP"/>
    </w:rPr>
  </w:style>
  <w:style w:type="character" w:customStyle="1" w:styleId="Heading6Char">
    <w:name w:val="Heading 6 Char"/>
    <w:basedOn w:val="DefaultParagraphFont"/>
    <w:link w:val="Heading6"/>
    <w:semiHidden/>
    <w:rsid w:val="00450484"/>
    <w:rPr>
      <w:rFonts w:ascii="Helvetica" w:eastAsia="Times New Roman" w:hAnsi="Helvetica" w:cs="Times New Roman"/>
      <w:b/>
      <w:sz w:val="28"/>
      <w:szCs w:val="20"/>
      <w:lang w:val="de-DE" w:eastAsia="ja-JP"/>
    </w:rPr>
  </w:style>
  <w:style w:type="character" w:customStyle="1" w:styleId="Heading7Char">
    <w:name w:val="Heading 7 Char"/>
    <w:basedOn w:val="DefaultParagraphFont"/>
    <w:link w:val="Heading7"/>
    <w:semiHidden/>
    <w:rsid w:val="00450484"/>
    <w:rPr>
      <w:rFonts w:ascii="Arial" w:eastAsia="Times New Roman" w:hAnsi="Arial" w:cs="Times New Roman"/>
      <w:sz w:val="20"/>
      <w:szCs w:val="20"/>
      <w:lang w:eastAsia="ja-JP"/>
    </w:rPr>
  </w:style>
  <w:style w:type="character" w:customStyle="1" w:styleId="Heading8Char">
    <w:name w:val="Heading 8 Char"/>
    <w:basedOn w:val="DefaultParagraphFont"/>
    <w:link w:val="Heading8"/>
    <w:semiHidden/>
    <w:rsid w:val="00450484"/>
    <w:rPr>
      <w:rFonts w:ascii="Arial" w:eastAsia="Times New Roman" w:hAnsi="Arial" w:cs="Times New Roman"/>
      <w:i/>
      <w:sz w:val="20"/>
      <w:szCs w:val="20"/>
      <w:lang w:eastAsia="ja-JP"/>
    </w:rPr>
  </w:style>
  <w:style w:type="character" w:customStyle="1" w:styleId="Heading9Char">
    <w:name w:val="Heading 9 Char"/>
    <w:basedOn w:val="DefaultParagraphFont"/>
    <w:link w:val="Heading9"/>
    <w:semiHidden/>
    <w:rsid w:val="00450484"/>
    <w:rPr>
      <w:rFonts w:ascii="Arial" w:eastAsia="Times New Roman" w:hAnsi="Arial" w:cs="Times New Roman"/>
      <w:i/>
      <w:sz w:val="18"/>
      <w:szCs w:val="20"/>
      <w:lang w:eastAsia="ja-JP"/>
    </w:rPr>
  </w:style>
  <w:style w:type="paragraph" w:styleId="Header">
    <w:name w:val="header"/>
    <w:basedOn w:val="Normal"/>
    <w:link w:val="HeaderChar"/>
    <w:uiPriority w:val="99"/>
    <w:unhideWhenUsed/>
    <w:rsid w:val="00450484"/>
    <w:pPr>
      <w:tabs>
        <w:tab w:val="center" w:pos="4513"/>
        <w:tab w:val="right" w:pos="9026"/>
      </w:tabs>
    </w:pPr>
  </w:style>
  <w:style w:type="character" w:customStyle="1" w:styleId="HeaderChar">
    <w:name w:val="Header Char"/>
    <w:basedOn w:val="DefaultParagraphFont"/>
    <w:link w:val="Header"/>
    <w:uiPriority w:val="99"/>
    <w:rsid w:val="00450484"/>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450484"/>
    <w:pPr>
      <w:tabs>
        <w:tab w:val="center" w:pos="4513"/>
        <w:tab w:val="right" w:pos="9026"/>
      </w:tabs>
    </w:pPr>
  </w:style>
  <w:style w:type="character" w:customStyle="1" w:styleId="FooterChar">
    <w:name w:val="Footer Char"/>
    <w:basedOn w:val="DefaultParagraphFont"/>
    <w:link w:val="Footer"/>
    <w:rsid w:val="00450484"/>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rsid w:val="00450484"/>
    <w:pPr>
      <w:spacing w:before="360"/>
    </w:pPr>
    <w:rPr>
      <w:rFonts w:ascii="Arial" w:hAnsi="Arial" w:cs="Arial"/>
      <w:b/>
      <w:bCs/>
      <w:caps/>
    </w:rPr>
  </w:style>
  <w:style w:type="character" w:styleId="Hyperlink">
    <w:name w:val="Hyperlink"/>
    <w:uiPriority w:val="99"/>
    <w:rsid w:val="00450484"/>
    <w:rPr>
      <w:color w:val="0000FF"/>
      <w:u w:val="single"/>
    </w:rPr>
  </w:style>
  <w:style w:type="character" w:styleId="PageNumber">
    <w:name w:val="page number"/>
    <w:basedOn w:val="DefaultParagraphFont"/>
    <w:rsid w:val="00450484"/>
  </w:style>
  <w:style w:type="paragraph" w:styleId="BalloonText">
    <w:name w:val="Balloon Text"/>
    <w:basedOn w:val="Normal"/>
    <w:link w:val="BalloonTextChar"/>
    <w:rsid w:val="00450484"/>
    <w:rPr>
      <w:rFonts w:ascii="Segoe UI" w:hAnsi="Segoe UI" w:cs="Segoe UI"/>
      <w:sz w:val="18"/>
      <w:szCs w:val="18"/>
    </w:rPr>
  </w:style>
  <w:style w:type="character" w:customStyle="1" w:styleId="BalloonTextChar">
    <w:name w:val="Balloon Text Char"/>
    <w:basedOn w:val="DefaultParagraphFont"/>
    <w:link w:val="BalloonText"/>
    <w:rsid w:val="00450484"/>
    <w:rPr>
      <w:rFonts w:ascii="Segoe UI" w:eastAsia="Times New Roman" w:hAnsi="Segoe UI" w:cs="Segoe UI"/>
      <w:sz w:val="18"/>
      <w:szCs w:val="18"/>
      <w:lang w:eastAsia="en-AU"/>
    </w:rPr>
  </w:style>
  <w:style w:type="paragraph" w:customStyle="1" w:styleId="Bullet">
    <w:name w:val="Bullet"/>
    <w:basedOn w:val="Normal"/>
    <w:rsid w:val="00450484"/>
    <w:pPr>
      <w:spacing w:before="80" w:after="80"/>
      <w:ind w:left="1135" w:hanging="284"/>
    </w:pPr>
    <w:rPr>
      <w:rFonts w:ascii="Calibri" w:hAnsi="Calibri"/>
      <w:sz w:val="22"/>
      <w:szCs w:val="20"/>
      <w:lang w:eastAsia="ja-JP"/>
    </w:rPr>
  </w:style>
  <w:style w:type="paragraph" w:customStyle="1" w:styleId="NormalItalic">
    <w:name w:val="Normal Italic"/>
    <w:basedOn w:val="Normal"/>
    <w:next w:val="Normal"/>
    <w:rsid w:val="00450484"/>
    <w:pPr>
      <w:spacing w:before="60" w:after="60"/>
    </w:pPr>
    <w:rPr>
      <w:rFonts w:ascii="Calibri" w:hAnsi="Calibri"/>
      <w:i/>
      <w:sz w:val="22"/>
      <w:szCs w:val="20"/>
      <w:lang w:eastAsia="ja-JP"/>
    </w:rPr>
  </w:style>
  <w:style w:type="paragraph" w:styleId="NormalIndent">
    <w:name w:val="Normal Indent"/>
    <w:basedOn w:val="Normal"/>
    <w:rsid w:val="00450484"/>
    <w:pPr>
      <w:ind w:left="720"/>
    </w:pPr>
  </w:style>
  <w:style w:type="character" w:styleId="FollowedHyperlink">
    <w:name w:val="FollowedHyperlink"/>
    <w:rsid w:val="00450484"/>
    <w:rPr>
      <w:color w:val="954F72"/>
      <w:u w:val="single"/>
    </w:rPr>
  </w:style>
  <w:style w:type="character" w:styleId="CommentReference">
    <w:name w:val="annotation reference"/>
    <w:uiPriority w:val="99"/>
    <w:rsid w:val="00450484"/>
    <w:rPr>
      <w:sz w:val="16"/>
      <w:szCs w:val="16"/>
    </w:rPr>
  </w:style>
  <w:style w:type="paragraph" w:styleId="CommentText">
    <w:name w:val="annotation text"/>
    <w:basedOn w:val="Normal"/>
    <w:link w:val="CommentTextChar"/>
    <w:rsid w:val="00450484"/>
    <w:rPr>
      <w:sz w:val="20"/>
      <w:szCs w:val="20"/>
    </w:rPr>
  </w:style>
  <w:style w:type="character" w:customStyle="1" w:styleId="CommentTextChar">
    <w:name w:val="Comment Text Char"/>
    <w:basedOn w:val="DefaultParagraphFont"/>
    <w:link w:val="CommentText"/>
    <w:rsid w:val="0045048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450484"/>
    <w:rPr>
      <w:b/>
      <w:bCs/>
    </w:rPr>
  </w:style>
  <w:style w:type="character" w:customStyle="1" w:styleId="CommentSubjectChar">
    <w:name w:val="Comment Subject Char"/>
    <w:basedOn w:val="CommentTextChar"/>
    <w:link w:val="CommentSubject"/>
    <w:rsid w:val="00450484"/>
    <w:rPr>
      <w:rFonts w:ascii="Times New Roman" w:eastAsia="Times New Roman" w:hAnsi="Times New Roman" w:cs="Times New Roman"/>
      <w:b/>
      <w:bCs/>
      <w:sz w:val="20"/>
      <w:szCs w:val="20"/>
      <w:lang w:eastAsia="en-AU"/>
    </w:rPr>
  </w:style>
  <w:style w:type="paragraph" w:styleId="Revision">
    <w:name w:val="Revision"/>
    <w:hidden/>
    <w:uiPriority w:val="99"/>
    <w:semiHidden/>
    <w:rsid w:val="00450484"/>
    <w:pPr>
      <w:spacing w:after="0" w:line="240" w:lineRule="auto"/>
    </w:pPr>
    <w:rPr>
      <w:rFonts w:ascii="Times New Roman" w:eastAsia="Times New Roman" w:hAnsi="Times New Roman" w:cs="Times New Roman"/>
      <w:sz w:val="24"/>
      <w:szCs w:val="24"/>
      <w:lang w:eastAsia="en-AU"/>
    </w:rPr>
  </w:style>
  <w:style w:type="character" w:styleId="UnresolvedMention">
    <w:name w:val="Unresolved Mention"/>
    <w:uiPriority w:val="99"/>
    <w:semiHidden/>
    <w:unhideWhenUsed/>
    <w:rsid w:val="00450484"/>
    <w:rPr>
      <w:color w:val="605E5C"/>
      <w:shd w:val="clear" w:color="auto" w:fill="E1DFDD"/>
    </w:rPr>
  </w:style>
  <w:style w:type="paragraph" w:styleId="ListParagraph">
    <w:name w:val="List Paragraph"/>
    <w:aliases w:val="Recommendation,List Paragraph1,List Paragraph11,Bullet point,CV text,Dot pt,F5 List Paragraph,FooterText,L,List Paragraph111,List Paragraph2,Medium Grid 1 - Accent 21,NAST Quote,NFP GP Bulleted List,Numbered Paragraph,列,Table text,0Bullet"/>
    <w:basedOn w:val="Normal"/>
    <w:link w:val="ListParagraphChar"/>
    <w:uiPriority w:val="34"/>
    <w:qFormat/>
    <w:rsid w:val="00450484"/>
    <w:pPr>
      <w:numPr>
        <w:numId w:val="3"/>
      </w:numPr>
      <w:spacing w:after="120"/>
    </w:pPr>
  </w:style>
  <w:style w:type="table" w:styleId="TableGrid">
    <w:name w:val="Table Grid"/>
    <w:basedOn w:val="TableNormal"/>
    <w:rsid w:val="0045048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50484"/>
    <w:pPr>
      <w:jc w:val="center"/>
    </w:pPr>
  </w:style>
  <w:style w:type="character" w:customStyle="1" w:styleId="EndNoteBibliographyTitleChar">
    <w:name w:val="EndNote Bibliography Title Char"/>
    <w:link w:val="EndNoteBibliographyTitle"/>
    <w:rsid w:val="00450484"/>
    <w:rPr>
      <w:rFonts w:ascii="Times New Roman" w:eastAsia="Times New Roman" w:hAnsi="Times New Roman" w:cs="Times New Roman"/>
      <w:sz w:val="24"/>
      <w:szCs w:val="24"/>
      <w:lang w:eastAsia="en-AU"/>
    </w:rPr>
  </w:style>
  <w:style w:type="paragraph" w:customStyle="1" w:styleId="EndNoteBibliography">
    <w:name w:val="EndNote Bibliography"/>
    <w:basedOn w:val="Normal"/>
    <w:link w:val="EndNoteBibliographyChar"/>
    <w:rsid w:val="00450484"/>
  </w:style>
  <w:style w:type="character" w:customStyle="1" w:styleId="EndNoteBibliographyChar">
    <w:name w:val="EndNote Bibliography Char"/>
    <w:link w:val="EndNoteBibliography"/>
    <w:rsid w:val="00450484"/>
    <w:rPr>
      <w:rFonts w:ascii="Times New Roman" w:eastAsia="Times New Roman" w:hAnsi="Times New Roman" w:cs="Times New Roman"/>
      <w:sz w:val="24"/>
      <w:szCs w:val="24"/>
      <w:lang w:eastAsia="en-AU"/>
    </w:rPr>
  </w:style>
  <w:style w:type="character" w:customStyle="1" w:styleId="ListParagraphChar">
    <w:name w:val="List Paragraph Char"/>
    <w:aliases w:val="Recommendation Char,List Paragraph1 Char,List Paragraph11 Char,Bullet point Char,CV text Char,Dot pt Char,F5 List Paragraph Char,FooterText Char,L Char,List Paragraph111 Char,List Paragraph2 Char,Medium Grid 1 - Accent 21 Char,列 Char"/>
    <w:basedOn w:val="DefaultParagraphFont"/>
    <w:link w:val="ListParagraph"/>
    <w:uiPriority w:val="34"/>
    <w:qFormat/>
    <w:locked/>
    <w:rsid w:val="00450484"/>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50484"/>
  </w:style>
  <w:style w:type="paragraph" w:customStyle="1" w:styleId="Numberedheading31">
    <w:name w:val="Numbered heading 3.1"/>
    <w:basedOn w:val="Normal"/>
    <w:qFormat/>
    <w:rsid w:val="002E66AF"/>
    <w:pPr>
      <w:tabs>
        <w:tab w:val="num" w:pos="360"/>
      </w:tabs>
      <w:spacing w:before="240" w:after="120"/>
      <w:ind w:left="720" w:hanging="360"/>
    </w:pPr>
    <w:rPr>
      <w:rFonts w:ascii="Arial" w:eastAsia="Calibri" w:hAnsi="Arial" w:cs="Arial"/>
      <w:bCs/>
      <w:caps/>
      <w:color w:val="006CAB"/>
      <w:sz w:val="28"/>
      <w:szCs w:val="56"/>
      <w:lang w:val="en-US" w:eastAsia="en-US"/>
    </w:rPr>
  </w:style>
  <w:style w:type="paragraph" w:customStyle="1" w:styleId="Numberedbodycopy">
    <w:name w:val="Numbered body copy"/>
    <w:basedOn w:val="Normal"/>
    <w:qFormat/>
    <w:rsid w:val="002E66AF"/>
    <w:pPr>
      <w:tabs>
        <w:tab w:val="num" w:pos="360"/>
      </w:tabs>
      <w:spacing w:after="120"/>
      <w:ind w:left="2160" w:hanging="360"/>
      <w:jc w:val="both"/>
    </w:pPr>
    <w:rPr>
      <w:rFonts w:ascii="Arial" w:eastAsia="Calibri" w:hAnsi="Arial" w:cs="Arial"/>
      <w:bCs/>
      <w:sz w:val="18"/>
      <w:szCs w:val="20"/>
      <w:lang w:val="en-US" w:eastAsia="en-US"/>
    </w:rPr>
  </w:style>
  <w:style w:type="paragraph" w:customStyle="1" w:styleId="Numberedsub-sectionheading41">
    <w:name w:val="Numbered sub-section heading 4.1"/>
    <w:basedOn w:val="Numberedbodycopy"/>
    <w:qFormat/>
    <w:rsid w:val="002E66AF"/>
    <w:pPr>
      <w:spacing w:before="240"/>
      <w:ind w:left="1440"/>
    </w:pPr>
    <w:rPr>
      <w:b/>
      <w:color w:val="006CAB"/>
    </w:rPr>
  </w:style>
  <w:style w:type="paragraph" w:customStyle="1" w:styleId="Bodycopy">
    <w:name w:val="Body copy"/>
    <w:basedOn w:val="Normal"/>
    <w:link w:val="BodycopyChar"/>
    <w:qFormat/>
    <w:rsid w:val="00C87444"/>
    <w:pPr>
      <w:spacing w:after="120"/>
      <w:jc w:val="both"/>
    </w:pPr>
    <w:rPr>
      <w:rFonts w:ascii="Arial" w:eastAsia="Calibri" w:hAnsi="Arial" w:cs="Arial"/>
      <w:bCs/>
      <w:sz w:val="18"/>
      <w:szCs w:val="20"/>
      <w:lang w:eastAsia="en-US"/>
    </w:rPr>
  </w:style>
  <w:style w:type="character" w:customStyle="1" w:styleId="BodycopyChar">
    <w:name w:val="Body copy Char"/>
    <w:basedOn w:val="DefaultParagraphFont"/>
    <w:link w:val="Bodycopy"/>
    <w:rsid w:val="00C87444"/>
    <w:rPr>
      <w:rFonts w:ascii="Arial" w:eastAsia="Calibri" w:hAnsi="Arial" w:cs="Arial"/>
      <w:bCs/>
      <w:sz w:val="18"/>
      <w:szCs w:val="20"/>
    </w:rPr>
  </w:style>
  <w:style w:type="character" w:customStyle="1" w:styleId="normaltextrun">
    <w:name w:val="normaltextrun"/>
    <w:basedOn w:val="DefaultParagraphFont"/>
    <w:rsid w:val="00130857"/>
  </w:style>
  <w:style w:type="paragraph" w:customStyle="1" w:styleId="paragraph">
    <w:name w:val="paragraph"/>
    <w:basedOn w:val="Normal"/>
    <w:rsid w:val="00130857"/>
    <w:pPr>
      <w:spacing w:before="100" w:beforeAutospacing="1" w:after="100" w:afterAutospacing="1"/>
    </w:pPr>
  </w:style>
  <w:style w:type="paragraph" w:styleId="PlainText">
    <w:name w:val="Plain Text"/>
    <w:basedOn w:val="Normal"/>
    <w:link w:val="PlainTextChar"/>
    <w:uiPriority w:val="99"/>
    <w:semiHidden/>
    <w:unhideWhenUsed/>
    <w:rsid w:val="00E4096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40961"/>
    <w:rPr>
      <w:rFonts w:ascii="Calibri" w:hAnsi="Calibri"/>
      <w:szCs w:val="21"/>
    </w:rPr>
  </w:style>
  <w:style w:type="character" w:customStyle="1" w:styleId="eop">
    <w:name w:val="eop"/>
    <w:basedOn w:val="DefaultParagraphFont"/>
    <w:rsid w:val="00B63167"/>
  </w:style>
  <w:style w:type="character" w:styleId="Emphasis">
    <w:name w:val="Emphasis"/>
    <w:basedOn w:val="DefaultParagraphFont"/>
    <w:uiPriority w:val="20"/>
    <w:qFormat/>
    <w:rsid w:val="00A506E5"/>
    <w:rPr>
      <w:i/>
      <w:iCs/>
    </w:rPr>
  </w:style>
  <w:style w:type="paragraph" w:styleId="NormalWeb">
    <w:name w:val="Normal (Web)"/>
    <w:basedOn w:val="Normal"/>
    <w:uiPriority w:val="99"/>
    <w:semiHidden/>
    <w:unhideWhenUsed/>
    <w:rsid w:val="004F72B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4F72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72B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4F72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72BA"/>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788">
      <w:bodyDiv w:val="1"/>
      <w:marLeft w:val="0"/>
      <w:marRight w:val="0"/>
      <w:marTop w:val="0"/>
      <w:marBottom w:val="0"/>
      <w:divBdr>
        <w:top w:val="none" w:sz="0" w:space="0" w:color="auto"/>
        <w:left w:val="none" w:sz="0" w:space="0" w:color="auto"/>
        <w:bottom w:val="none" w:sz="0" w:space="0" w:color="auto"/>
        <w:right w:val="none" w:sz="0" w:space="0" w:color="auto"/>
      </w:divBdr>
    </w:div>
    <w:div w:id="253823038">
      <w:bodyDiv w:val="1"/>
      <w:marLeft w:val="0"/>
      <w:marRight w:val="0"/>
      <w:marTop w:val="0"/>
      <w:marBottom w:val="0"/>
      <w:divBdr>
        <w:top w:val="none" w:sz="0" w:space="0" w:color="auto"/>
        <w:left w:val="none" w:sz="0" w:space="0" w:color="auto"/>
        <w:bottom w:val="none" w:sz="0" w:space="0" w:color="auto"/>
        <w:right w:val="none" w:sz="0" w:space="0" w:color="auto"/>
      </w:divBdr>
    </w:div>
    <w:div w:id="295838922">
      <w:bodyDiv w:val="1"/>
      <w:marLeft w:val="0"/>
      <w:marRight w:val="0"/>
      <w:marTop w:val="0"/>
      <w:marBottom w:val="0"/>
      <w:divBdr>
        <w:top w:val="none" w:sz="0" w:space="0" w:color="auto"/>
        <w:left w:val="none" w:sz="0" w:space="0" w:color="auto"/>
        <w:bottom w:val="none" w:sz="0" w:space="0" w:color="auto"/>
        <w:right w:val="none" w:sz="0" w:space="0" w:color="auto"/>
      </w:divBdr>
    </w:div>
    <w:div w:id="307243305">
      <w:bodyDiv w:val="1"/>
      <w:marLeft w:val="0"/>
      <w:marRight w:val="0"/>
      <w:marTop w:val="0"/>
      <w:marBottom w:val="0"/>
      <w:divBdr>
        <w:top w:val="none" w:sz="0" w:space="0" w:color="auto"/>
        <w:left w:val="none" w:sz="0" w:space="0" w:color="auto"/>
        <w:bottom w:val="none" w:sz="0" w:space="0" w:color="auto"/>
        <w:right w:val="none" w:sz="0" w:space="0" w:color="auto"/>
      </w:divBdr>
    </w:div>
    <w:div w:id="365104373">
      <w:bodyDiv w:val="1"/>
      <w:marLeft w:val="0"/>
      <w:marRight w:val="0"/>
      <w:marTop w:val="0"/>
      <w:marBottom w:val="0"/>
      <w:divBdr>
        <w:top w:val="none" w:sz="0" w:space="0" w:color="auto"/>
        <w:left w:val="none" w:sz="0" w:space="0" w:color="auto"/>
        <w:bottom w:val="none" w:sz="0" w:space="0" w:color="auto"/>
        <w:right w:val="none" w:sz="0" w:space="0" w:color="auto"/>
      </w:divBdr>
    </w:div>
    <w:div w:id="565845933">
      <w:bodyDiv w:val="1"/>
      <w:marLeft w:val="0"/>
      <w:marRight w:val="0"/>
      <w:marTop w:val="0"/>
      <w:marBottom w:val="0"/>
      <w:divBdr>
        <w:top w:val="none" w:sz="0" w:space="0" w:color="auto"/>
        <w:left w:val="none" w:sz="0" w:space="0" w:color="auto"/>
        <w:bottom w:val="none" w:sz="0" w:space="0" w:color="auto"/>
        <w:right w:val="none" w:sz="0" w:space="0" w:color="auto"/>
      </w:divBdr>
      <w:divsChild>
        <w:div w:id="1299414084">
          <w:marLeft w:val="0"/>
          <w:marRight w:val="0"/>
          <w:marTop w:val="0"/>
          <w:marBottom w:val="0"/>
          <w:divBdr>
            <w:top w:val="single" w:sz="2" w:space="0" w:color="D9D9E3"/>
            <w:left w:val="single" w:sz="2" w:space="0" w:color="D9D9E3"/>
            <w:bottom w:val="single" w:sz="2" w:space="0" w:color="D9D9E3"/>
            <w:right w:val="single" w:sz="2" w:space="0" w:color="D9D9E3"/>
          </w:divBdr>
          <w:divsChild>
            <w:div w:id="1609388760">
              <w:marLeft w:val="0"/>
              <w:marRight w:val="0"/>
              <w:marTop w:val="0"/>
              <w:marBottom w:val="0"/>
              <w:divBdr>
                <w:top w:val="single" w:sz="2" w:space="0" w:color="D9D9E3"/>
                <w:left w:val="single" w:sz="2" w:space="0" w:color="D9D9E3"/>
                <w:bottom w:val="single" w:sz="2" w:space="0" w:color="D9D9E3"/>
                <w:right w:val="single" w:sz="2" w:space="0" w:color="D9D9E3"/>
              </w:divBdr>
              <w:divsChild>
                <w:div w:id="134951388">
                  <w:marLeft w:val="0"/>
                  <w:marRight w:val="0"/>
                  <w:marTop w:val="0"/>
                  <w:marBottom w:val="0"/>
                  <w:divBdr>
                    <w:top w:val="single" w:sz="2" w:space="0" w:color="D9D9E3"/>
                    <w:left w:val="single" w:sz="2" w:space="0" w:color="D9D9E3"/>
                    <w:bottom w:val="single" w:sz="2" w:space="0" w:color="D9D9E3"/>
                    <w:right w:val="single" w:sz="2" w:space="0" w:color="D9D9E3"/>
                  </w:divBdr>
                  <w:divsChild>
                    <w:div w:id="133525529">
                      <w:marLeft w:val="0"/>
                      <w:marRight w:val="0"/>
                      <w:marTop w:val="0"/>
                      <w:marBottom w:val="0"/>
                      <w:divBdr>
                        <w:top w:val="single" w:sz="2" w:space="0" w:color="D9D9E3"/>
                        <w:left w:val="single" w:sz="2" w:space="0" w:color="D9D9E3"/>
                        <w:bottom w:val="single" w:sz="2" w:space="0" w:color="D9D9E3"/>
                        <w:right w:val="single" w:sz="2" w:space="0" w:color="D9D9E3"/>
                      </w:divBdr>
                      <w:divsChild>
                        <w:div w:id="374088656">
                          <w:marLeft w:val="0"/>
                          <w:marRight w:val="0"/>
                          <w:marTop w:val="0"/>
                          <w:marBottom w:val="0"/>
                          <w:divBdr>
                            <w:top w:val="single" w:sz="2" w:space="0" w:color="auto"/>
                            <w:left w:val="single" w:sz="2" w:space="0" w:color="auto"/>
                            <w:bottom w:val="single" w:sz="6" w:space="0" w:color="auto"/>
                            <w:right w:val="single" w:sz="2" w:space="0" w:color="auto"/>
                          </w:divBdr>
                          <w:divsChild>
                            <w:div w:id="891188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235539">
                                  <w:marLeft w:val="0"/>
                                  <w:marRight w:val="0"/>
                                  <w:marTop w:val="0"/>
                                  <w:marBottom w:val="0"/>
                                  <w:divBdr>
                                    <w:top w:val="single" w:sz="2" w:space="0" w:color="D9D9E3"/>
                                    <w:left w:val="single" w:sz="2" w:space="0" w:color="D9D9E3"/>
                                    <w:bottom w:val="single" w:sz="2" w:space="0" w:color="D9D9E3"/>
                                    <w:right w:val="single" w:sz="2" w:space="0" w:color="D9D9E3"/>
                                  </w:divBdr>
                                  <w:divsChild>
                                    <w:div w:id="141436743">
                                      <w:marLeft w:val="0"/>
                                      <w:marRight w:val="0"/>
                                      <w:marTop w:val="0"/>
                                      <w:marBottom w:val="0"/>
                                      <w:divBdr>
                                        <w:top w:val="single" w:sz="2" w:space="0" w:color="D9D9E3"/>
                                        <w:left w:val="single" w:sz="2" w:space="0" w:color="D9D9E3"/>
                                        <w:bottom w:val="single" w:sz="2" w:space="0" w:color="D9D9E3"/>
                                        <w:right w:val="single" w:sz="2" w:space="0" w:color="D9D9E3"/>
                                      </w:divBdr>
                                      <w:divsChild>
                                        <w:div w:id="1996639224">
                                          <w:marLeft w:val="0"/>
                                          <w:marRight w:val="0"/>
                                          <w:marTop w:val="0"/>
                                          <w:marBottom w:val="0"/>
                                          <w:divBdr>
                                            <w:top w:val="single" w:sz="2" w:space="0" w:color="D9D9E3"/>
                                            <w:left w:val="single" w:sz="2" w:space="0" w:color="D9D9E3"/>
                                            <w:bottom w:val="single" w:sz="2" w:space="0" w:color="D9D9E3"/>
                                            <w:right w:val="single" w:sz="2" w:space="0" w:color="D9D9E3"/>
                                          </w:divBdr>
                                          <w:divsChild>
                                            <w:div w:id="257447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5076525">
          <w:marLeft w:val="0"/>
          <w:marRight w:val="0"/>
          <w:marTop w:val="0"/>
          <w:marBottom w:val="0"/>
          <w:divBdr>
            <w:top w:val="none" w:sz="0" w:space="0" w:color="auto"/>
            <w:left w:val="none" w:sz="0" w:space="0" w:color="auto"/>
            <w:bottom w:val="none" w:sz="0" w:space="0" w:color="auto"/>
            <w:right w:val="none" w:sz="0" w:space="0" w:color="auto"/>
          </w:divBdr>
          <w:divsChild>
            <w:div w:id="125512267">
              <w:marLeft w:val="0"/>
              <w:marRight w:val="0"/>
              <w:marTop w:val="0"/>
              <w:marBottom w:val="0"/>
              <w:divBdr>
                <w:top w:val="single" w:sz="2" w:space="0" w:color="D9D9E3"/>
                <w:left w:val="single" w:sz="2" w:space="0" w:color="D9D9E3"/>
                <w:bottom w:val="single" w:sz="2" w:space="0" w:color="D9D9E3"/>
                <w:right w:val="single" w:sz="2" w:space="0" w:color="D9D9E3"/>
              </w:divBdr>
              <w:divsChild>
                <w:div w:id="1970235943">
                  <w:marLeft w:val="0"/>
                  <w:marRight w:val="0"/>
                  <w:marTop w:val="0"/>
                  <w:marBottom w:val="0"/>
                  <w:divBdr>
                    <w:top w:val="single" w:sz="2" w:space="0" w:color="D9D9E3"/>
                    <w:left w:val="single" w:sz="2" w:space="0" w:color="D9D9E3"/>
                    <w:bottom w:val="single" w:sz="2" w:space="0" w:color="D9D9E3"/>
                    <w:right w:val="single" w:sz="2" w:space="0" w:color="D9D9E3"/>
                  </w:divBdr>
                  <w:divsChild>
                    <w:div w:id="1734501092">
                      <w:marLeft w:val="0"/>
                      <w:marRight w:val="0"/>
                      <w:marTop w:val="0"/>
                      <w:marBottom w:val="0"/>
                      <w:divBdr>
                        <w:top w:val="single" w:sz="2" w:space="0" w:color="D9D9E3"/>
                        <w:left w:val="single" w:sz="2" w:space="0" w:color="D9D9E3"/>
                        <w:bottom w:val="single" w:sz="2" w:space="0" w:color="D9D9E3"/>
                        <w:right w:val="single" w:sz="2" w:space="0" w:color="D9D9E3"/>
                      </w:divBdr>
                      <w:divsChild>
                        <w:div w:id="1477651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1820413">
      <w:bodyDiv w:val="1"/>
      <w:marLeft w:val="0"/>
      <w:marRight w:val="0"/>
      <w:marTop w:val="0"/>
      <w:marBottom w:val="0"/>
      <w:divBdr>
        <w:top w:val="none" w:sz="0" w:space="0" w:color="auto"/>
        <w:left w:val="none" w:sz="0" w:space="0" w:color="auto"/>
        <w:bottom w:val="none" w:sz="0" w:space="0" w:color="auto"/>
        <w:right w:val="none" w:sz="0" w:space="0" w:color="auto"/>
      </w:divBdr>
    </w:div>
    <w:div w:id="599261953">
      <w:bodyDiv w:val="1"/>
      <w:marLeft w:val="0"/>
      <w:marRight w:val="0"/>
      <w:marTop w:val="0"/>
      <w:marBottom w:val="0"/>
      <w:divBdr>
        <w:top w:val="none" w:sz="0" w:space="0" w:color="auto"/>
        <w:left w:val="none" w:sz="0" w:space="0" w:color="auto"/>
        <w:bottom w:val="none" w:sz="0" w:space="0" w:color="auto"/>
        <w:right w:val="none" w:sz="0" w:space="0" w:color="auto"/>
      </w:divBdr>
    </w:div>
    <w:div w:id="628318528">
      <w:bodyDiv w:val="1"/>
      <w:marLeft w:val="0"/>
      <w:marRight w:val="0"/>
      <w:marTop w:val="0"/>
      <w:marBottom w:val="0"/>
      <w:divBdr>
        <w:top w:val="none" w:sz="0" w:space="0" w:color="auto"/>
        <w:left w:val="none" w:sz="0" w:space="0" w:color="auto"/>
        <w:bottom w:val="none" w:sz="0" w:space="0" w:color="auto"/>
        <w:right w:val="none" w:sz="0" w:space="0" w:color="auto"/>
      </w:divBdr>
    </w:div>
    <w:div w:id="643320141">
      <w:bodyDiv w:val="1"/>
      <w:marLeft w:val="0"/>
      <w:marRight w:val="0"/>
      <w:marTop w:val="0"/>
      <w:marBottom w:val="0"/>
      <w:divBdr>
        <w:top w:val="none" w:sz="0" w:space="0" w:color="auto"/>
        <w:left w:val="none" w:sz="0" w:space="0" w:color="auto"/>
        <w:bottom w:val="none" w:sz="0" w:space="0" w:color="auto"/>
        <w:right w:val="none" w:sz="0" w:space="0" w:color="auto"/>
      </w:divBdr>
    </w:div>
    <w:div w:id="1051148967">
      <w:bodyDiv w:val="1"/>
      <w:marLeft w:val="0"/>
      <w:marRight w:val="0"/>
      <w:marTop w:val="0"/>
      <w:marBottom w:val="0"/>
      <w:divBdr>
        <w:top w:val="none" w:sz="0" w:space="0" w:color="auto"/>
        <w:left w:val="none" w:sz="0" w:space="0" w:color="auto"/>
        <w:bottom w:val="none" w:sz="0" w:space="0" w:color="auto"/>
        <w:right w:val="none" w:sz="0" w:space="0" w:color="auto"/>
      </w:divBdr>
    </w:div>
    <w:div w:id="1182546322">
      <w:bodyDiv w:val="1"/>
      <w:marLeft w:val="0"/>
      <w:marRight w:val="0"/>
      <w:marTop w:val="0"/>
      <w:marBottom w:val="0"/>
      <w:divBdr>
        <w:top w:val="none" w:sz="0" w:space="0" w:color="auto"/>
        <w:left w:val="none" w:sz="0" w:space="0" w:color="auto"/>
        <w:bottom w:val="none" w:sz="0" w:space="0" w:color="auto"/>
        <w:right w:val="none" w:sz="0" w:space="0" w:color="auto"/>
      </w:divBdr>
    </w:div>
    <w:div w:id="1505779327">
      <w:bodyDiv w:val="1"/>
      <w:marLeft w:val="0"/>
      <w:marRight w:val="0"/>
      <w:marTop w:val="0"/>
      <w:marBottom w:val="0"/>
      <w:divBdr>
        <w:top w:val="none" w:sz="0" w:space="0" w:color="auto"/>
        <w:left w:val="none" w:sz="0" w:space="0" w:color="auto"/>
        <w:bottom w:val="none" w:sz="0" w:space="0" w:color="auto"/>
        <w:right w:val="none" w:sz="0" w:space="0" w:color="auto"/>
      </w:divBdr>
    </w:div>
    <w:div w:id="1997689428">
      <w:bodyDiv w:val="1"/>
      <w:marLeft w:val="0"/>
      <w:marRight w:val="0"/>
      <w:marTop w:val="0"/>
      <w:marBottom w:val="0"/>
      <w:divBdr>
        <w:top w:val="none" w:sz="0" w:space="0" w:color="auto"/>
        <w:left w:val="none" w:sz="0" w:space="0" w:color="auto"/>
        <w:bottom w:val="none" w:sz="0" w:space="0" w:color="auto"/>
        <w:right w:val="none" w:sz="0" w:space="0" w:color="auto"/>
      </w:divBdr>
      <w:divsChild>
        <w:div w:id="649944984">
          <w:marLeft w:val="0"/>
          <w:marRight w:val="0"/>
          <w:marTop w:val="0"/>
          <w:marBottom w:val="0"/>
          <w:divBdr>
            <w:top w:val="none" w:sz="0" w:space="0" w:color="auto"/>
            <w:left w:val="none" w:sz="0" w:space="0" w:color="auto"/>
            <w:bottom w:val="none" w:sz="0" w:space="0" w:color="auto"/>
            <w:right w:val="none" w:sz="0" w:space="0" w:color="auto"/>
          </w:divBdr>
        </w:div>
        <w:div w:id="1989358478">
          <w:marLeft w:val="0"/>
          <w:marRight w:val="0"/>
          <w:marTop w:val="0"/>
          <w:marBottom w:val="0"/>
          <w:divBdr>
            <w:top w:val="none" w:sz="0" w:space="0" w:color="auto"/>
            <w:left w:val="none" w:sz="0" w:space="0" w:color="auto"/>
            <w:bottom w:val="none" w:sz="0" w:space="0" w:color="auto"/>
            <w:right w:val="none" w:sz="0" w:space="0" w:color="auto"/>
          </w:divBdr>
        </w:div>
        <w:div w:id="95351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019C-55B3-430E-8CE5-228FCF1D21F6}">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9</TotalTime>
  <Pages>24</Pages>
  <Words>8432</Words>
  <Characters>48067</Characters>
  <Application>Microsoft Office Word</Application>
  <DocSecurity>0</DocSecurity>
  <Lines>400</Lines>
  <Paragraphs>112</Paragraphs>
  <ScaleCrop>false</ScaleCrop>
  <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Grover</dc:creator>
  <cp:keywords/>
  <dc:description/>
  <cp:lastModifiedBy>Charu Grover</cp:lastModifiedBy>
  <cp:revision>2</cp:revision>
  <dcterms:created xsi:type="dcterms:W3CDTF">2023-06-13T13:14:00Z</dcterms:created>
  <dcterms:modified xsi:type="dcterms:W3CDTF">2023-06-13T13:14:00Z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2023-06-11T12:27:41Z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cac84a99-1234-40d9-b9d5-bc7f5612bb10</vt:lpwstr>
  </property>
  <property fmtid="{D5CDD505-2E9C-101B-9397-08002B2CF9AE}" pid="8" name="MSIP_Label_0f488380-630a-4f55-a077-a19445e3f360_ContentBits">
    <vt:lpwstr>0</vt:lpwstr>
  </property>
</Properties>
</file>