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36B42" w14:textId="77777777" w:rsidR="00DA3EC4" w:rsidRPr="00DA3EC4" w:rsidRDefault="00DA3EC4" w:rsidP="00DA3EC4">
      <w:pPr>
        <w:spacing w:after="160" w:line="276" w:lineRule="auto"/>
        <w:ind w:left="0" w:firstLine="0"/>
        <w:jc w:val="center"/>
        <w:rPr>
          <w:color w:val="auto"/>
          <w:szCs w:val="20"/>
          <w:lang w:val="en-GB"/>
        </w:rPr>
      </w:pPr>
      <w:bookmarkStart w:id="0" w:name="_Hlk87538483"/>
      <w:bookmarkEnd w:id="0"/>
      <w:r w:rsidRPr="00DA3EC4">
        <w:rPr>
          <w:b/>
          <w:color w:val="auto"/>
          <w:sz w:val="28"/>
          <w:szCs w:val="28"/>
          <w:lang w:val="en-GB"/>
        </w:rPr>
        <w:t xml:space="preserve">Renal Outcome with </w:t>
      </w:r>
      <w:bookmarkStart w:id="1" w:name="_Hlk87506306"/>
      <w:r w:rsidRPr="00DA3EC4">
        <w:rPr>
          <w:b/>
          <w:color w:val="auto"/>
          <w:sz w:val="28"/>
          <w:szCs w:val="28"/>
          <w:lang w:val="en-GB"/>
        </w:rPr>
        <w:t>Empagliflozin in non-diabetic Chronic Kidney Disease Patients</w:t>
      </w:r>
      <w:bookmarkEnd w:id="1"/>
      <w:r w:rsidRPr="00DA3EC4">
        <w:rPr>
          <w:b/>
          <w:color w:val="auto"/>
          <w:sz w:val="28"/>
          <w:szCs w:val="28"/>
          <w:lang w:val="en-GB"/>
        </w:rPr>
        <w:t>: A Randomized Control Trial</w:t>
      </w:r>
      <w:r w:rsidRPr="00DA3EC4">
        <w:rPr>
          <w:color w:val="auto"/>
          <w:szCs w:val="20"/>
          <w:lang w:val="en-GB"/>
        </w:rPr>
        <w:t xml:space="preserve"> </w:t>
      </w:r>
    </w:p>
    <w:p w14:paraId="7A6788DB" w14:textId="77777777" w:rsidR="0080216F" w:rsidRPr="00B439D0" w:rsidRDefault="0080216F" w:rsidP="00A85135">
      <w:pPr>
        <w:spacing w:line="259" w:lineRule="auto"/>
        <w:ind w:left="10" w:right="62"/>
        <w:jc w:val="center"/>
        <w:rPr>
          <w:b/>
          <w:color w:val="000000" w:themeColor="text1"/>
          <w:sz w:val="36"/>
        </w:rPr>
      </w:pPr>
      <w:bookmarkStart w:id="2" w:name="_GoBack"/>
      <w:bookmarkEnd w:id="2"/>
    </w:p>
    <w:p w14:paraId="1A11517B" w14:textId="74DDC1FA" w:rsidR="002410AE" w:rsidRPr="00B439D0" w:rsidRDefault="002410AE" w:rsidP="00A85135">
      <w:pPr>
        <w:spacing w:line="259" w:lineRule="auto"/>
        <w:ind w:left="10" w:right="62"/>
        <w:jc w:val="center"/>
        <w:rPr>
          <w:color w:val="000000" w:themeColor="text1"/>
        </w:rPr>
      </w:pPr>
      <w:r w:rsidRPr="00B439D0">
        <w:rPr>
          <w:b/>
          <w:color w:val="000000" w:themeColor="text1"/>
          <w:sz w:val="36"/>
        </w:rPr>
        <w:t xml:space="preserve">Statistical Analysis Plan </w:t>
      </w:r>
    </w:p>
    <w:p w14:paraId="4BC254B4" w14:textId="3572E46C" w:rsidR="0080216F" w:rsidRPr="00B439D0" w:rsidRDefault="002410AE" w:rsidP="00A85135">
      <w:pPr>
        <w:spacing w:line="259" w:lineRule="auto"/>
        <w:ind w:left="10" w:right="60"/>
        <w:jc w:val="center"/>
        <w:rPr>
          <w:b/>
          <w:color w:val="000000" w:themeColor="text1"/>
          <w:sz w:val="36"/>
        </w:rPr>
      </w:pPr>
      <w:r w:rsidRPr="00B439D0">
        <w:rPr>
          <w:b/>
          <w:color w:val="000000" w:themeColor="text1"/>
          <w:sz w:val="36"/>
        </w:rPr>
        <w:t xml:space="preserve">(SAP) </w:t>
      </w:r>
    </w:p>
    <w:p w14:paraId="13B1CE51" w14:textId="77777777" w:rsidR="0080216F" w:rsidRPr="00E71D86" w:rsidRDefault="0080216F" w:rsidP="00A85135">
      <w:pPr>
        <w:spacing w:after="160" w:line="259" w:lineRule="auto"/>
        <w:ind w:left="10"/>
        <w:rPr>
          <w:b/>
          <w:color w:val="000000" w:themeColor="text1"/>
          <w:sz w:val="36"/>
        </w:rPr>
      </w:pPr>
      <w:r w:rsidRPr="00E71D86">
        <w:rPr>
          <w:b/>
          <w:color w:val="000000" w:themeColor="text1"/>
          <w:sz w:val="36"/>
        </w:rPr>
        <w:br w:type="page"/>
      </w:r>
    </w:p>
    <w:p w14:paraId="6054EF72" w14:textId="77777777" w:rsidR="0080216F" w:rsidRPr="00E71D86" w:rsidRDefault="0080216F" w:rsidP="00A85135">
      <w:pPr>
        <w:spacing w:line="259" w:lineRule="auto"/>
        <w:ind w:left="10" w:right="60"/>
        <w:jc w:val="center"/>
        <w:rPr>
          <w:b/>
          <w:color w:val="000000" w:themeColor="text1"/>
          <w:sz w:val="36"/>
        </w:rPr>
      </w:pPr>
    </w:p>
    <w:sdt>
      <w:sdtPr>
        <w:rPr>
          <w:rFonts w:ascii="Times New Roman" w:eastAsia="Times New Roman" w:hAnsi="Times New Roman" w:cs="Times New Roman"/>
          <w:color w:val="000000" w:themeColor="text1"/>
          <w:sz w:val="24"/>
          <w:szCs w:val="22"/>
        </w:rPr>
        <w:id w:val="2059437129"/>
        <w:docPartObj>
          <w:docPartGallery w:val="Table of Contents"/>
          <w:docPartUnique/>
        </w:docPartObj>
      </w:sdtPr>
      <w:sdtEndPr>
        <w:rPr>
          <w:b/>
          <w:bCs/>
          <w:noProof/>
        </w:rPr>
      </w:sdtEndPr>
      <w:sdtContent>
        <w:p w14:paraId="3DDE7251" w14:textId="63674A9A" w:rsidR="002410AE" w:rsidRPr="005F31F9" w:rsidRDefault="002410AE" w:rsidP="00A85135">
          <w:pPr>
            <w:pStyle w:val="TOCHeading"/>
            <w:ind w:left="10" w:hanging="10"/>
            <w:rPr>
              <w:color w:val="000000" w:themeColor="text1"/>
            </w:rPr>
          </w:pPr>
          <w:r w:rsidRPr="005F31F9">
            <w:rPr>
              <w:color w:val="000000" w:themeColor="text1"/>
            </w:rPr>
            <w:t>Contents</w:t>
          </w:r>
        </w:p>
        <w:p w14:paraId="1212B3BA" w14:textId="690B5FF8" w:rsidR="00023CC8" w:rsidRPr="00023CC8" w:rsidRDefault="002410AE">
          <w:pPr>
            <w:pStyle w:val="TOC1"/>
            <w:tabs>
              <w:tab w:val="right" w:leader="dot" w:pos="9350"/>
            </w:tabs>
            <w:rPr>
              <w:rFonts w:asciiTheme="minorHAnsi" w:eastAsiaTheme="minorEastAsia" w:hAnsiTheme="minorHAnsi" w:cstheme="minorBidi"/>
              <w:noProof/>
              <w:color w:val="000000" w:themeColor="text1"/>
              <w:sz w:val="22"/>
            </w:rPr>
          </w:pPr>
          <w:r w:rsidRPr="00023CC8">
            <w:rPr>
              <w:color w:val="000000" w:themeColor="text1"/>
            </w:rPr>
            <w:fldChar w:fldCharType="begin"/>
          </w:r>
          <w:r w:rsidRPr="00023CC8">
            <w:rPr>
              <w:color w:val="000000" w:themeColor="text1"/>
            </w:rPr>
            <w:instrText xml:space="preserve"> TOC \o "1-3" \h \z \u </w:instrText>
          </w:r>
          <w:r w:rsidRPr="00023CC8">
            <w:rPr>
              <w:color w:val="000000" w:themeColor="text1"/>
            </w:rPr>
            <w:fldChar w:fldCharType="separate"/>
          </w:r>
          <w:hyperlink w:anchor="_Toc87363710" w:history="1">
            <w:r w:rsidR="00023CC8" w:rsidRPr="00023CC8">
              <w:rPr>
                <w:rStyle w:val="Hyperlink"/>
                <w:noProof/>
                <w:color w:val="000000" w:themeColor="text1"/>
              </w:rPr>
              <w:t>1 INTRODUCTION</w:t>
            </w:r>
            <w:r w:rsidR="00023CC8" w:rsidRPr="00023CC8">
              <w:rPr>
                <w:noProof/>
                <w:webHidden/>
                <w:color w:val="000000" w:themeColor="text1"/>
              </w:rPr>
              <w:tab/>
            </w:r>
            <w:r w:rsidR="00023CC8" w:rsidRPr="00023CC8">
              <w:rPr>
                <w:noProof/>
                <w:webHidden/>
                <w:color w:val="000000" w:themeColor="text1"/>
              </w:rPr>
              <w:fldChar w:fldCharType="begin"/>
            </w:r>
            <w:r w:rsidR="00023CC8" w:rsidRPr="00023CC8">
              <w:rPr>
                <w:noProof/>
                <w:webHidden/>
                <w:color w:val="000000" w:themeColor="text1"/>
              </w:rPr>
              <w:instrText xml:space="preserve"> PAGEREF _Toc87363710 \h </w:instrText>
            </w:r>
            <w:r w:rsidR="00023CC8" w:rsidRPr="00023CC8">
              <w:rPr>
                <w:noProof/>
                <w:webHidden/>
                <w:color w:val="000000" w:themeColor="text1"/>
              </w:rPr>
            </w:r>
            <w:r w:rsidR="00023CC8" w:rsidRPr="00023CC8">
              <w:rPr>
                <w:noProof/>
                <w:webHidden/>
                <w:color w:val="000000" w:themeColor="text1"/>
              </w:rPr>
              <w:fldChar w:fldCharType="separate"/>
            </w:r>
            <w:r w:rsidR="00023CC8" w:rsidRPr="00023CC8">
              <w:rPr>
                <w:noProof/>
                <w:webHidden/>
                <w:color w:val="000000" w:themeColor="text1"/>
              </w:rPr>
              <w:t>3</w:t>
            </w:r>
            <w:r w:rsidR="00023CC8" w:rsidRPr="00023CC8">
              <w:rPr>
                <w:noProof/>
                <w:webHidden/>
                <w:color w:val="000000" w:themeColor="text1"/>
              </w:rPr>
              <w:fldChar w:fldCharType="end"/>
            </w:r>
          </w:hyperlink>
        </w:p>
        <w:p w14:paraId="7285B3D2" w14:textId="5470AA3B" w:rsidR="00023CC8" w:rsidRPr="00023CC8" w:rsidRDefault="00120410">
          <w:pPr>
            <w:pStyle w:val="TOC1"/>
            <w:tabs>
              <w:tab w:val="right" w:leader="dot" w:pos="9350"/>
            </w:tabs>
            <w:rPr>
              <w:rFonts w:asciiTheme="minorHAnsi" w:eastAsiaTheme="minorEastAsia" w:hAnsiTheme="minorHAnsi" w:cstheme="minorBidi"/>
              <w:noProof/>
              <w:color w:val="000000" w:themeColor="text1"/>
              <w:sz w:val="22"/>
            </w:rPr>
          </w:pPr>
          <w:hyperlink w:anchor="_Toc87363711" w:history="1">
            <w:r w:rsidR="00023CC8" w:rsidRPr="00023CC8">
              <w:rPr>
                <w:rStyle w:val="Hyperlink"/>
                <w:noProof/>
                <w:color w:val="000000" w:themeColor="text1"/>
              </w:rPr>
              <w:t>2 DATA SOURCE AND COLLECTION PROTOCOL</w:t>
            </w:r>
            <w:r w:rsidR="00023CC8" w:rsidRPr="00023CC8">
              <w:rPr>
                <w:noProof/>
                <w:webHidden/>
                <w:color w:val="000000" w:themeColor="text1"/>
              </w:rPr>
              <w:tab/>
            </w:r>
            <w:r w:rsidR="00023CC8" w:rsidRPr="00023CC8">
              <w:rPr>
                <w:noProof/>
                <w:webHidden/>
                <w:color w:val="000000" w:themeColor="text1"/>
              </w:rPr>
              <w:fldChar w:fldCharType="begin"/>
            </w:r>
            <w:r w:rsidR="00023CC8" w:rsidRPr="00023CC8">
              <w:rPr>
                <w:noProof/>
                <w:webHidden/>
                <w:color w:val="000000" w:themeColor="text1"/>
              </w:rPr>
              <w:instrText xml:space="preserve"> PAGEREF _Toc87363711 \h </w:instrText>
            </w:r>
            <w:r w:rsidR="00023CC8" w:rsidRPr="00023CC8">
              <w:rPr>
                <w:noProof/>
                <w:webHidden/>
                <w:color w:val="000000" w:themeColor="text1"/>
              </w:rPr>
            </w:r>
            <w:r w:rsidR="00023CC8" w:rsidRPr="00023CC8">
              <w:rPr>
                <w:noProof/>
                <w:webHidden/>
                <w:color w:val="000000" w:themeColor="text1"/>
              </w:rPr>
              <w:fldChar w:fldCharType="separate"/>
            </w:r>
            <w:r w:rsidR="00023CC8" w:rsidRPr="00023CC8">
              <w:rPr>
                <w:noProof/>
                <w:webHidden/>
                <w:color w:val="000000" w:themeColor="text1"/>
              </w:rPr>
              <w:t>3</w:t>
            </w:r>
            <w:r w:rsidR="00023CC8" w:rsidRPr="00023CC8">
              <w:rPr>
                <w:noProof/>
                <w:webHidden/>
                <w:color w:val="000000" w:themeColor="text1"/>
              </w:rPr>
              <w:fldChar w:fldCharType="end"/>
            </w:r>
          </w:hyperlink>
        </w:p>
        <w:p w14:paraId="0E50638C" w14:textId="7944BB50" w:rsidR="00023CC8" w:rsidRPr="00023CC8" w:rsidRDefault="00120410">
          <w:pPr>
            <w:pStyle w:val="TOC1"/>
            <w:tabs>
              <w:tab w:val="right" w:leader="dot" w:pos="9350"/>
            </w:tabs>
            <w:rPr>
              <w:rFonts w:asciiTheme="minorHAnsi" w:eastAsiaTheme="minorEastAsia" w:hAnsiTheme="minorHAnsi" w:cstheme="minorBidi"/>
              <w:noProof/>
              <w:color w:val="000000" w:themeColor="text1"/>
              <w:sz w:val="22"/>
            </w:rPr>
          </w:pPr>
          <w:hyperlink w:anchor="_Toc87363712" w:history="1">
            <w:r w:rsidR="00023CC8" w:rsidRPr="00023CC8">
              <w:rPr>
                <w:rStyle w:val="Hyperlink"/>
                <w:noProof/>
                <w:color w:val="000000" w:themeColor="text1"/>
              </w:rPr>
              <w:t>3 ANALYSIS OBJECTIVES</w:t>
            </w:r>
            <w:r w:rsidR="00023CC8" w:rsidRPr="00023CC8">
              <w:rPr>
                <w:noProof/>
                <w:webHidden/>
                <w:color w:val="000000" w:themeColor="text1"/>
              </w:rPr>
              <w:tab/>
            </w:r>
            <w:r w:rsidR="00023CC8" w:rsidRPr="00023CC8">
              <w:rPr>
                <w:noProof/>
                <w:webHidden/>
                <w:color w:val="000000" w:themeColor="text1"/>
              </w:rPr>
              <w:fldChar w:fldCharType="begin"/>
            </w:r>
            <w:r w:rsidR="00023CC8" w:rsidRPr="00023CC8">
              <w:rPr>
                <w:noProof/>
                <w:webHidden/>
                <w:color w:val="000000" w:themeColor="text1"/>
              </w:rPr>
              <w:instrText xml:space="preserve"> PAGEREF _Toc87363712 \h </w:instrText>
            </w:r>
            <w:r w:rsidR="00023CC8" w:rsidRPr="00023CC8">
              <w:rPr>
                <w:noProof/>
                <w:webHidden/>
                <w:color w:val="000000" w:themeColor="text1"/>
              </w:rPr>
            </w:r>
            <w:r w:rsidR="00023CC8" w:rsidRPr="00023CC8">
              <w:rPr>
                <w:noProof/>
                <w:webHidden/>
                <w:color w:val="000000" w:themeColor="text1"/>
              </w:rPr>
              <w:fldChar w:fldCharType="separate"/>
            </w:r>
            <w:r w:rsidR="00023CC8" w:rsidRPr="00023CC8">
              <w:rPr>
                <w:noProof/>
                <w:webHidden/>
                <w:color w:val="000000" w:themeColor="text1"/>
              </w:rPr>
              <w:t>5</w:t>
            </w:r>
            <w:r w:rsidR="00023CC8" w:rsidRPr="00023CC8">
              <w:rPr>
                <w:noProof/>
                <w:webHidden/>
                <w:color w:val="000000" w:themeColor="text1"/>
              </w:rPr>
              <w:fldChar w:fldCharType="end"/>
            </w:r>
          </w:hyperlink>
        </w:p>
        <w:p w14:paraId="3D07A6D6" w14:textId="3D705465" w:rsidR="00023CC8" w:rsidRPr="00023CC8" w:rsidRDefault="00120410">
          <w:pPr>
            <w:pStyle w:val="TOC1"/>
            <w:tabs>
              <w:tab w:val="right" w:leader="dot" w:pos="9350"/>
            </w:tabs>
            <w:rPr>
              <w:rFonts w:asciiTheme="minorHAnsi" w:eastAsiaTheme="minorEastAsia" w:hAnsiTheme="minorHAnsi" w:cstheme="minorBidi"/>
              <w:noProof/>
              <w:color w:val="000000" w:themeColor="text1"/>
              <w:sz w:val="22"/>
            </w:rPr>
          </w:pPr>
          <w:hyperlink w:anchor="_Toc87363713" w:history="1">
            <w:r w:rsidR="00023CC8" w:rsidRPr="00023CC8">
              <w:rPr>
                <w:rStyle w:val="Hyperlink"/>
                <w:noProof/>
                <w:color w:val="000000" w:themeColor="text1"/>
              </w:rPr>
              <w:t>4 SAMPLE SIZE AND POWER CONSIDERATIONS</w:t>
            </w:r>
            <w:r w:rsidR="00023CC8" w:rsidRPr="00023CC8">
              <w:rPr>
                <w:noProof/>
                <w:webHidden/>
                <w:color w:val="000000" w:themeColor="text1"/>
              </w:rPr>
              <w:tab/>
            </w:r>
            <w:r w:rsidR="00023CC8" w:rsidRPr="00023CC8">
              <w:rPr>
                <w:noProof/>
                <w:webHidden/>
                <w:color w:val="000000" w:themeColor="text1"/>
              </w:rPr>
              <w:fldChar w:fldCharType="begin"/>
            </w:r>
            <w:r w:rsidR="00023CC8" w:rsidRPr="00023CC8">
              <w:rPr>
                <w:noProof/>
                <w:webHidden/>
                <w:color w:val="000000" w:themeColor="text1"/>
              </w:rPr>
              <w:instrText xml:space="preserve"> PAGEREF _Toc87363713 \h </w:instrText>
            </w:r>
            <w:r w:rsidR="00023CC8" w:rsidRPr="00023CC8">
              <w:rPr>
                <w:noProof/>
                <w:webHidden/>
                <w:color w:val="000000" w:themeColor="text1"/>
              </w:rPr>
            </w:r>
            <w:r w:rsidR="00023CC8" w:rsidRPr="00023CC8">
              <w:rPr>
                <w:noProof/>
                <w:webHidden/>
                <w:color w:val="000000" w:themeColor="text1"/>
              </w:rPr>
              <w:fldChar w:fldCharType="separate"/>
            </w:r>
            <w:r w:rsidR="00023CC8" w:rsidRPr="00023CC8">
              <w:rPr>
                <w:noProof/>
                <w:webHidden/>
                <w:color w:val="000000" w:themeColor="text1"/>
              </w:rPr>
              <w:t>6</w:t>
            </w:r>
            <w:r w:rsidR="00023CC8" w:rsidRPr="00023CC8">
              <w:rPr>
                <w:noProof/>
                <w:webHidden/>
                <w:color w:val="000000" w:themeColor="text1"/>
              </w:rPr>
              <w:fldChar w:fldCharType="end"/>
            </w:r>
          </w:hyperlink>
        </w:p>
        <w:p w14:paraId="69982353" w14:textId="6073B96E" w:rsidR="00023CC8" w:rsidRPr="00023CC8" w:rsidRDefault="00120410">
          <w:pPr>
            <w:pStyle w:val="TOC1"/>
            <w:tabs>
              <w:tab w:val="right" w:leader="dot" w:pos="9350"/>
            </w:tabs>
            <w:rPr>
              <w:rFonts w:asciiTheme="minorHAnsi" w:eastAsiaTheme="minorEastAsia" w:hAnsiTheme="minorHAnsi" w:cstheme="minorBidi"/>
              <w:noProof/>
              <w:color w:val="000000" w:themeColor="text1"/>
              <w:sz w:val="22"/>
            </w:rPr>
          </w:pPr>
          <w:hyperlink w:anchor="_Toc87363714" w:history="1">
            <w:r w:rsidR="00023CC8" w:rsidRPr="00023CC8">
              <w:rPr>
                <w:rStyle w:val="Hyperlink"/>
                <w:noProof/>
                <w:color w:val="000000" w:themeColor="text1"/>
              </w:rPr>
              <w:t>5 ENDPOINTS AND COVARIATES</w:t>
            </w:r>
            <w:r w:rsidR="00023CC8" w:rsidRPr="00023CC8">
              <w:rPr>
                <w:noProof/>
                <w:webHidden/>
                <w:color w:val="000000" w:themeColor="text1"/>
              </w:rPr>
              <w:tab/>
            </w:r>
            <w:r w:rsidR="00023CC8" w:rsidRPr="00023CC8">
              <w:rPr>
                <w:noProof/>
                <w:webHidden/>
                <w:color w:val="000000" w:themeColor="text1"/>
              </w:rPr>
              <w:fldChar w:fldCharType="begin"/>
            </w:r>
            <w:r w:rsidR="00023CC8" w:rsidRPr="00023CC8">
              <w:rPr>
                <w:noProof/>
                <w:webHidden/>
                <w:color w:val="000000" w:themeColor="text1"/>
              </w:rPr>
              <w:instrText xml:space="preserve"> PAGEREF _Toc87363714 \h </w:instrText>
            </w:r>
            <w:r w:rsidR="00023CC8" w:rsidRPr="00023CC8">
              <w:rPr>
                <w:noProof/>
                <w:webHidden/>
                <w:color w:val="000000" w:themeColor="text1"/>
              </w:rPr>
            </w:r>
            <w:r w:rsidR="00023CC8" w:rsidRPr="00023CC8">
              <w:rPr>
                <w:noProof/>
                <w:webHidden/>
                <w:color w:val="000000" w:themeColor="text1"/>
              </w:rPr>
              <w:fldChar w:fldCharType="separate"/>
            </w:r>
            <w:r w:rsidR="00023CC8" w:rsidRPr="00023CC8">
              <w:rPr>
                <w:noProof/>
                <w:webHidden/>
                <w:color w:val="000000" w:themeColor="text1"/>
              </w:rPr>
              <w:t>8</w:t>
            </w:r>
            <w:r w:rsidR="00023CC8" w:rsidRPr="00023CC8">
              <w:rPr>
                <w:noProof/>
                <w:webHidden/>
                <w:color w:val="000000" w:themeColor="text1"/>
              </w:rPr>
              <w:fldChar w:fldCharType="end"/>
            </w:r>
          </w:hyperlink>
        </w:p>
        <w:p w14:paraId="0C902137" w14:textId="052A7B28" w:rsidR="00023CC8" w:rsidRPr="00023CC8" w:rsidRDefault="00120410">
          <w:pPr>
            <w:pStyle w:val="TOC1"/>
            <w:tabs>
              <w:tab w:val="right" w:leader="dot" w:pos="9350"/>
            </w:tabs>
            <w:rPr>
              <w:rFonts w:asciiTheme="minorHAnsi" w:eastAsiaTheme="minorEastAsia" w:hAnsiTheme="minorHAnsi" w:cstheme="minorBidi"/>
              <w:noProof/>
              <w:color w:val="000000" w:themeColor="text1"/>
              <w:sz w:val="22"/>
            </w:rPr>
          </w:pPr>
          <w:hyperlink w:anchor="_Toc87363715" w:history="1">
            <w:r w:rsidR="00023CC8" w:rsidRPr="00023CC8">
              <w:rPr>
                <w:rStyle w:val="Hyperlink"/>
                <w:noProof/>
                <w:color w:val="000000" w:themeColor="text1"/>
              </w:rPr>
              <w:t>6</w:t>
            </w:r>
            <w:r w:rsidR="00023CC8" w:rsidRPr="00023CC8">
              <w:rPr>
                <w:rStyle w:val="Hyperlink"/>
                <w:rFonts w:ascii="Arial" w:eastAsia="Arial" w:hAnsi="Arial" w:cs="Arial"/>
                <w:noProof/>
                <w:color w:val="000000" w:themeColor="text1"/>
              </w:rPr>
              <w:t xml:space="preserve"> </w:t>
            </w:r>
            <w:r w:rsidR="00023CC8" w:rsidRPr="00023CC8">
              <w:rPr>
                <w:rStyle w:val="Hyperlink"/>
                <w:noProof/>
                <w:color w:val="000000" w:themeColor="text1"/>
              </w:rPr>
              <w:t>HANDLING OF MISSING VALUES AND OTHER DATA CONVENTIONS</w:t>
            </w:r>
            <w:r w:rsidR="00023CC8" w:rsidRPr="00023CC8">
              <w:rPr>
                <w:noProof/>
                <w:webHidden/>
                <w:color w:val="000000" w:themeColor="text1"/>
              </w:rPr>
              <w:tab/>
            </w:r>
            <w:r w:rsidR="00023CC8" w:rsidRPr="00023CC8">
              <w:rPr>
                <w:noProof/>
                <w:webHidden/>
                <w:color w:val="000000" w:themeColor="text1"/>
              </w:rPr>
              <w:fldChar w:fldCharType="begin"/>
            </w:r>
            <w:r w:rsidR="00023CC8" w:rsidRPr="00023CC8">
              <w:rPr>
                <w:noProof/>
                <w:webHidden/>
                <w:color w:val="000000" w:themeColor="text1"/>
              </w:rPr>
              <w:instrText xml:space="preserve"> PAGEREF _Toc87363715 \h </w:instrText>
            </w:r>
            <w:r w:rsidR="00023CC8" w:rsidRPr="00023CC8">
              <w:rPr>
                <w:noProof/>
                <w:webHidden/>
                <w:color w:val="000000" w:themeColor="text1"/>
              </w:rPr>
            </w:r>
            <w:r w:rsidR="00023CC8" w:rsidRPr="00023CC8">
              <w:rPr>
                <w:noProof/>
                <w:webHidden/>
                <w:color w:val="000000" w:themeColor="text1"/>
              </w:rPr>
              <w:fldChar w:fldCharType="separate"/>
            </w:r>
            <w:r w:rsidR="00023CC8" w:rsidRPr="00023CC8">
              <w:rPr>
                <w:noProof/>
                <w:webHidden/>
                <w:color w:val="000000" w:themeColor="text1"/>
              </w:rPr>
              <w:t>9</w:t>
            </w:r>
            <w:r w:rsidR="00023CC8" w:rsidRPr="00023CC8">
              <w:rPr>
                <w:noProof/>
                <w:webHidden/>
                <w:color w:val="000000" w:themeColor="text1"/>
              </w:rPr>
              <w:fldChar w:fldCharType="end"/>
            </w:r>
          </w:hyperlink>
        </w:p>
        <w:p w14:paraId="1056EA57" w14:textId="6202C0B0" w:rsidR="00023CC8" w:rsidRPr="00023CC8" w:rsidRDefault="00120410">
          <w:pPr>
            <w:pStyle w:val="TOC1"/>
            <w:tabs>
              <w:tab w:val="right" w:leader="dot" w:pos="9350"/>
            </w:tabs>
            <w:rPr>
              <w:rFonts w:asciiTheme="minorHAnsi" w:eastAsiaTheme="minorEastAsia" w:hAnsiTheme="minorHAnsi" w:cstheme="minorBidi"/>
              <w:noProof/>
              <w:color w:val="000000" w:themeColor="text1"/>
              <w:sz w:val="22"/>
            </w:rPr>
          </w:pPr>
          <w:hyperlink w:anchor="_Toc87363716" w:history="1">
            <w:r w:rsidR="00023CC8" w:rsidRPr="00023CC8">
              <w:rPr>
                <w:rStyle w:val="Hyperlink"/>
                <w:noProof/>
                <w:color w:val="000000" w:themeColor="text1"/>
              </w:rPr>
              <w:t>7 STATISTICAL ANALYSES</w:t>
            </w:r>
            <w:r w:rsidR="00023CC8" w:rsidRPr="00023CC8">
              <w:rPr>
                <w:noProof/>
                <w:webHidden/>
                <w:color w:val="000000" w:themeColor="text1"/>
              </w:rPr>
              <w:tab/>
            </w:r>
            <w:r w:rsidR="00023CC8" w:rsidRPr="00023CC8">
              <w:rPr>
                <w:noProof/>
                <w:webHidden/>
                <w:color w:val="000000" w:themeColor="text1"/>
              </w:rPr>
              <w:fldChar w:fldCharType="begin"/>
            </w:r>
            <w:r w:rsidR="00023CC8" w:rsidRPr="00023CC8">
              <w:rPr>
                <w:noProof/>
                <w:webHidden/>
                <w:color w:val="000000" w:themeColor="text1"/>
              </w:rPr>
              <w:instrText xml:space="preserve"> PAGEREF _Toc87363716 \h </w:instrText>
            </w:r>
            <w:r w:rsidR="00023CC8" w:rsidRPr="00023CC8">
              <w:rPr>
                <w:noProof/>
                <w:webHidden/>
                <w:color w:val="000000" w:themeColor="text1"/>
              </w:rPr>
            </w:r>
            <w:r w:rsidR="00023CC8" w:rsidRPr="00023CC8">
              <w:rPr>
                <w:noProof/>
                <w:webHidden/>
                <w:color w:val="000000" w:themeColor="text1"/>
              </w:rPr>
              <w:fldChar w:fldCharType="separate"/>
            </w:r>
            <w:r w:rsidR="00023CC8" w:rsidRPr="00023CC8">
              <w:rPr>
                <w:noProof/>
                <w:webHidden/>
                <w:color w:val="000000" w:themeColor="text1"/>
              </w:rPr>
              <w:t>9</w:t>
            </w:r>
            <w:r w:rsidR="00023CC8" w:rsidRPr="00023CC8">
              <w:rPr>
                <w:noProof/>
                <w:webHidden/>
                <w:color w:val="000000" w:themeColor="text1"/>
              </w:rPr>
              <w:fldChar w:fldCharType="end"/>
            </w:r>
          </w:hyperlink>
        </w:p>
        <w:p w14:paraId="7168B749" w14:textId="6E34F764" w:rsidR="00023CC8" w:rsidRPr="00023CC8" w:rsidRDefault="00120410">
          <w:pPr>
            <w:pStyle w:val="TOC1"/>
            <w:tabs>
              <w:tab w:val="right" w:leader="dot" w:pos="9350"/>
            </w:tabs>
            <w:rPr>
              <w:rFonts w:asciiTheme="minorHAnsi" w:eastAsiaTheme="minorEastAsia" w:hAnsiTheme="minorHAnsi" w:cstheme="minorBidi"/>
              <w:noProof/>
              <w:color w:val="000000" w:themeColor="text1"/>
              <w:sz w:val="22"/>
            </w:rPr>
          </w:pPr>
          <w:hyperlink w:anchor="_Toc87363717" w:history="1">
            <w:r w:rsidR="00023CC8" w:rsidRPr="00023CC8">
              <w:rPr>
                <w:rStyle w:val="Hyperlink"/>
                <w:noProof/>
                <w:color w:val="000000" w:themeColor="text1"/>
              </w:rPr>
              <w:t>8 REFERENCES</w:t>
            </w:r>
            <w:r w:rsidR="00023CC8" w:rsidRPr="00023CC8">
              <w:rPr>
                <w:noProof/>
                <w:webHidden/>
                <w:color w:val="000000" w:themeColor="text1"/>
              </w:rPr>
              <w:tab/>
            </w:r>
            <w:r w:rsidR="00023CC8" w:rsidRPr="00023CC8">
              <w:rPr>
                <w:noProof/>
                <w:webHidden/>
                <w:color w:val="000000" w:themeColor="text1"/>
              </w:rPr>
              <w:fldChar w:fldCharType="begin"/>
            </w:r>
            <w:r w:rsidR="00023CC8" w:rsidRPr="00023CC8">
              <w:rPr>
                <w:noProof/>
                <w:webHidden/>
                <w:color w:val="000000" w:themeColor="text1"/>
              </w:rPr>
              <w:instrText xml:space="preserve"> PAGEREF _Toc87363717 \h </w:instrText>
            </w:r>
            <w:r w:rsidR="00023CC8" w:rsidRPr="00023CC8">
              <w:rPr>
                <w:noProof/>
                <w:webHidden/>
                <w:color w:val="000000" w:themeColor="text1"/>
              </w:rPr>
            </w:r>
            <w:r w:rsidR="00023CC8" w:rsidRPr="00023CC8">
              <w:rPr>
                <w:noProof/>
                <w:webHidden/>
                <w:color w:val="000000" w:themeColor="text1"/>
              </w:rPr>
              <w:fldChar w:fldCharType="separate"/>
            </w:r>
            <w:r w:rsidR="00023CC8" w:rsidRPr="00023CC8">
              <w:rPr>
                <w:noProof/>
                <w:webHidden/>
                <w:color w:val="000000" w:themeColor="text1"/>
              </w:rPr>
              <w:t>11</w:t>
            </w:r>
            <w:r w:rsidR="00023CC8" w:rsidRPr="00023CC8">
              <w:rPr>
                <w:noProof/>
                <w:webHidden/>
                <w:color w:val="000000" w:themeColor="text1"/>
              </w:rPr>
              <w:fldChar w:fldCharType="end"/>
            </w:r>
          </w:hyperlink>
        </w:p>
        <w:p w14:paraId="19D46BEA" w14:textId="594C67C0" w:rsidR="002410AE" w:rsidRPr="00023CC8" w:rsidRDefault="002410AE" w:rsidP="00A85135">
          <w:pPr>
            <w:ind w:left="10"/>
            <w:rPr>
              <w:color w:val="000000" w:themeColor="text1"/>
            </w:rPr>
          </w:pPr>
          <w:r w:rsidRPr="00023CC8">
            <w:rPr>
              <w:b/>
              <w:bCs/>
              <w:noProof/>
              <w:color w:val="000000" w:themeColor="text1"/>
            </w:rPr>
            <w:fldChar w:fldCharType="end"/>
          </w:r>
        </w:p>
      </w:sdtContent>
    </w:sdt>
    <w:p w14:paraId="5153E87C" w14:textId="1AC5428E" w:rsidR="002410AE" w:rsidRPr="00B439D0" w:rsidRDefault="002410AE" w:rsidP="00A85135">
      <w:pPr>
        <w:spacing w:after="160" w:line="259" w:lineRule="auto"/>
        <w:ind w:left="10"/>
        <w:rPr>
          <w:color w:val="000000" w:themeColor="text1"/>
        </w:rPr>
      </w:pPr>
      <w:r w:rsidRPr="00B439D0">
        <w:rPr>
          <w:color w:val="000000" w:themeColor="text1"/>
        </w:rPr>
        <w:br w:type="page"/>
      </w:r>
    </w:p>
    <w:p w14:paraId="1C96FF54" w14:textId="77777777" w:rsidR="002410AE" w:rsidRPr="00B439D0" w:rsidRDefault="002410AE" w:rsidP="00A85135">
      <w:pPr>
        <w:spacing w:after="160" w:line="259" w:lineRule="auto"/>
        <w:ind w:left="10"/>
        <w:rPr>
          <w:color w:val="000000" w:themeColor="text1"/>
        </w:rPr>
      </w:pPr>
    </w:p>
    <w:p w14:paraId="3B6F79F4" w14:textId="77777777" w:rsidR="00466E2F" w:rsidRPr="00B439D0" w:rsidRDefault="002410AE" w:rsidP="00A85135">
      <w:pPr>
        <w:pStyle w:val="Heading1"/>
        <w:ind w:left="10"/>
        <w:rPr>
          <w:color w:val="000000" w:themeColor="text1"/>
        </w:rPr>
      </w:pPr>
      <w:bookmarkStart w:id="3" w:name="_Toc87363710"/>
      <w:r w:rsidRPr="00B439D0">
        <w:rPr>
          <w:color w:val="000000" w:themeColor="text1"/>
        </w:rPr>
        <w:t>1 INTRODUCTION</w:t>
      </w:r>
      <w:bookmarkEnd w:id="3"/>
      <w:r w:rsidRPr="00B439D0">
        <w:rPr>
          <w:color w:val="000000" w:themeColor="text1"/>
        </w:rPr>
        <w:t xml:space="preserve"> </w:t>
      </w:r>
    </w:p>
    <w:p w14:paraId="0C9BE689" w14:textId="4A04564F" w:rsidR="00466E2F" w:rsidRPr="00B439D0" w:rsidRDefault="006B55EE" w:rsidP="006B55EE">
      <w:pPr>
        <w:spacing w:line="480" w:lineRule="auto"/>
        <w:ind w:left="10"/>
        <w:rPr>
          <w:color w:val="000000" w:themeColor="text1"/>
        </w:rPr>
      </w:pPr>
      <w:r w:rsidRPr="006B55EE">
        <w:rPr>
          <w:color w:val="000000" w:themeColor="text1"/>
        </w:rPr>
        <w:t>In the context of CKD etiologies, randomized controlled trials (RCTs) play a fundamental role in establishing evidence of the drug effects. Therefore, the statistical analysis of data in such RCTs has a core significance. This section addresses every detail relevant to collecting the data, the collection protocol, analyzing the data, and using the most relevant statistical methods to accomplish the goal of this study.</w:t>
      </w:r>
    </w:p>
    <w:p w14:paraId="7F50F9D9" w14:textId="77777777" w:rsidR="00466E2F" w:rsidRPr="00B439D0" w:rsidRDefault="00466E2F" w:rsidP="00A85135">
      <w:pPr>
        <w:pStyle w:val="Heading1"/>
        <w:ind w:left="10"/>
        <w:rPr>
          <w:color w:val="000000" w:themeColor="text1"/>
        </w:rPr>
      </w:pPr>
    </w:p>
    <w:p w14:paraId="3F739766" w14:textId="77777777" w:rsidR="00466E2F" w:rsidRPr="00B439D0" w:rsidRDefault="00466E2F" w:rsidP="00A85135">
      <w:pPr>
        <w:pStyle w:val="Heading1"/>
        <w:ind w:left="10"/>
        <w:rPr>
          <w:color w:val="000000" w:themeColor="text1"/>
        </w:rPr>
      </w:pPr>
    </w:p>
    <w:p w14:paraId="01DA712C" w14:textId="0249255A" w:rsidR="002410AE" w:rsidRPr="00B439D0" w:rsidRDefault="002410AE" w:rsidP="00A85135">
      <w:pPr>
        <w:pStyle w:val="Heading1"/>
        <w:ind w:left="10"/>
        <w:rPr>
          <w:color w:val="000000" w:themeColor="text1"/>
        </w:rPr>
      </w:pPr>
      <w:bookmarkStart w:id="4" w:name="_Toc87363711"/>
      <w:r w:rsidRPr="00B439D0">
        <w:rPr>
          <w:color w:val="000000" w:themeColor="text1"/>
        </w:rPr>
        <w:t xml:space="preserve">2 DATA SOURCE </w:t>
      </w:r>
      <w:r w:rsidR="00A40AA2">
        <w:rPr>
          <w:color w:val="000000" w:themeColor="text1"/>
        </w:rPr>
        <w:t>AND COLLECTION PROTOCOL</w:t>
      </w:r>
      <w:bookmarkEnd w:id="4"/>
    </w:p>
    <w:p w14:paraId="5DC07912" w14:textId="3C837224" w:rsidR="00A40AA2" w:rsidRPr="00A40AA2" w:rsidRDefault="00A40AA2" w:rsidP="006B55EE">
      <w:pPr>
        <w:spacing w:line="480" w:lineRule="auto"/>
        <w:ind w:left="10"/>
        <w:rPr>
          <w:color w:val="000000" w:themeColor="text1"/>
        </w:rPr>
      </w:pPr>
      <w:r w:rsidRPr="00A40AA2">
        <w:rPr>
          <w:color w:val="000000" w:themeColor="text1"/>
        </w:rPr>
        <w:t xml:space="preserve">Inclusion criteria are </w:t>
      </w:r>
      <w:r>
        <w:rPr>
          <w:color w:val="000000" w:themeColor="text1"/>
        </w:rPr>
        <w:t>the following three:</w:t>
      </w:r>
    </w:p>
    <w:p w14:paraId="276B9FD8" w14:textId="6AABD969" w:rsidR="00A40AA2" w:rsidRPr="00A40AA2" w:rsidRDefault="00A40AA2" w:rsidP="00A40AA2">
      <w:pPr>
        <w:pStyle w:val="ListParagraph"/>
        <w:numPr>
          <w:ilvl w:val="0"/>
          <w:numId w:val="3"/>
        </w:numPr>
        <w:rPr>
          <w:rFonts w:ascii="Times New Roman" w:hAnsi="Times New Roman"/>
          <w:sz w:val="24"/>
          <w:szCs w:val="24"/>
        </w:rPr>
      </w:pPr>
      <w:r w:rsidRPr="00A40AA2">
        <w:rPr>
          <w:rFonts w:ascii="Times New Roman" w:hAnsi="Times New Roman"/>
          <w:sz w:val="24"/>
          <w:szCs w:val="24"/>
        </w:rPr>
        <w:t>Non-diabetic CKD patients, stage 3&amp;4.</w:t>
      </w:r>
    </w:p>
    <w:p w14:paraId="66DFDEFC" w14:textId="77777777" w:rsidR="00A40AA2" w:rsidRPr="00A40AA2" w:rsidRDefault="00A40AA2" w:rsidP="00A40AA2">
      <w:pPr>
        <w:pStyle w:val="ListParagraph"/>
        <w:numPr>
          <w:ilvl w:val="0"/>
          <w:numId w:val="3"/>
        </w:numPr>
        <w:rPr>
          <w:rFonts w:ascii="Times New Roman" w:hAnsi="Times New Roman"/>
          <w:sz w:val="24"/>
          <w:szCs w:val="24"/>
        </w:rPr>
      </w:pPr>
      <w:r w:rsidRPr="00A40AA2">
        <w:rPr>
          <w:rFonts w:ascii="Times New Roman" w:hAnsi="Times New Roman"/>
          <w:sz w:val="24"/>
          <w:szCs w:val="24"/>
        </w:rPr>
        <w:t>Age ≥ 18 years.</w:t>
      </w:r>
    </w:p>
    <w:p w14:paraId="357A4842" w14:textId="77777777" w:rsidR="00A40AA2" w:rsidRPr="00A40AA2" w:rsidRDefault="00A40AA2" w:rsidP="00A40AA2">
      <w:pPr>
        <w:pStyle w:val="ListParagraph"/>
        <w:numPr>
          <w:ilvl w:val="0"/>
          <w:numId w:val="3"/>
        </w:numPr>
        <w:rPr>
          <w:rFonts w:ascii="Times New Roman" w:hAnsi="Times New Roman"/>
          <w:sz w:val="24"/>
          <w:szCs w:val="24"/>
        </w:rPr>
      </w:pPr>
      <w:r w:rsidRPr="00A40AA2">
        <w:rPr>
          <w:rFonts w:ascii="Times New Roman" w:hAnsi="Times New Roman"/>
          <w:sz w:val="24"/>
          <w:szCs w:val="24"/>
        </w:rPr>
        <w:t>Both male &amp; females</w:t>
      </w:r>
    </w:p>
    <w:p w14:paraId="176F81CA" w14:textId="77777777" w:rsidR="006B55EE" w:rsidRDefault="006B55EE" w:rsidP="006B55EE">
      <w:pPr>
        <w:spacing w:line="480" w:lineRule="auto"/>
        <w:ind w:left="10"/>
        <w:rPr>
          <w:color w:val="000000" w:themeColor="text1"/>
        </w:rPr>
      </w:pPr>
    </w:p>
    <w:p w14:paraId="14F886D8" w14:textId="3D0F8509" w:rsidR="00A40AA2" w:rsidRPr="00A40AA2" w:rsidRDefault="00A40AA2" w:rsidP="006B55EE">
      <w:pPr>
        <w:spacing w:line="480" w:lineRule="auto"/>
        <w:ind w:left="10"/>
        <w:rPr>
          <w:color w:val="000000" w:themeColor="text1"/>
        </w:rPr>
      </w:pPr>
      <w:r w:rsidRPr="00A40AA2">
        <w:rPr>
          <w:color w:val="000000" w:themeColor="text1"/>
        </w:rPr>
        <w:t>The following are the five exclusion criteria:</w:t>
      </w:r>
    </w:p>
    <w:p w14:paraId="352D896F" w14:textId="77777777" w:rsidR="00A40AA2" w:rsidRPr="00BA2A00" w:rsidRDefault="00A40AA2" w:rsidP="00A40AA2">
      <w:pPr>
        <w:pStyle w:val="ListParagraph"/>
        <w:numPr>
          <w:ilvl w:val="0"/>
          <w:numId w:val="4"/>
        </w:numPr>
        <w:rPr>
          <w:rFonts w:ascii="Times New Roman" w:hAnsi="Times New Roman"/>
          <w:sz w:val="24"/>
          <w:szCs w:val="24"/>
        </w:rPr>
      </w:pPr>
      <w:r w:rsidRPr="00BA2A00">
        <w:rPr>
          <w:rFonts w:ascii="Times New Roman" w:hAnsi="Times New Roman"/>
          <w:sz w:val="24"/>
          <w:szCs w:val="24"/>
        </w:rPr>
        <w:t>Major surgery during the last 6 months</w:t>
      </w:r>
    </w:p>
    <w:p w14:paraId="2EFE254B" w14:textId="7C69BADC" w:rsidR="00A40AA2" w:rsidRPr="00BA2A00" w:rsidRDefault="00A40AA2" w:rsidP="00A40AA2">
      <w:pPr>
        <w:pStyle w:val="ListParagraph"/>
        <w:numPr>
          <w:ilvl w:val="0"/>
          <w:numId w:val="4"/>
        </w:numPr>
        <w:rPr>
          <w:rFonts w:ascii="Times New Roman" w:hAnsi="Times New Roman"/>
          <w:sz w:val="24"/>
          <w:szCs w:val="24"/>
        </w:rPr>
      </w:pPr>
      <w:r w:rsidRPr="00BA2A00">
        <w:rPr>
          <w:rFonts w:ascii="Times New Roman" w:hAnsi="Times New Roman"/>
          <w:sz w:val="24"/>
          <w:szCs w:val="24"/>
        </w:rPr>
        <w:t>Pregnant or nursing mothers</w:t>
      </w:r>
    </w:p>
    <w:p w14:paraId="66E96A09" w14:textId="53B25B69" w:rsidR="00A40AA2" w:rsidRPr="00BA2A00" w:rsidRDefault="00A40AA2" w:rsidP="00A40AA2">
      <w:pPr>
        <w:pStyle w:val="ListParagraph"/>
        <w:numPr>
          <w:ilvl w:val="0"/>
          <w:numId w:val="4"/>
        </w:numPr>
        <w:rPr>
          <w:rFonts w:ascii="Times New Roman" w:hAnsi="Times New Roman"/>
          <w:sz w:val="24"/>
          <w:szCs w:val="24"/>
        </w:rPr>
      </w:pPr>
      <w:r w:rsidRPr="00BA2A00">
        <w:rPr>
          <w:rFonts w:ascii="Times New Roman" w:hAnsi="Times New Roman"/>
          <w:sz w:val="24"/>
          <w:szCs w:val="24"/>
        </w:rPr>
        <w:t>Patients on transplantation list</w:t>
      </w:r>
    </w:p>
    <w:p w14:paraId="2395D987" w14:textId="63447110" w:rsidR="00A40AA2" w:rsidRPr="00BA2A00" w:rsidRDefault="00A40AA2" w:rsidP="00A40AA2">
      <w:pPr>
        <w:pStyle w:val="ListParagraph"/>
        <w:numPr>
          <w:ilvl w:val="0"/>
          <w:numId w:val="4"/>
        </w:numPr>
        <w:rPr>
          <w:rFonts w:ascii="Times New Roman" w:hAnsi="Times New Roman"/>
          <w:sz w:val="24"/>
          <w:szCs w:val="24"/>
        </w:rPr>
      </w:pPr>
      <w:r w:rsidRPr="00BA2A00">
        <w:rPr>
          <w:rFonts w:ascii="Times New Roman" w:hAnsi="Times New Roman"/>
          <w:sz w:val="24"/>
          <w:szCs w:val="24"/>
        </w:rPr>
        <w:t>Patients on dialysis</w:t>
      </w:r>
    </w:p>
    <w:p w14:paraId="46C6C5FE" w14:textId="7F328374" w:rsidR="00A40AA2" w:rsidRPr="00BA2A00" w:rsidRDefault="00A40AA2" w:rsidP="00A40AA2">
      <w:pPr>
        <w:pStyle w:val="ListParagraph"/>
        <w:numPr>
          <w:ilvl w:val="0"/>
          <w:numId w:val="4"/>
        </w:numPr>
        <w:rPr>
          <w:rFonts w:ascii="Times New Roman" w:hAnsi="Times New Roman"/>
          <w:sz w:val="24"/>
          <w:szCs w:val="24"/>
        </w:rPr>
      </w:pPr>
      <w:r w:rsidRPr="00BA2A00">
        <w:rPr>
          <w:rFonts w:ascii="Times New Roman" w:hAnsi="Times New Roman"/>
          <w:sz w:val="24"/>
          <w:szCs w:val="24"/>
        </w:rPr>
        <w:t>Patients who are allergic to any drug</w:t>
      </w:r>
    </w:p>
    <w:p w14:paraId="52A672B8" w14:textId="5BE78F8B" w:rsidR="00A40AA2" w:rsidRPr="00BA2A00" w:rsidRDefault="00A40AA2" w:rsidP="00A40AA2">
      <w:pPr>
        <w:pStyle w:val="ListParagraph"/>
        <w:numPr>
          <w:ilvl w:val="0"/>
          <w:numId w:val="4"/>
        </w:numPr>
        <w:rPr>
          <w:rFonts w:ascii="Times New Roman" w:hAnsi="Times New Roman"/>
          <w:sz w:val="24"/>
          <w:szCs w:val="24"/>
        </w:rPr>
      </w:pPr>
      <w:r w:rsidRPr="00BA2A00">
        <w:rPr>
          <w:rFonts w:ascii="Times New Roman" w:hAnsi="Times New Roman"/>
          <w:sz w:val="24"/>
          <w:szCs w:val="24"/>
        </w:rPr>
        <w:t>Patients with malignancy</w:t>
      </w:r>
    </w:p>
    <w:p w14:paraId="6F0BDD16" w14:textId="104AF1B7" w:rsidR="00A40AA2" w:rsidRDefault="00A40AA2" w:rsidP="00A40AA2">
      <w:pPr>
        <w:rPr>
          <w:szCs w:val="24"/>
        </w:rPr>
      </w:pPr>
    </w:p>
    <w:p w14:paraId="7B239557" w14:textId="01BAC4BA" w:rsidR="00A40AA2" w:rsidRPr="00A145C4" w:rsidRDefault="00A40AA2" w:rsidP="00A145C4">
      <w:pPr>
        <w:spacing w:line="480" w:lineRule="auto"/>
        <w:ind w:left="10"/>
        <w:rPr>
          <w:color w:val="000000" w:themeColor="text1"/>
        </w:rPr>
      </w:pPr>
      <w:r w:rsidRPr="00A145C4">
        <w:rPr>
          <w:color w:val="000000" w:themeColor="text1"/>
        </w:rPr>
        <w:t xml:space="preserve">Patients </w:t>
      </w:r>
      <w:r w:rsidR="0032178B" w:rsidRPr="00A145C4">
        <w:rPr>
          <w:color w:val="000000" w:themeColor="text1"/>
        </w:rPr>
        <w:t>meeting</w:t>
      </w:r>
      <w:r w:rsidRPr="00A145C4">
        <w:rPr>
          <w:color w:val="000000" w:themeColor="text1"/>
        </w:rPr>
        <w:t xml:space="preserve"> the inclusion criteria will be included in the study after they have signed the informed consent form. </w:t>
      </w:r>
      <w:r w:rsidR="00A145C4">
        <w:rPr>
          <w:color w:val="000000" w:themeColor="text1"/>
        </w:rPr>
        <w:t xml:space="preserve">Patients will come to the hospital for </w:t>
      </w:r>
      <w:r w:rsidR="00AA1034">
        <w:rPr>
          <w:color w:val="000000" w:themeColor="text1"/>
        </w:rPr>
        <w:t>five</w:t>
      </w:r>
      <w:r w:rsidR="00A145C4">
        <w:rPr>
          <w:color w:val="000000" w:themeColor="text1"/>
        </w:rPr>
        <w:t xml:space="preserve"> visits</w:t>
      </w:r>
      <w:r w:rsidR="00AA1034">
        <w:rPr>
          <w:color w:val="000000" w:themeColor="text1"/>
        </w:rPr>
        <w:t xml:space="preserve">: baseline, 1 month, 2 months, 3 months, and </w:t>
      </w:r>
      <w:r w:rsidR="006B3E4F">
        <w:rPr>
          <w:color w:val="000000" w:themeColor="text1"/>
        </w:rPr>
        <w:t>final assessment (Figure 1)</w:t>
      </w:r>
      <w:r w:rsidR="00A145C4">
        <w:rPr>
          <w:color w:val="000000" w:themeColor="text1"/>
        </w:rPr>
        <w:t xml:space="preserve">. During the first visit baseline measurements </w:t>
      </w:r>
      <w:r w:rsidR="00A145C4">
        <w:rPr>
          <w:color w:val="000000" w:themeColor="text1"/>
        </w:rPr>
        <w:lastRenderedPageBreak/>
        <w:t xml:space="preserve">will be recorded, </w:t>
      </w:r>
      <w:r w:rsidRPr="00A145C4">
        <w:rPr>
          <w:color w:val="000000" w:themeColor="text1"/>
        </w:rPr>
        <w:t xml:space="preserve">and </w:t>
      </w:r>
      <w:r w:rsidR="00A145C4">
        <w:rPr>
          <w:color w:val="000000" w:themeColor="text1"/>
        </w:rPr>
        <w:t xml:space="preserve">the three following visits will allow for the </w:t>
      </w:r>
      <w:r w:rsidR="00AA1034">
        <w:rPr>
          <w:color w:val="000000" w:themeColor="text1"/>
        </w:rPr>
        <w:t>30-day</w:t>
      </w:r>
      <w:r w:rsidR="00A145C4">
        <w:rPr>
          <w:color w:val="000000" w:themeColor="text1"/>
        </w:rPr>
        <w:t>, 60</w:t>
      </w:r>
      <w:r w:rsidR="00AA1034">
        <w:rPr>
          <w:color w:val="000000" w:themeColor="text1"/>
        </w:rPr>
        <w:t>-</w:t>
      </w:r>
      <w:r w:rsidR="00A145C4">
        <w:rPr>
          <w:color w:val="000000" w:themeColor="text1"/>
        </w:rPr>
        <w:t>day, and 90</w:t>
      </w:r>
      <w:r w:rsidR="00AA1034">
        <w:rPr>
          <w:color w:val="000000" w:themeColor="text1"/>
        </w:rPr>
        <w:t>-</w:t>
      </w:r>
      <w:r w:rsidR="00A145C4">
        <w:rPr>
          <w:color w:val="000000" w:themeColor="text1"/>
        </w:rPr>
        <w:t>day measurements respectively</w:t>
      </w:r>
      <w:r w:rsidRPr="00A145C4">
        <w:rPr>
          <w:color w:val="000000" w:themeColor="text1"/>
        </w:rPr>
        <w:t>.</w:t>
      </w:r>
    </w:p>
    <w:p w14:paraId="1F2513A8" w14:textId="583165E0" w:rsidR="00A40AA2" w:rsidRPr="00A145C4" w:rsidRDefault="00A40AA2" w:rsidP="00A145C4">
      <w:pPr>
        <w:spacing w:line="480" w:lineRule="auto"/>
        <w:ind w:left="10"/>
        <w:rPr>
          <w:color w:val="000000" w:themeColor="text1"/>
        </w:rPr>
      </w:pPr>
      <w:r w:rsidRPr="00A145C4">
        <w:rPr>
          <w:color w:val="000000" w:themeColor="text1"/>
        </w:rPr>
        <w:t>Those patients who will return on visit 2, will be randomized into one of the treatment group</w:t>
      </w:r>
      <w:r w:rsidR="00A145C4">
        <w:rPr>
          <w:color w:val="000000" w:themeColor="text1"/>
        </w:rPr>
        <w:t>s</w:t>
      </w:r>
      <w:r w:rsidRPr="00A145C4">
        <w:rPr>
          <w:color w:val="000000" w:themeColor="text1"/>
        </w:rPr>
        <w:t xml:space="preserve"> in </w:t>
      </w:r>
      <w:r w:rsidR="00A145C4">
        <w:rPr>
          <w:color w:val="000000" w:themeColor="text1"/>
        </w:rPr>
        <w:t xml:space="preserve">a </w:t>
      </w:r>
      <w:r w:rsidRPr="00A145C4">
        <w:rPr>
          <w:color w:val="000000" w:themeColor="text1"/>
        </w:rPr>
        <w:t>1:1 ratio. A randomization li</w:t>
      </w:r>
      <w:r w:rsidR="006760E3">
        <w:rPr>
          <w:color w:val="000000" w:themeColor="text1"/>
        </w:rPr>
        <w:t>st will be generated by IRT system</w:t>
      </w:r>
      <w:r w:rsidRPr="00A145C4">
        <w:rPr>
          <w:color w:val="000000" w:themeColor="text1"/>
        </w:rPr>
        <w:t>.</w:t>
      </w:r>
    </w:p>
    <w:p w14:paraId="1B16EBEE" w14:textId="2AC5D3E4" w:rsidR="00A40AA2" w:rsidRPr="00A145C4" w:rsidRDefault="00A40AA2" w:rsidP="00A145C4">
      <w:pPr>
        <w:spacing w:line="480" w:lineRule="auto"/>
        <w:ind w:left="10"/>
        <w:rPr>
          <w:color w:val="000000" w:themeColor="text1"/>
        </w:rPr>
      </w:pPr>
      <w:r w:rsidRPr="00A145C4">
        <w:rPr>
          <w:color w:val="000000" w:themeColor="text1"/>
        </w:rPr>
        <w:t xml:space="preserve">Baseline investigations will be done at this time. The patients will then be asked to return at 1, 2 and at 3rd month. In between this time, telephonic </w:t>
      </w:r>
      <w:r w:rsidR="00DE22EA">
        <w:rPr>
          <w:color w:val="000000" w:themeColor="text1"/>
        </w:rPr>
        <w:t>follow up</w:t>
      </w:r>
      <w:r w:rsidRPr="00A145C4">
        <w:rPr>
          <w:color w:val="000000" w:themeColor="text1"/>
        </w:rPr>
        <w:t xml:space="preserve"> will be maintained with patients for their safety and in case any adverse events</w:t>
      </w:r>
      <w:r w:rsidR="00AA1034">
        <w:rPr>
          <w:color w:val="000000" w:themeColor="text1"/>
        </w:rPr>
        <w:t xml:space="preserve"> start to emerge</w:t>
      </w:r>
      <w:r w:rsidRPr="00A145C4">
        <w:rPr>
          <w:color w:val="000000" w:themeColor="text1"/>
        </w:rPr>
        <w:t xml:space="preserve">. </w:t>
      </w:r>
    </w:p>
    <w:p w14:paraId="31BFF5D3" w14:textId="4D19FEA8" w:rsidR="00A40AA2" w:rsidRPr="00A145C4" w:rsidRDefault="00AA1034" w:rsidP="00AA1034">
      <w:pPr>
        <w:spacing w:line="480" w:lineRule="auto"/>
        <w:ind w:left="10"/>
        <w:rPr>
          <w:color w:val="000000" w:themeColor="text1"/>
        </w:rPr>
      </w:pPr>
      <w:r>
        <w:rPr>
          <w:color w:val="000000" w:themeColor="text1"/>
        </w:rPr>
        <w:t xml:space="preserve">Table 1 presents the thirty-five variables that will be collected from the subjects throughout the 90-day period. </w:t>
      </w:r>
      <w:r w:rsidR="00A40AA2" w:rsidRPr="00A145C4">
        <w:rPr>
          <w:color w:val="000000" w:themeColor="text1"/>
        </w:rPr>
        <w:t xml:space="preserve">At the completion of the study, all the participants will be asked for a follow up after 30 </w:t>
      </w:r>
      <w:r w:rsidR="006760E3">
        <w:rPr>
          <w:color w:val="000000" w:themeColor="text1"/>
        </w:rPr>
        <w:t>day.</w:t>
      </w:r>
      <w:r w:rsidR="00A40AA2" w:rsidRPr="00A145C4">
        <w:rPr>
          <w:color w:val="000000" w:themeColor="text1"/>
        </w:rPr>
        <w:t xml:space="preserve"> </w:t>
      </w:r>
    </w:p>
    <w:p w14:paraId="3C3C94C1" w14:textId="77777777" w:rsidR="00A40AA2" w:rsidRDefault="002410AE" w:rsidP="00A85135">
      <w:pPr>
        <w:spacing w:line="259" w:lineRule="auto"/>
        <w:ind w:left="10"/>
        <w:rPr>
          <w:color w:val="000000" w:themeColor="text1"/>
        </w:rPr>
      </w:pPr>
      <w:r w:rsidRPr="00B439D0">
        <w:rPr>
          <w:color w:val="000000" w:themeColor="text1"/>
        </w:rPr>
        <w:t xml:space="preserve"> </w:t>
      </w:r>
    </w:p>
    <w:p w14:paraId="71FC9042" w14:textId="77777777" w:rsidR="000154B2" w:rsidRDefault="00462C20">
      <w:pPr>
        <w:spacing w:after="160" w:line="259" w:lineRule="auto"/>
        <w:ind w:left="0" w:firstLine="0"/>
        <w:rPr>
          <w:color w:val="000000" w:themeColor="text1"/>
        </w:rPr>
      </w:pPr>
      <w:r w:rsidRPr="00462C20">
        <w:rPr>
          <w:noProof/>
          <w:color w:val="000000" w:themeColor="text1"/>
        </w:rPr>
        <w:drawing>
          <wp:inline distT="0" distB="0" distL="0" distR="0" wp14:anchorId="34332757" wp14:editId="62C635D1">
            <wp:extent cx="5943600" cy="1388745"/>
            <wp:effectExtent l="0" t="0" r="19050" b="20955"/>
            <wp:docPr id="3" name="Diagram 3">
              <a:extLst xmlns:a="http://schemas.openxmlformats.org/drawingml/2006/main">
                <a:ext uri="{FF2B5EF4-FFF2-40B4-BE49-F238E27FC236}">
                  <a16:creationId xmlns:a16="http://schemas.microsoft.com/office/drawing/2014/main" id="{7A0A77A4-3C9F-4FD1-9AD6-6F5F336CF2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462C20">
        <w:rPr>
          <w:color w:val="000000" w:themeColor="text1"/>
        </w:rPr>
        <w:t xml:space="preserve"> </w:t>
      </w:r>
    </w:p>
    <w:p w14:paraId="7C24A0B0" w14:textId="07EF341A" w:rsidR="005D31AC" w:rsidRDefault="000154B2">
      <w:pPr>
        <w:spacing w:after="160" w:line="259" w:lineRule="auto"/>
        <w:ind w:left="0" w:firstLine="0"/>
        <w:rPr>
          <w:color w:val="000000" w:themeColor="text1"/>
        </w:rPr>
      </w:pPr>
      <w:r>
        <w:rPr>
          <w:color w:val="000000" w:themeColor="text1"/>
        </w:rPr>
        <w:t>Figure 1. The five visits of the study</w:t>
      </w:r>
      <w:r w:rsidR="005D31AC">
        <w:rPr>
          <w:color w:val="000000" w:themeColor="text1"/>
        </w:rPr>
        <w:br w:type="page"/>
      </w:r>
    </w:p>
    <w:p w14:paraId="02B24A59" w14:textId="606ACC18" w:rsidR="00A85135" w:rsidRPr="00B439D0" w:rsidRDefault="00A85135" w:rsidP="00A85135">
      <w:pPr>
        <w:spacing w:line="259" w:lineRule="auto"/>
        <w:ind w:left="10"/>
        <w:rPr>
          <w:color w:val="000000" w:themeColor="text1"/>
        </w:rPr>
      </w:pPr>
      <w:r>
        <w:rPr>
          <w:color w:val="000000" w:themeColor="text1"/>
        </w:rPr>
        <w:lastRenderedPageBreak/>
        <w:t xml:space="preserve">Table 1. </w:t>
      </w:r>
      <w:r w:rsidR="006B55EE">
        <w:rPr>
          <w:color w:val="000000" w:themeColor="text1"/>
        </w:rPr>
        <w:t>The thirty-five variables of the study</w:t>
      </w:r>
    </w:p>
    <w:tbl>
      <w:tblPr>
        <w:tblStyle w:val="GridTable1Light"/>
        <w:tblW w:w="0" w:type="auto"/>
        <w:tblLook w:val="04A0" w:firstRow="1" w:lastRow="0" w:firstColumn="1" w:lastColumn="0" w:noHBand="0" w:noVBand="1"/>
      </w:tblPr>
      <w:tblGrid>
        <w:gridCol w:w="1850"/>
        <w:gridCol w:w="1139"/>
        <w:gridCol w:w="5920"/>
      </w:tblGrid>
      <w:tr w:rsidR="00651A8E" w:rsidRPr="00A85135" w14:paraId="32517387" w14:textId="77777777" w:rsidTr="00453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155439E6" w14:textId="42E09A47" w:rsidR="00B439D0" w:rsidRPr="00A85135" w:rsidRDefault="00B439D0" w:rsidP="00A85135">
            <w:pPr>
              <w:spacing w:line="240" w:lineRule="auto"/>
              <w:ind w:left="10"/>
              <w:rPr>
                <w:color w:val="000000" w:themeColor="text1"/>
                <w:sz w:val="20"/>
                <w:szCs w:val="20"/>
              </w:rPr>
            </w:pPr>
            <w:r w:rsidRPr="00A85135">
              <w:rPr>
                <w:color w:val="000000" w:themeColor="text1"/>
                <w:sz w:val="20"/>
                <w:szCs w:val="20"/>
              </w:rPr>
              <w:t>Variable</w:t>
            </w:r>
          </w:p>
        </w:tc>
        <w:tc>
          <w:tcPr>
            <w:tcW w:w="1139" w:type="dxa"/>
          </w:tcPr>
          <w:p w14:paraId="5B3DF456" w14:textId="31ED1ED5" w:rsidR="00B439D0" w:rsidRPr="00A85135" w:rsidRDefault="00B439D0" w:rsidP="00A85135">
            <w:pPr>
              <w:spacing w:line="240" w:lineRule="auto"/>
              <w:ind w:left="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Data Type</w:t>
            </w:r>
          </w:p>
        </w:tc>
        <w:tc>
          <w:tcPr>
            <w:tcW w:w="5920" w:type="dxa"/>
          </w:tcPr>
          <w:p w14:paraId="72D36187" w14:textId="4C42DB75" w:rsidR="00B439D0" w:rsidRPr="00A85135" w:rsidRDefault="00555B48" w:rsidP="00A85135">
            <w:pPr>
              <w:spacing w:line="240" w:lineRule="auto"/>
              <w:ind w:left="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Description</w:t>
            </w:r>
          </w:p>
        </w:tc>
      </w:tr>
      <w:tr w:rsidR="00CE344A" w:rsidRPr="00A85135" w14:paraId="7BD66F4B"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150A37C2" w14:textId="6317CBFD"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Age</w:t>
            </w:r>
          </w:p>
        </w:tc>
        <w:tc>
          <w:tcPr>
            <w:tcW w:w="1139" w:type="dxa"/>
          </w:tcPr>
          <w:p w14:paraId="4409BF01" w14:textId="22F9A0F3"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44F165AD" w14:textId="7777777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CE344A" w:rsidRPr="00A85135" w14:paraId="6ACE30F4"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5DD3597D" w14:textId="5DA03D4D"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Gender</w:t>
            </w:r>
          </w:p>
        </w:tc>
        <w:tc>
          <w:tcPr>
            <w:tcW w:w="1139" w:type="dxa"/>
          </w:tcPr>
          <w:p w14:paraId="101CF139" w14:textId="675CA78F"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Binary</w:t>
            </w:r>
          </w:p>
        </w:tc>
        <w:tc>
          <w:tcPr>
            <w:tcW w:w="5920" w:type="dxa"/>
          </w:tcPr>
          <w:p w14:paraId="415EBEE5" w14:textId="7777777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CE344A" w:rsidRPr="00A85135" w14:paraId="37B7A6DD"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73279CCA" w14:textId="68950B10"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Ethnicity</w:t>
            </w:r>
          </w:p>
        </w:tc>
        <w:tc>
          <w:tcPr>
            <w:tcW w:w="1139" w:type="dxa"/>
          </w:tcPr>
          <w:p w14:paraId="51B6F552" w14:textId="38D6572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Categorical</w:t>
            </w:r>
          </w:p>
        </w:tc>
        <w:tc>
          <w:tcPr>
            <w:tcW w:w="5920" w:type="dxa"/>
          </w:tcPr>
          <w:p w14:paraId="72EE36C2" w14:textId="7777777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CE344A" w:rsidRPr="00A85135" w14:paraId="6A0992A0"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79C9C2B4" w14:textId="7A9C7496"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TotalCholesterol</w:t>
            </w:r>
          </w:p>
        </w:tc>
        <w:tc>
          <w:tcPr>
            <w:tcW w:w="1139" w:type="dxa"/>
          </w:tcPr>
          <w:p w14:paraId="4C3F6A3A" w14:textId="5AFB424D"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37DB1035" w14:textId="49D0344E"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 xml:space="preserve">Baseline Total Cholesterol </w:t>
            </w:r>
          </w:p>
        </w:tc>
      </w:tr>
      <w:tr w:rsidR="00CE344A" w:rsidRPr="00A85135" w14:paraId="51938498"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0C4AE802" w14:textId="0B467E57"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HDL</w:t>
            </w:r>
          </w:p>
        </w:tc>
        <w:tc>
          <w:tcPr>
            <w:tcW w:w="1139" w:type="dxa"/>
          </w:tcPr>
          <w:p w14:paraId="30B34D13" w14:textId="17BB817D"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69A09C27" w14:textId="43260C0B"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Baseline High density lipoprotein cholesterol</w:t>
            </w:r>
          </w:p>
        </w:tc>
      </w:tr>
      <w:tr w:rsidR="00CE344A" w:rsidRPr="00A85135" w14:paraId="48874485"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0F32A1E0" w14:textId="1ACBC10B"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LDL</w:t>
            </w:r>
          </w:p>
        </w:tc>
        <w:tc>
          <w:tcPr>
            <w:tcW w:w="1139" w:type="dxa"/>
          </w:tcPr>
          <w:p w14:paraId="2478B9FC" w14:textId="0F6369DC"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4683C772" w14:textId="7885D6F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Baseline Low density lipoprotein cholesterol</w:t>
            </w:r>
          </w:p>
        </w:tc>
      </w:tr>
      <w:tr w:rsidR="00CE344A" w:rsidRPr="00A85135" w14:paraId="3CE58E34"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4BDE4651" w14:textId="079B7FC1"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Triglycerides</w:t>
            </w:r>
          </w:p>
        </w:tc>
        <w:tc>
          <w:tcPr>
            <w:tcW w:w="1139" w:type="dxa"/>
          </w:tcPr>
          <w:p w14:paraId="293C6D5D" w14:textId="73E0E16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0E3C5DC2" w14:textId="7602B1AD"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Baseline Triglycerides</w:t>
            </w:r>
          </w:p>
        </w:tc>
      </w:tr>
      <w:tr w:rsidR="00CE344A" w:rsidRPr="00A85135" w14:paraId="50FEAE57"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2A79C636" w14:textId="02C1D3C3"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TotalCholesterol30</w:t>
            </w:r>
          </w:p>
        </w:tc>
        <w:tc>
          <w:tcPr>
            <w:tcW w:w="1139" w:type="dxa"/>
          </w:tcPr>
          <w:p w14:paraId="1CB5DFD6" w14:textId="73F95A45"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0858C809" w14:textId="456FA6DF"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Total Cholesterol after 30 days</w:t>
            </w:r>
          </w:p>
        </w:tc>
      </w:tr>
      <w:tr w:rsidR="00CE344A" w:rsidRPr="00A85135" w14:paraId="338BA4A3"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41F90318" w14:textId="63EF497A"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HDL30</w:t>
            </w:r>
          </w:p>
        </w:tc>
        <w:tc>
          <w:tcPr>
            <w:tcW w:w="1139" w:type="dxa"/>
          </w:tcPr>
          <w:p w14:paraId="08F88B49" w14:textId="400903E0"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420421A6" w14:textId="5AB45BC8"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High density lipoprotein cholesterol after 30 days</w:t>
            </w:r>
          </w:p>
        </w:tc>
      </w:tr>
      <w:tr w:rsidR="00CE344A" w:rsidRPr="00A85135" w14:paraId="36E06066"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7604EAD6" w14:textId="2BE2F9AE"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LDL30</w:t>
            </w:r>
          </w:p>
        </w:tc>
        <w:tc>
          <w:tcPr>
            <w:tcW w:w="1139" w:type="dxa"/>
          </w:tcPr>
          <w:p w14:paraId="35B20050" w14:textId="34E67720"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08C2DE8C" w14:textId="1A28A55A"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Low density lipoprotein cholesterol after 30 days</w:t>
            </w:r>
          </w:p>
        </w:tc>
      </w:tr>
      <w:tr w:rsidR="00CE344A" w:rsidRPr="00A85135" w14:paraId="3D85B349"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204F3565" w14:textId="0A2F83A5"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Triglycerides30</w:t>
            </w:r>
          </w:p>
        </w:tc>
        <w:tc>
          <w:tcPr>
            <w:tcW w:w="1139" w:type="dxa"/>
          </w:tcPr>
          <w:p w14:paraId="19C0246F" w14:textId="0874DCCC"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7B426766" w14:textId="003D2675"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Triglycerides after 30 days</w:t>
            </w:r>
          </w:p>
        </w:tc>
      </w:tr>
      <w:tr w:rsidR="00CE344A" w:rsidRPr="00A85135" w14:paraId="01E60D22"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2FB0B731" w14:textId="12AC1F82"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TotalCholesterol60</w:t>
            </w:r>
          </w:p>
        </w:tc>
        <w:tc>
          <w:tcPr>
            <w:tcW w:w="1139" w:type="dxa"/>
          </w:tcPr>
          <w:p w14:paraId="29709710" w14:textId="1E1FE49C"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5F60067F" w14:textId="1E5F41C1"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Total Cholesterol after 60 days</w:t>
            </w:r>
          </w:p>
        </w:tc>
      </w:tr>
      <w:tr w:rsidR="00CE344A" w:rsidRPr="00A85135" w14:paraId="1DCFE8A0"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5235FC55" w14:textId="1C06DD4B"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HDL60</w:t>
            </w:r>
          </w:p>
        </w:tc>
        <w:tc>
          <w:tcPr>
            <w:tcW w:w="1139" w:type="dxa"/>
          </w:tcPr>
          <w:p w14:paraId="7C1E2CE8" w14:textId="04C37224"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2CADACEE" w14:textId="5694059F"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High density lipoprotein cholesterol after 60 days</w:t>
            </w:r>
          </w:p>
        </w:tc>
      </w:tr>
      <w:tr w:rsidR="00CE344A" w:rsidRPr="00A85135" w14:paraId="503E8305"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60D9AFF5" w14:textId="7A5CCDF5"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LDL60</w:t>
            </w:r>
          </w:p>
        </w:tc>
        <w:tc>
          <w:tcPr>
            <w:tcW w:w="1139" w:type="dxa"/>
          </w:tcPr>
          <w:p w14:paraId="1A4031DB" w14:textId="28AFD66D"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2BC56EF5" w14:textId="6A353BC4"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Low density lipoprotein cholesterol after 60 days</w:t>
            </w:r>
          </w:p>
        </w:tc>
      </w:tr>
      <w:tr w:rsidR="00CE344A" w:rsidRPr="00A85135" w14:paraId="4A8E7D8C"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0096653A" w14:textId="63C6D28E"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Triglycerides60</w:t>
            </w:r>
          </w:p>
        </w:tc>
        <w:tc>
          <w:tcPr>
            <w:tcW w:w="1139" w:type="dxa"/>
          </w:tcPr>
          <w:p w14:paraId="24B616BF" w14:textId="6E9F0F25"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78936B76" w14:textId="7499EFA1"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Triglycerides after 60 days</w:t>
            </w:r>
          </w:p>
        </w:tc>
      </w:tr>
      <w:tr w:rsidR="00CE344A" w:rsidRPr="00A85135" w14:paraId="356461C6"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648880E8" w14:textId="57BE8D0D"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TotalCholesterol90</w:t>
            </w:r>
          </w:p>
        </w:tc>
        <w:tc>
          <w:tcPr>
            <w:tcW w:w="1139" w:type="dxa"/>
          </w:tcPr>
          <w:p w14:paraId="63C635B9" w14:textId="524D1C06"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4607D432" w14:textId="7BCAF508"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Total Cholesterol after 90 days</w:t>
            </w:r>
          </w:p>
        </w:tc>
      </w:tr>
      <w:tr w:rsidR="00CE344A" w:rsidRPr="00A85135" w14:paraId="70C70B90"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2F4899EE" w14:textId="67BC9444"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HDL90</w:t>
            </w:r>
          </w:p>
        </w:tc>
        <w:tc>
          <w:tcPr>
            <w:tcW w:w="1139" w:type="dxa"/>
          </w:tcPr>
          <w:p w14:paraId="0F45FDBB" w14:textId="02B8C6EC"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0B23A03D" w14:textId="5BC26D7A"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High density lipoprotein cholesterol after 90 days</w:t>
            </w:r>
          </w:p>
        </w:tc>
      </w:tr>
      <w:tr w:rsidR="00CE344A" w:rsidRPr="00A85135" w14:paraId="6B777852"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3166D7ED" w14:textId="7A866BAB"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LDL90</w:t>
            </w:r>
          </w:p>
        </w:tc>
        <w:tc>
          <w:tcPr>
            <w:tcW w:w="1139" w:type="dxa"/>
          </w:tcPr>
          <w:p w14:paraId="51767005" w14:textId="79BC234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47B45040" w14:textId="7EFBF523"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Low density lipoprotein cholesterol after 90 days</w:t>
            </w:r>
          </w:p>
        </w:tc>
      </w:tr>
      <w:tr w:rsidR="00CE344A" w:rsidRPr="00A85135" w14:paraId="40501832"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2EF8EF32" w14:textId="77B85859"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Triglycerides90</w:t>
            </w:r>
          </w:p>
        </w:tc>
        <w:tc>
          <w:tcPr>
            <w:tcW w:w="1139" w:type="dxa"/>
          </w:tcPr>
          <w:p w14:paraId="1EFD1773" w14:textId="6DE6BEA8"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6E7958C9" w14:textId="2AB5B52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Triglycerides after 90 days</w:t>
            </w:r>
          </w:p>
        </w:tc>
      </w:tr>
      <w:tr w:rsidR="00CE344A" w:rsidRPr="00A85135" w14:paraId="6844C448"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0CDA231C" w14:textId="4DFE3875" w:rsidR="00CE344A" w:rsidRPr="00A85135" w:rsidRDefault="00CE344A" w:rsidP="00B335D4">
            <w:pPr>
              <w:spacing w:line="240" w:lineRule="auto"/>
              <w:ind w:left="10"/>
              <w:rPr>
                <w:color w:val="000000" w:themeColor="text1"/>
                <w:sz w:val="20"/>
                <w:szCs w:val="20"/>
              </w:rPr>
            </w:pPr>
            <w:r w:rsidRPr="00A85135">
              <w:rPr>
                <w:color w:val="000000" w:themeColor="text1"/>
                <w:sz w:val="20"/>
                <w:szCs w:val="20"/>
              </w:rPr>
              <w:t>Proteinuria</w:t>
            </w:r>
          </w:p>
        </w:tc>
        <w:tc>
          <w:tcPr>
            <w:tcW w:w="1139" w:type="dxa"/>
          </w:tcPr>
          <w:p w14:paraId="2781966E" w14:textId="725A6151"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3174C8B6" w14:textId="353C21ED"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 xml:space="preserve">Baseline urinary protein excretion greater than 500mg per day </w:t>
            </w:r>
          </w:p>
        </w:tc>
      </w:tr>
      <w:tr w:rsidR="00CE344A" w:rsidRPr="00A85135" w14:paraId="7AC91645" w14:textId="77777777" w:rsidTr="00453DB2">
        <w:trPr>
          <w:trHeight w:val="269"/>
        </w:trPr>
        <w:tc>
          <w:tcPr>
            <w:cnfStyle w:val="001000000000" w:firstRow="0" w:lastRow="0" w:firstColumn="1" w:lastColumn="0" w:oddVBand="0" w:evenVBand="0" w:oddHBand="0" w:evenHBand="0" w:firstRowFirstColumn="0" w:firstRowLastColumn="0" w:lastRowFirstColumn="0" w:lastRowLastColumn="0"/>
            <w:tcW w:w="1761" w:type="dxa"/>
          </w:tcPr>
          <w:p w14:paraId="1945E7A4" w14:textId="5C4E96DB" w:rsidR="00CE344A" w:rsidRPr="00A85135" w:rsidRDefault="00CE344A" w:rsidP="00B335D4">
            <w:pPr>
              <w:spacing w:line="240" w:lineRule="auto"/>
              <w:ind w:left="10"/>
              <w:rPr>
                <w:color w:val="000000" w:themeColor="text1"/>
                <w:sz w:val="20"/>
                <w:szCs w:val="20"/>
              </w:rPr>
            </w:pPr>
            <w:r w:rsidRPr="00A85135">
              <w:rPr>
                <w:color w:val="000000" w:themeColor="text1"/>
                <w:sz w:val="20"/>
                <w:szCs w:val="20"/>
              </w:rPr>
              <w:t>Proteinuria30</w:t>
            </w:r>
          </w:p>
        </w:tc>
        <w:tc>
          <w:tcPr>
            <w:tcW w:w="1139" w:type="dxa"/>
          </w:tcPr>
          <w:p w14:paraId="29D43068" w14:textId="690756C5"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4C51D79A" w14:textId="22C91E7D"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 xml:space="preserve">Urinary protein excretion greater than 500mg per day, after 30 days </w:t>
            </w:r>
          </w:p>
        </w:tc>
      </w:tr>
      <w:tr w:rsidR="00CE344A" w:rsidRPr="00A85135" w14:paraId="637608DD"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1C419C00" w14:textId="1018F684" w:rsidR="00CE344A" w:rsidRPr="00A85135" w:rsidRDefault="00CE344A" w:rsidP="00B335D4">
            <w:pPr>
              <w:spacing w:line="240" w:lineRule="auto"/>
              <w:ind w:left="10"/>
              <w:rPr>
                <w:color w:val="000000" w:themeColor="text1"/>
                <w:sz w:val="20"/>
                <w:szCs w:val="20"/>
              </w:rPr>
            </w:pPr>
            <w:r w:rsidRPr="00A85135">
              <w:rPr>
                <w:color w:val="000000" w:themeColor="text1"/>
                <w:sz w:val="20"/>
                <w:szCs w:val="20"/>
              </w:rPr>
              <w:t>Proteinuria60</w:t>
            </w:r>
          </w:p>
        </w:tc>
        <w:tc>
          <w:tcPr>
            <w:tcW w:w="1139" w:type="dxa"/>
          </w:tcPr>
          <w:p w14:paraId="1C0A5EA7" w14:textId="5E0C6152"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54DDFE6A" w14:textId="377FF3EC"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 xml:space="preserve">Urinary protein excretion greater than 500mg per day, after 60 days </w:t>
            </w:r>
          </w:p>
        </w:tc>
      </w:tr>
      <w:tr w:rsidR="00CE344A" w:rsidRPr="00A85135" w14:paraId="3E1FA662" w14:textId="77777777" w:rsidTr="00453DB2">
        <w:trPr>
          <w:trHeight w:val="251"/>
        </w:trPr>
        <w:tc>
          <w:tcPr>
            <w:cnfStyle w:val="001000000000" w:firstRow="0" w:lastRow="0" w:firstColumn="1" w:lastColumn="0" w:oddVBand="0" w:evenVBand="0" w:oddHBand="0" w:evenHBand="0" w:firstRowFirstColumn="0" w:firstRowLastColumn="0" w:lastRowFirstColumn="0" w:lastRowLastColumn="0"/>
            <w:tcW w:w="1761" w:type="dxa"/>
          </w:tcPr>
          <w:p w14:paraId="1AC9FE88" w14:textId="32AF749A" w:rsidR="00CE344A" w:rsidRPr="00A85135" w:rsidRDefault="00CE344A" w:rsidP="00B335D4">
            <w:pPr>
              <w:spacing w:line="240" w:lineRule="auto"/>
              <w:ind w:left="10"/>
              <w:rPr>
                <w:color w:val="000000" w:themeColor="text1"/>
                <w:sz w:val="20"/>
                <w:szCs w:val="20"/>
              </w:rPr>
            </w:pPr>
            <w:r w:rsidRPr="00A85135">
              <w:rPr>
                <w:color w:val="000000" w:themeColor="text1"/>
                <w:sz w:val="20"/>
                <w:szCs w:val="20"/>
              </w:rPr>
              <w:t>Proteinuria90</w:t>
            </w:r>
          </w:p>
        </w:tc>
        <w:tc>
          <w:tcPr>
            <w:tcW w:w="1139" w:type="dxa"/>
          </w:tcPr>
          <w:p w14:paraId="52365D94" w14:textId="46BE4630"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0AB0DD1F" w14:textId="48DAEFE3"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Urinary protein excretion greater than 500mg per day, after 90</w:t>
            </w:r>
          </w:p>
        </w:tc>
      </w:tr>
      <w:tr w:rsidR="00CE344A" w:rsidRPr="00A85135" w14:paraId="74B51494"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476B5106" w14:textId="3120CF97"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EGFR</w:t>
            </w:r>
          </w:p>
        </w:tc>
        <w:tc>
          <w:tcPr>
            <w:tcW w:w="1139" w:type="dxa"/>
          </w:tcPr>
          <w:p w14:paraId="7B10399A" w14:textId="7BAFC059"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387ED4C3" w14:textId="6F3BF2B2"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Baseline Estimated Glomerular filtration rate</w:t>
            </w:r>
          </w:p>
        </w:tc>
      </w:tr>
      <w:tr w:rsidR="00CE344A" w:rsidRPr="00A85135" w14:paraId="17ED17F6"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1CDEF650" w14:textId="00C73E9F"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EGFR30</w:t>
            </w:r>
          </w:p>
        </w:tc>
        <w:tc>
          <w:tcPr>
            <w:tcW w:w="1139" w:type="dxa"/>
          </w:tcPr>
          <w:p w14:paraId="309C2D8F" w14:textId="7CF3BCED"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728CA043" w14:textId="081A17BA"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Estimated Glomerular filtration rate, after 30 days</w:t>
            </w:r>
          </w:p>
        </w:tc>
      </w:tr>
      <w:tr w:rsidR="00CE344A" w:rsidRPr="00A85135" w14:paraId="5A2C79C5"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4B73639C" w14:textId="5CDF54B5"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EGFR60</w:t>
            </w:r>
          </w:p>
        </w:tc>
        <w:tc>
          <w:tcPr>
            <w:tcW w:w="1139" w:type="dxa"/>
          </w:tcPr>
          <w:p w14:paraId="24C1460B" w14:textId="7E46F6DF"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25A8DCD4" w14:textId="4CFA5F89"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Estimated Glomerular filtration rate, after 60 days</w:t>
            </w:r>
          </w:p>
        </w:tc>
      </w:tr>
      <w:tr w:rsidR="00CE344A" w:rsidRPr="00A85135" w14:paraId="2B9BFB6C"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1432D83C" w14:textId="63601AD5"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EGFR90</w:t>
            </w:r>
          </w:p>
        </w:tc>
        <w:tc>
          <w:tcPr>
            <w:tcW w:w="1139" w:type="dxa"/>
          </w:tcPr>
          <w:p w14:paraId="7D9E28F8" w14:textId="00EE0773"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3796B49F" w14:textId="2237C409"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Estimated Glomerular filtration rate, after 90 days</w:t>
            </w:r>
          </w:p>
        </w:tc>
      </w:tr>
      <w:tr w:rsidR="00CE344A" w:rsidRPr="00A85135" w14:paraId="440C33CD"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4C1A9E34" w14:textId="7A61EE94"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BMI</w:t>
            </w:r>
          </w:p>
        </w:tc>
        <w:tc>
          <w:tcPr>
            <w:tcW w:w="1139" w:type="dxa"/>
          </w:tcPr>
          <w:p w14:paraId="3433FC45" w14:textId="12C3256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4961B291" w14:textId="0CEDD8A2"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Baseline body mass index</w:t>
            </w:r>
          </w:p>
        </w:tc>
      </w:tr>
      <w:tr w:rsidR="00CE344A" w:rsidRPr="00A85135" w14:paraId="4D8884AC"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0E99F59D" w14:textId="26ED9BD8"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BMI30</w:t>
            </w:r>
          </w:p>
        </w:tc>
        <w:tc>
          <w:tcPr>
            <w:tcW w:w="1139" w:type="dxa"/>
          </w:tcPr>
          <w:p w14:paraId="43704733" w14:textId="055B1BE3"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45684E16" w14:textId="1ABF4272"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Body mass index after 30 days</w:t>
            </w:r>
          </w:p>
        </w:tc>
      </w:tr>
      <w:tr w:rsidR="00CE344A" w:rsidRPr="00A85135" w14:paraId="7512C5E0"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41D76022" w14:textId="51BCB468"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BMI60</w:t>
            </w:r>
          </w:p>
        </w:tc>
        <w:tc>
          <w:tcPr>
            <w:tcW w:w="1139" w:type="dxa"/>
          </w:tcPr>
          <w:p w14:paraId="7E8FDC27" w14:textId="465DBF24"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6FFDC245" w14:textId="77C4BEEF"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Body mass index after 60 days</w:t>
            </w:r>
          </w:p>
        </w:tc>
      </w:tr>
      <w:tr w:rsidR="00CE344A" w:rsidRPr="00A85135" w14:paraId="2B5CD130"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0C19A4E9" w14:textId="76201685"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BMI90</w:t>
            </w:r>
          </w:p>
        </w:tc>
        <w:tc>
          <w:tcPr>
            <w:tcW w:w="1139" w:type="dxa"/>
          </w:tcPr>
          <w:p w14:paraId="4ED83591" w14:textId="36E9A8D6"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578BDAFC" w14:textId="46D45583"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Body mass index after 90 days</w:t>
            </w:r>
          </w:p>
        </w:tc>
      </w:tr>
      <w:tr w:rsidR="00CE344A" w:rsidRPr="00A85135" w14:paraId="5416544A"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54CD0FF2" w14:textId="5AD53DA0"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UTI</w:t>
            </w:r>
          </w:p>
        </w:tc>
        <w:tc>
          <w:tcPr>
            <w:tcW w:w="1139" w:type="dxa"/>
          </w:tcPr>
          <w:p w14:paraId="59E999BE" w14:textId="28268D70"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Integer</w:t>
            </w:r>
          </w:p>
        </w:tc>
        <w:tc>
          <w:tcPr>
            <w:tcW w:w="5920" w:type="dxa"/>
          </w:tcPr>
          <w:p w14:paraId="71BBFE43" w14:textId="647850C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Baseline frequency of urinary tract infection</w:t>
            </w:r>
          </w:p>
        </w:tc>
      </w:tr>
      <w:tr w:rsidR="00CE344A" w:rsidRPr="00A85135" w14:paraId="4F823A8E"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64AAF103" w14:textId="03A9C86A"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UTI30</w:t>
            </w:r>
          </w:p>
        </w:tc>
        <w:tc>
          <w:tcPr>
            <w:tcW w:w="1139" w:type="dxa"/>
          </w:tcPr>
          <w:p w14:paraId="0CECFC53" w14:textId="5AE1F92C"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Integer</w:t>
            </w:r>
          </w:p>
        </w:tc>
        <w:tc>
          <w:tcPr>
            <w:tcW w:w="5920" w:type="dxa"/>
          </w:tcPr>
          <w:p w14:paraId="7A98B5C5" w14:textId="28E8721C"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Frequency of urinary tract infection after 30 days</w:t>
            </w:r>
          </w:p>
        </w:tc>
      </w:tr>
      <w:tr w:rsidR="00CE344A" w:rsidRPr="00A85135" w14:paraId="37FE8BF9"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6EE03762" w14:textId="7F2EA769"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UTI60</w:t>
            </w:r>
          </w:p>
        </w:tc>
        <w:tc>
          <w:tcPr>
            <w:tcW w:w="1139" w:type="dxa"/>
          </w:tcPr>
          <w:p w14:paraId="2AB98BA3" w14:textId="0F7CAB5D"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Integer</w:t>
            </w:r>
          </w:p>
        </w:tc>
        <w:tc>
          <w:tcPr>
            <w:tcW w:w="5920" w:type="dxa"/>
          </w:tcPr>
          <w:p w14:paraId="2B2EA862" w14:textId="5D918EF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Frequency of urinary tract infection after 60 days</w:t>
            </w:r>
          </w:p>
        </w:tc>
      </w:tr>
      <w:tr w:rsidR="00CE344A" w:rsidRPr="00A85135" w14:paraId="6ABBAB49" w14:textId="77777777" w:rsidTr="00453DB2">
        <w:tc>
          <w:tcPr>
            <w:cnfStyle w:val="001000000000" w:firstRow="0" w:lastRow="0" w:firstColumn="1" w:lastColumn="0" w:oddVBand="0" w:evenVBand="0" w:oddHBand="0" w:evenHBand="0" w:firstRowFirstColumn="0" w:firstRowLastColumn="0" w:lastRowFirstColumn="0" w:lastRowLastColumn="0"/>
            <w:tcW w:w="1761" w:type="dxa"/>
          </w:tcPr>
          <w:p w14:paraId="5E701903" w14:textId="3AAA8BC3" w:rsidR="00CE344A" w:rsidRPr="00A85135" w:rsidRDefault="00CE344A" w:rsidP="00CE344A">
            <w:pPr>
              <w:spacing w:line="240" w:lineRule="auto"/>
              <w:ind w:left="10"/>
              <w:rPr>
                <w:color w:val="000000" w:themeColor="text1"/>
                <w:sz w:val="20"/>
                <w:szCs w:val="20"/>
              </w:rPr>
            </w:pPr>
            <w:r w:rsidRPr="00A85135">
              <w:rPr>
                <w:color w:val="000000" w:themeColor="text1"/>
                <w:sz w:val="20"/>
                <w:szCs w:val="20"/>
              </w:rPr>
              <w:t>UTI90</w:t>
            </w:r>
          </w:p>
        </w:tc>
        <w:tc>
          <w:tcPr>
            <w:tcW w:w="1139" w:type="dxa"/>
          </w:tcPr>
          <w:p w14:paraId="0D7C8273" w14:textId="3CC6CAA7"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Integer</w:t>
            </w:r>
          </w:p>
        </w:tc>
        <w:tc>
          <w:tcPr>
            <w:tcW w:w="5920" w:type="dxa"/>
          </w:tcPr>
          <w:p w14:paraId="7CA54101" w14:textId="4B2BE151" w:rsidR="00CE344A" w:rsidRPr="00A85135" w:rsidRDefault="00CE344A" w:rsidP="00CE344A">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Frequency of urinary tract infection after 90 days</w:t>
            </w:r>
          </w:p>
        </w:tc>
      </w:tr>
    </w:tbl>
    <w:p w14:paraId="698F2B98" w14:textId="77777777" w:rsidR="00B439D0" w:rsidRPr="00B439D0" w:rsidRDefault="00B439D0" w:rsidP="00A85135">
      <w:pPr>
        <w:spacing w:line="259" w:lineRule="auto"/>
        <w:ind w:left="10"/>
        <w:rPr>
          <w:color w:val="000000" w:themeColor="text1"/>
        </w:rPr>
      </w:pPr>
    </w:p>
    <w:p w14:paraId="67E7F9B8" w14:textId="5084011D" w:rsidR="002410AE" w:rsidRPr="00B439D0" w:rsidRDefault="002410AE" w:rsidP="00A85135">
      <w:pPr>
        <w:spacing w:line="259" w:lineRule="auto"/>
        <w:ind w:left="10"/>
        <w:rPr>
          <w:color w:val="000000" w:themeColor="text1"/>
        </w:rPr>
      </w:pPr>
    </w:p>
    <w:p w14:paraId="49640533" w14:textId="77777777" w:rsidR="002410AE" w:rsidRPr="00B439D0" w:rsidRDefault="002410AE" w:rsidP="00A85135">
      <w:pPr>
        <w:spacing w:line="259" w:lineRule="auto"/>
        <w:ind w:left="10"/>
        <w:rPr>
          <w:color w:val="000000" w:themeColor="text1"/>
        </w:rPr>
      </w:pPr>
      <w:r w:rsidRPr="00B439D0">
        <w:rPr>
          <w:color w:val="000000" w:themeColor="text1"/>
        </w:rPr>
        <w:t xml:space="preserve">   </w:t>
      </w:r>
    </w:p>
    <w:p w14:paraId="1D284AF3" w14:textId="6C97BFF9" w:rsidR="002410AE" w:rsidRPr="00B439D0" w:rsidRDefault="00466E2F" w:rsidP="00A85135">
      <w:pPr>
        <w:pStyle w:val="Heading1"/>
        <w:ind w:left="10"/>
        <w:rPr>
          <w:color w:val="000000" w:themeColor="text1"/>
        </w:rPr>
      </w:pPr>
      <w:bookmarkStart w:id="5" w:name="_Toc87363712"/>
      <w:r w:rsidRPr="00B439D0">
        <w:rPr>
          <w:color w:val="000000" w:themeColor="text1"/>
        </w:rPr>
        <w:t>3</w:t>
      </w:r>
      <w:r w:rsidR="002410AE" w:rsidRPr="00B439D0">
        <w:rPr>
          <w:color w:val="000000" w:themeColor="text1"/>
        </w:rPr>
        <w:t xml:space="preserve"> ANALYSIS OBJECTIVES</w:t>
      </w:r>
      <w:bookmarkEnd w:id="5"/>
      <w:r w:rsidR="002410AE" w:rsidRPr="00B439D0">
        <w:rPr>
          <w:color w:val="000000" w:themeColor="text1"/>
        </w:rPr>
        <w:t xml:space="preserve"> </w:t>
      </w:r>
    </w:p>
    <w:p w14:paraId="2DD00274" w14:textId="4CAA3FF6" w:rsidR="002410AE" w:rsidRPr="00A60101" w:rsidRDefault="008A569A" w:rsidP="00A60101">
      <w:pPr>
        <w:spacing w:line="480" w:lineRule="auto"/>
        <w:ind w:left="10"/>
        <w:rPr>
          <w:color w:val="000000" w:themeColor="text1"/>
          <w:szCs w:val="24"/>
        </w:rPr>
      </w:pPr>
      <w:r w:rsidRPr="00A60101">
        <w:rPr>
          <w:color w:val="000000" w:themeColor="text1"/>
          <w:szCs w:val="24"/>
        </w:rPr>
        <w:t>This two arm clinical trial follows a pre-post design with a continuous outcome</w:t>
      </w:r>
      <w:r w:rsidR="00EC4678" w:rsidRPr="00A60101">
        <w:rPr>
          <w:color w:val="000000" w:themeColor="text1"/>
          <w:szCs w:val="24"/>
        </w:rPr>
        <w:t xml:space="preserve"> (eGFR change)</w:t>
      </w:r>
      <w:r w:rsidRPr="00A60101">
        <w:rPr>
          <w:color w:val="000000" w:themeColor="text1"/>
          <w:szCs w:val="24"/>
        </w:rPr>
        <w:t>.</w:t>
      </w:r>
      <w:r w:rsidR="00A60101" w:rsidRPr="00A60101">
        <w:rPr>
          <w:color w:val="000000" w:themeColor="text1"/>
          <w:szCs w:val="24"/>
        </w:rPr>
        <w:t xml:space="preserve"> The aim of the analysis is to measure the difference in post-treatment scores between the groups. The corresponding point estimators of treatment effect are all unbiased. </w:t>
      </w:r>
    </w:p>
    <w:p w14:paraId="75DBBC78" w14:textId="7E01BA13" w:rsidR="002410AE" w:rsidRPr="00B439D0" w:rsidRDefault="002410AE" w:rsidP="00A85135">
      <w:pPr>
        <w:spacing w:line="259" w:lineRule="auto"/>
        <w:ind w:left="10"/>
        <w:rPr>
          <w:color w:val="000000" w:themeColor="text1"/>
        </w:rPr>
      </w:pPr>
    </w:p>
    <w:p w14:paraId="09DA49AC" w14:textId="78D13A5F" w:rsidR="002410AE" w:rsidRPr="00B439D0" w:rsidRDefault="00466E2F" w:rsidP="00A85135">
      <w:pPr>
        <w:pStyle w:val="Heading1"/>
        <w:ind w:left="10"/>
        <w:rPr>
          <w:color w:val="000000" w:themeColor="text1"/>
        </w:rPr>
      </w:pPr>
      <w:bookmarkStart w:id="6" w:name="_Toc87363713"/>
      <w:r w:rsidRPr="00B439D0">
        <w:rPr>
          <w:color w:val="000000" w:themeColor="text1"/>
        </w:rPr>
        <w:lastRenderedPageBreak/>
        <w:t>4</w:t>
      </w:r>
      <w:r w:rsidR="002410AE" w:rsidRPr="00B439D0">
        <w:rPr>
          <w:color w:val="000000" w:themeColor="text1"/>
        </w:rPr>
        <w:t xml:space="preserve"> </w:t>
      </w:r>
      <w:r w:rsidR="00813778" w:rsidRPr="00B439D0">
        <w:rPr>
          <w:color w:val="000000" w:themeColor="text1"/>
        </w:rPr>
        <w:t xml:space="preserve">SAMPLE SIZE </w:t>
      </w:r>
      <w:r w:rsidR="00FE5CB0" w:rsidRPr="00B439D0">
        <w:rPr>
          <w:color w:val="000000" w:themeColor="text1"/>
        </w:rPr>
        <w:t xml:space="preserve">AND POWER </w:t>
      </w:r>
      <w:r w:rsidR="000C220D" w:rsidRPr="00B439D0">
        <w:rPr>
          <w:color w:val="000000" w:themeColor="text1"/>
        </w:rPr>
        <w:t>CONSIDERATIONS</w:t>
      </w:r>
      <w:bookmarkEnd w:id="6"/>
      <w:r w:rsidR="002410AE" w:rsidRPr="00B439D0">
        <w:rPr>
          <w:color w:val="000000" w:themeColor="text1"/>
        </w:rPr>
        <w:t xml:space="preserve"> </w:t>
      </w:r>
    </w:p>
    <w:p w14:paraId="63ACF673" w14:textId="35F0CD9A" w:rsidR="00003DD1" w:rsidRPr="00B439D0" w:rsidRDefault="00FE5CB0" w:rsidP="00A85135">
      <w:pPr>
        <w:spacing w:line="480" w:lineRule="auto"/>
        <w:ind w:left="10"/>
        <w:rPr>
          <w:color w:val="000000" w:themeColor="text1"/>
          <w:szCs w:val="24"/>
        </w:rPr>
      </w:pPr>
      <w:r w:rsidRPr="00B439D0">
        <w:rPr>
          <w:color w:val="000000" w:themeColor="text1"/>
          <w:szCs w:val="24"/>
        </w:rPr>
        <w:t>This study aims at assessing whether Empagliflozin added with Standard therapy slows down the progression of CKD compared to standard therapy alone in non-diabetic CKD patients.</w:t>
      </w:r>
      <w:r w:rsidR="00C540DA" w:rsidRPr="00B439D0">
        <w:rPr>
          <w:color w:val="000000" w:themeColor="text1"/>
          <w:szCs w:val="24"/>
        </w:rPr>
        <w:t xml:space="preserve"> </w:t>
      </w:r>
      <w:r w:rsidRPr="00B439D0">
        <w:rPr>
          <w:color w:val="000000" w:themeColor="text1"/>
          <w:szCs w:val="24"/>
        </w:rPr>
        <w:t xml:space="preserve">It is estimated that approximately 115 patients per arm will provide a power of 95% to detect a significant </w:t>
      </w:r>
      <w:r w:rsidR="00BF6E67">
        <w:rPr>
          <w:color w:val="000000" w:themeColor="text1"/>
          <w:szCs w:val="24"/>
        </w:rPr>
        <w:t xml:space="preserve">effect in </w:t>
      </w:r>
      <w:r w:rsidRPr="00B439D0">
        <w:rPr>
          <w:color w:val="000000" w:themeColor="text1"/>
          <w:szCs w:val="24"/>
        </w:rPr>
        <w:t xml:space="preserve">the progression of CKD with Empagliflozin and Standard therapy, assuming type I error </w:t>
      </w:r>
      <w:r w:rsidR="00C540DA" w:rsidRPr="00B439D0">
        <w:rPr>
          <w:color w:val="000000" w:themeColor="text1"/>
          <w:szCs w:val="24"/>
        </w:rPr>
        <w:t xml:space="preserve">(alpha) </w:t>
      </w:r>
      <w:r w:rsidRPr="00B439D0">
        <w:rPr>
          <w:color w:val="000000" w:themeColor="text1"/>
          <w:szCs w:val="24"/>
        </w:rPr>
        <w:t xml:space="preserve">of 5%, </w:t>
      </w:r>
      <w:r w:rsidR="00C540DA" w:rsidRPr="00B439D0">
        <w:rPr>
          <w:color w:val="000000" w:themeColor="text1"/>
          <w:szCs w:val="24"/>
        </w:rPr>
        <w:t xml:space="preserve">reference survival exponential hazard rate of 7.5%, and hazard ratio of 61% (Table </w:t>
      </w:r>
      <w:r w:rsidR="00DF00C9">
        <w:rPr>
          <w:color w:val="000000" w:themeColor="text1"/>
          <w:szCs w:val="24"/>
        </w:rPr>
        <w:t>3</w:t>
      </w:r>
      <w:r w:rsidR="006523F1">
        <w:rPr>
          <w:color w:val="000000" w:themeColor="text1"/>
          <w:szCs w:val="24"/>
        </w:rPr>
        <w:t>, Figure 2</w:t>
      </w:r>
      <w:r w:rsidR="00003DD1" w:rsidRPr="00B439D0">
        <w:rPr>
          <w:color w:val="000000" w:themeColor="text1"/>
          <w:szCs w:val="24"/>
        </w:rPr>
        <w:t xml:space="preserve">). It is estimated that approximately 115 patients per arm will enable a power of 95% to detect a beneficial effect of 0.95. Table 2 presents the range of sample size per arm from a power of 80% to 95% (Figure </w:t>
      </w:r>
      <w:r w:rsidR="006523F1">
        <w:rPr>
          <w:color w:val="000000" w:themeColor="text1"/>
          <w:szCs w:val="24"/>
        </w:rPr>
        <w:t>3</w:t>
      </w:r>
      <w:r w:rsidR="00003DD1" w:rsidRPr="00B439D0">
        <w:rPr>
          <w:color w:val="000000" w:themeColor="text1"/>
          <w:szCs w:val="24"/>
        </w:rPr>
        <w:t>).</w:t>
      </w:r>
      <w:r w:rsidR="006B63EF">
        <w:rPr>
          <w:color w:val="000000" w:themeColor="text1"/>
          <w:szCs w:val="24"/>
        </w:rPr>
        <w:t xml:space="preserve"> According to </w:t>
      </w:r>
      <w:r w:rsidR="006B63EF" w:rsidRPr="006B63EF">
        <w:rPr>
          <w:color w:val="000000" w:themeColor="text1"/>
          <w:szCs w:val="24"/>
        </w:rPr>
        <w:t>Lachin (1988), a randomized clinical trial with a total sample size of more than 200 patients allows for a near perfect balance.</w:t>
      </w:r>
    </w:p>
    <w:p w14:paraId="75A83703" w14:textId="6C51A425" w:rsidR="006F762E" w:rsidRPr="00B439D0" w:rsidRDefault="00003DD1" w:rsidP="00A85135">
      <w:pPr>
        <w:spacing w:before="100" w:beforeAutospacing="1" w:after="100" w:afterAutospacing="1" w:line="240" w:lineRule="auto"/>
        <w:ind w:left="10"/>
        <w:rPr>
          <w:color w:val="000000" w:themeColor="text1"/>
          <w:szCs w:val="24"/>
        </w:rPr>
      </w:pPr>
      <w:r w:rsidRPr="00B439D0">
        <w:rPr>
          <w:color w:val="000000" w:themeColor="text1"/>
          <w:szCs w:val="24"/>
        </w:rPr>
        <w:t xml:space="preserve">Table </w:t>
      </w:r>
      <w:r w:rsidR="00DF00C9">
        <w:rPr>
          <w:color w:val="000000" w:themeColor="text1"/>
          <w:szCs w:val="24"/>
        </w:rPr>
        <w:t>2</w:t>
      </w:r>
      <w:r w:rsidRPr="00B439D0">
        <w:rPr>
          <w:color w:val="000000" w:themeColor="text1"/>
          <w:szCs w:val="24"/>
        </w:rPr>
        <w:t xml:space="preserve">. </w:t>
      </w:r>
      <w:r w:rsidR="006F762E" w:rsidRPr="00B439D0">
        <w:rPr>
          <w:color w:val="000000" w:themeColor="text1"/>
          <w:szCs w:val="24"/>
        </w:rPr>
        <w:t>Log-Rank Test for Two Survival Curves</w:t>
      </w:r>
    </w:p>
    <w:tbl>
      <w:tblPr>
        <w:tblStyle w:val="TableGrid"/>
        <w:tblW w:w="0" w:type="auto"/>
        <w:tblLook w:val="04A0" w:firstRow="1" w:lastRow="0" w:firstColumn="1" w:lastColumn="0" w:noHBand="0" w:noVBand="1"/>
      </w:tblPr>
      <w:tblGrid>
        <w:gridCol w:w="4035"/>
        <w:gridCol w:w="3176"/>
      </w:tblGrid>
      <w:tr w:rsidR="00B439D0" w:rsidRPr="00B439D0" w14:paraId="4F80EE54" w14:textId="77777777" w:rsidTr="006F762E">
        <w:tc>
          <w:tcPr>
            <w:tcW w:w="0" w:type="auto"/>
            <w:hideMark/>
          </w:tcPr>
          <w:p w14:paraId="6E43FFDB" w14:textId="77777777" w:rsidR="006F762E" w:rsidRPr="00B439D0" w:rsidRDefault="006F762E" w:rsidP="00A85135">
            <w:pPr>
              <w:spacing w:line="240" w:lineRule="auto"/>
              <w:ind w:left="10"/>
              <w:jc w:val="center"/>
              <w:rPr>
                <w:color w:val="000000" w:themeColor="text1"/>
                <w:szCs w:val="24"/>
              </w:rPr>
            </w:pPr>
            <w:r w:rsidRPr="00B439D0">
              <w:rPr>
                <w:color w:val="000000" w:themeColor="text1"/>
                <w:szCs w:val="24"/>
              </w:rPr>
              <w:t>Method</w:t>
            </w:r>
          </w:p>
        </w:tc>
        <w:tc>
          <w:tcPr>
            <w:tcW w:w="0" w:type="auto"/>
            <w:hideMark/>
          </w:tcPr>
          <w:p w14:paraId="41BB74E9"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Lakatos normal approximation</w:t>
            </w:r>
          </w:p>
        </w:tc>
      </w:tr>
      <w:tr w:rsidR="00B439D0" w:rsidRPr="00B439D0" w14:paraId="08C715D7" w14:textId="77777777" w:rsidTr="006F762E">
        <w:tc>
          <w:tcPr>
            <w:tcW w:w="0" w:type="auto"/>
            <w:hideMark/>
          </w:tcPr>
          <w:p w14:paraId="2043E4A2"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Form of Survival Curve 1</w:t>
            </w:r>
          </w:p>
        </w:tc>
        <w:tc>
          <w:tcPr>
            <w:tcW w:w="0" w:type="auto"/>
            <w:hideMark/>
          </w:tcPr>
          <w:p w14:paraId="67A6E5B4"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Exponential</w:t>
            </w:r>
          </w:p>
        </w:tc>
      </w:tr>
      <w:tr w:rsidR="00B439D0" w:rsidRPr="00B439D0" w14:paraId="450D0867" w14:textId="77777777" w:rsidTr="006F762E">
        <w:tc>
          <w:tcPr>
            <w:tcW w:w="0" w:type="auto"/>
            <w:hideMark/>
          </w:tcPr>
          <w:p w14:paraId="589D9EB6"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Form of Survival Curve 2</w:t>
            </w:r>
          </w:p>
        </w:tc>
        <w:tc>
          <w:tcPr>
            <w:tcW w:w="0" w:type="auto"/>
            <w:hideMark/>
          </w:tcPr>
          <w:p w14:paraId="31DEA281"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Exponential</w:t>
            </w:r>
          </w:p>
        </w:tc>
      </w:tr>
      <w:tr w:rsidR="00B439D0" w:rsidRPr="00B439D0" w14:paraId="6D65C64D" w14:textId="77777777" w:rsidTr="006F762E">
        <w:tc>
          <w:tcPr>
            <w:tcW w:w="0" w:type="auto"/>
            <w:hideMark/>
          </w:tcPr>
          <w:p w14:paraId="20083395"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Number of Sides</w:t>
            </w:r>
          </w:p>
        </w:tc>
        <w:tc>
          <w:tcPr>
            <w:tcW w:w="0" w:type="auto"/>
            <w:hideMark/>
          </w:tcPr>
          <w:p w14:paraId="75AF9EA3"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2</w:t>
            </w:r>
          </w:p>
        </w:tc>
      </w:tr>
      <w:tr w:rsidR="00B439D0" w:rsidRPr="00B439D0" w14:paraId="0A5F0128" w14:textId="77777777" w:rsidTr="006F762E">
        <w:tc>
          <w:tcPr>
            <w:tcW w:w="0" w:type="auto"/>
            <w:hideMark/>
          </w:tcPr>
          <w:p w14:paraId="7475782C"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Follow-up Time</w:t>
            </w:r>
          </w:p>
        </w:tc>
        <w:tc>
          <w:tcPr>
            <w:tcW w:w="0" w:type="auto"/>
            <w:hideMark/>
          </w:tcPr>
          <w:p w14:paraId="59902818"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30</w:t>
            </w:r>
          </w:p>
        </w:tc>
      </w:tr>
      <w:tr w:rsidR="00B439D0" w:rsidRPr="00B439D0" w14:paraId="17E06A50" w14:textId="77777777" w:rsidTr="006F762E">
        <w:tc>
          <w:tcPr>
            <w:tcW w:w="0" w:type="auto"/>
            <w:hideMark/>
          </w:tcPr>
          <w:p w14:paraId="79BC063D"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Total Time</w:t>
            </w:r>
          </w:p>
        </w:tc>
        <w:tc>
          <w:tcPr>
            <w:tcW w:w="0" w:type="auto"/>
            <w:hideMark/>
          </w:tcPr>
          <w:p w14:paraId="3D484088"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90</w:t>
            </w:r>
          </w:p>
        </w:tc>
      </w:tr>
      <w:tr w:rsidR="00B439D0" w:rsidRPr="00B439D0" w14:paraId="4D670E01" w14:textId="77777777" w:rsidTr="006F762E">
        <w:tc>
          <w:tcPr>
            <w:tcW w:w="0" w:type="auto"/>
            <w:hideMark/>
          </w:tcPr>
          <w:p w14:paraId="175B4ECA"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Alpha</w:t>
            </w:r>
          </w:p>
        </w:tc>
        <w:tc>
          <w:tcPr>
            <w:tcW w:w="0" w:type="auto"/>
            <w:hideMark/>
          </w:tcPr>
          <w:p w14:paraId="24EA590D"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0.05</w:t>
            </w:r>
          </w:p>
        </w:tc>
      </w:tr>
      <w:tr w:rsidR="00B439D0" w:rsidRPr="00B439D0" w14:paraId="784B9E7D" w14:textId="77777777" w:rsidTr="006F762E">
        <w:tc>
          <w:tcPr>
            <w:tcW w:w="0" w:type="auto"/>
            <w:hideMark/>
          </w:tcPr>
          <w:p w14:paraId="059124BE"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Reference Survival Exponential Hazard</w:t>
            </w:r>
          </w:p>
        </w:tc>
        <w:tc>
          <w:tcPr>
            <w:tcW w:w="0" w:type="auto"/>
            <w:hideMark/>
          </w:tcPr>
          <w:p w14:paraId="2C3B417A"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0.075</w:t>
            </w:r>
          </w:p>
        </w:tc>
      </w:tr>
      <w:tr w:rsidR="00B439D0" w:rsidRPr="00B439D0" w14:paraId="39D826BD" w14:textId="77777777" w:rsidTr="006F762E">
        <w:tc>
          <w:tcPr>
            <w:tcW w:w="0" w:type="auto"/>
            <w:hideMark/>
          </w:tcPr>
          <w:p w14:paraId="080C11F5"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Hazard Ratio</w:t>
            </w:r>
          </w:p>
        </w:tc>
        <w:tc>
          <w:tcPr>
            <w:tcW w:w="0" w:type="auto"/>
            <w:hideMark/>
          </w:tcPr>
          <w:p w14:paraId="521990E3"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0.61</w:t>
            </w:r>
          </w:p>
        </w:tc>
      </w:tr>
      <w:tr w:rsidR="00B439D0" w:rsidRPr="00B439D0" w14:paraId="60C16EA4" w14:textId="77777777" w:rsidTr="006F762E">
        <w:tc>
          <w:tcPr>
            <w:tcW w:w="0" w:type="auto"/>
            <w:hideMark/>
          </w:tcPr>
          <w:p w14:paraId="3452E512"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Number of Time Sub-Intervals</w:t>
            </w:r>
          </w:p>
        </w:tc>
        <w:tc>
          <w:tcPr>
            <w:tcW w:w="0" w:type="auto"/>
            <w:hideMark/>
          </w:tcPr>
          <w:p w14:paraId="6B2AB728"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12</w:t>
            </w:r>
          </w:p>
        </w:tc>
      </w:tr>
      <w:tr w:rsidR="00B439D0" w:rsidRPr="00B439D0" w14:paraId="0D2B884E" w14:textId="77777777" w:rsidTr="006F762E">
        <w:tc>
          <w:tcPr>
            <w:tcW w:w="0" w:type="auto"/>
            <w:hideMark/>
          </w:tcPr>
          <w:p w14:paraId="77BE862E"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Group 1 Loss Exponential Hazard</w:t>
            </w:r>
          </w:p>
        </w:tc>
        <w:tc>
          <w:tcPr>
            <w:tcW w:w="0" w:type="auto"/>
            <w:hideMark/>
          </w:tcPr>
          <w:p w14:paraId="632E9589"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0</w:t>
            </w:r>
          </w:p>
        </w:tc>
      </w:tr>
      <w:tr w:rsidR="00A85135" w:rsidRPr="00B439D0" w14:paraId="074C7810" w14:textId="77777777" w:rsidTr="006F762E">
        <w:tc>
          <w:tcPr>
            <w:tcW w:w="0" w:type="auto"/>
            <w:hideMark/>
          </w:tcPr>
          <w:p w14:paraId="5A18E284" w14:textId="77777777" w:rsidR="006F762E" w:rsidRPr="00B439D0" w:rsidRDefault="006F762E" w:rsidP="00A85135">
            <w:pPr>
              <w:spacing w:line="240" w:lineRule="auto"/>
              <w:ind w:left="10"/>
              <w:rPr>
                <w:color w:val="000000" w:themeColor="text1"/>
                <w:szCs w:val="24"/>
              </w:rPr>
            </w:pPr>
            <w:r w:rsidRPr="00B439D0">
              <w:rPr>
                <w:color w:val="000000" w:themeColor="text1"/>
                <w:szCs w:val="24"/>
              </w:rPr>
              <w:t>Group 2 Loss Exponential Hazard</w:t>
            </w:r>
          </w:p>
        </w:tc>
        <w:tc>
          <w:tcPr>
            <w:tcW w:w="0" w:type="auto"/>
            <w:hideMark/>
          </w:tcPr>
          <w:p w14:paraId="07B6B50D" w14:textId="77777777" w:rsidR="006F762E" w:rsidRPr="00B439D0" w:rsidRDefault="006F762E" w:rsidP="00A85135">
            <w:pPr>
              <w:spacing w:line="240" w:lineRule="auto"/>
              <w:ind w:left="10"/>
              <w:jc w:val="right"/>
              <w:rPr>
                <w:color w:val="000000" w:themeColor="text1"/>
                <w:szCs w:val="24"/>
              </w:rPr>
            </w:pPr>
            <w:r w:rsidRPr="00B439D0">
              <w:rPr>
                <w:color w:val="000000" w:themeColor="text1"/>
                <w:szCs w:val="24"/>
              </w:rPr>
              <w:t>0</w:t>
            </w:r>
          </w:p>
        </w:tc>
      </w:tr>
    </w:tbl>
    <w:p w14:paraId="520A1937" w14:textId="77777777" w:rsidR="006F762E" w:rsidRPr="00B439D0" w:rsidRDefault="006F762E" w:rsidP="00A85135">
      <w:pPr>
        <w:spacing w:line="259" w:lineRule="auto"/>
        <w:ind w:left="10"/>
        <w:rPr>
          <w:color w:val="000000" w:themeColor="text1"/>
        </w:rPr>
      </w:pPr>
    </w:p>
    <w:p w14:paraId="0F2F725A" w14:textId="09265BB7" w:rsidR="00813778" w:rsidRPr="00B439D0" w:rsidRDefault="00003DD1" w:rsidP="00A85135">
      <w:pPr>
        <w:spacing w:before="100" w:beforeAutospacing="1" w:after="100" w:afterAutospacing="1" w:line="240" w:lineRule="auto"/>
        <w:ind w:left="10"/>
        <w:rPr>
          <w:color w:val="000000" w:themeColor="text1"/>
          <w:szCs w:val="24"/>
        </w:rPr>
      </w:pPr>
      <w:r w:rsidRPr="00B439D0">
        <w:rPr>
          <w:color w:val="000000" w:themeColor="text1"/>
          <w:szCs w:val="24"/>
        </w:rPr>
        <w:t xml:space="preserve">Table </w:t>
      </w:r>
      <w:r w:rsidR="00DF00C9">
        <w:rPr>
          <w:color w:val="000000" w:themeColor="text1"/>
          <w:szCs w:val="24"/>
        </w:rPr>
        <w:t>3</w:t>
      </w:r>
      <w:r w:rsidRPr="00B439D0">
        <w:rPr>
          <w:color w:val="000000" w:themeColor="text1"/>
          <w:szCs w:val="24"/>
        </w:rPr>
        <w:t>. Estimated number of patients per arm, per power.</w:t>
      </w:r>
    </w:p>
    <w:tbl>
      <w:tblPr>
        <w:tblStyle w:val="TableGrid"/>
        <w:tblW w:w="0" w:type="auto"/>
        <w:tblLook w:val="04A0" w:firstRow="1" w:lastRow="0" w:firstColumn="1" w:lastColumn="0" w:noHBand="0" w:noVBand="1"/>
      </w:tblPr>
      <w:tblGrid>
        <w:gridCol w:w="763"/>
        <w:gridCol w:w="1730"/>
        <w:gridCol w:w="1529"/>
        <w:gridCol w:w="1430"/>
      </w:tblGrid>
      <w:tr w:rsidR="00B439D0" w:rsidRPr="00B439D0" w14:paraId="42AFE6CF" w14:textId="77777777" w:rsidTr="005D35AF">
        <w:tc>
          <w:tcPr>
            <w:tcW w:w="0" w:type="auto"/>
            <w:hideMark/>
          </w:tcPr>
          <w:p w14:paraId="4EDE2868"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Index</w:t>
            </w:r>
          </w:p>
        </w:tc>
        <w:tc>
          <w:tcPr>
            <w:tcW w:w="0" w:type="auto"/>
            <w:hideMark/>
          </w:tcPr>
          <w:p w14:paraId="3BC0F1BD"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Nominal Power</w:t>
            </w:r>
          </w:p>
        </w:tc>
        <w:tc>
          <w:tcPr>
            <w:tcW w:w="0" w:type="auto"/>
            <w:hideMark/>
          </w:tcPr>
          <w:p w14:paraId="7406BA9F"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Actual Power</w:t>
            </w:r>
          </w:p>
        </w:tc>
        <w:tc>
          <w:tcPr>
            <w:tcW w:w="0" w:type="auto"/>
            <w:hideMark/>
          </w:tcPr>
          <w:p w14:paraId="4132533B"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N per Group</w:t>
            </w:r>
          </w:p>
        </w:tc>
      </w:tr>
      <w:tr w:rsidR="00B439D0" w:rsidRPr="00B439D0" w14:paraId="4E53B38D" w14:textId="77777777" w:rsidTr="005D35AF">
        <w:tc>
          <w:tcPr>
            <w:tcW w:w="0" w:type="auto"/>
            <w:hideMark/>
          </w:tcPr>
          <w:p w14:paraId="71366E02"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1</w:t>
            </w:r>
          </w:p>
        </w:tc>
        <w:tc>
          <w:tcPr>
            <w:tcW w:w="0" w:type="auto"/>
            <w:hideMark/>
          </w:tcPr>
          <w:p w14:paraId="5027489F"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0.80</w:t>
            </w:r>
          </w:p>
        </w:tc>
        <w:tc>
          <w:tcPr>
            <w:tcW w:w="0" w:type="auto"/>
            <w:hideMark/>
          </w:tcPr>
          <w:p w14:paraId="0E19EC62"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0.805</w:t>
            </w:r>
          </w:p>
        </w:tc>
        <w:tc>
          <w:tcPr>
            <w:tcW w:w="0" w:type="auto"/>
            <w:hideMark/>
          </w:tcPr>
          <w:p w14:paraId="138E1F4E"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70</w:t>
            </w:r>
          </w:p>
        </w:tc>
      </w:tr>
      <w:tr w:rsidR="00B439D0" w:rsidRPr="00B439D0" w14:paraId="02DCFB8F" w14:textId="77777777" w:rsidTr="005D35AF">
        <w:tc>
          <w:tcPr>
            <w:tcW w:w="0" w:type="auto"/>
            <w:hideMark/>
          </w:tcPr>
          <w:p w14:paraId="7C1BF53F"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2</w:t>
            </w:r>
          </w:p>
        </w:tc>
        <w:tc>
          <w:tcPr>
            <w:tcW w:w="0" w:type="auto"/>
            <w:hideMark/>
          </w:tcPr>
          <w:p w14:paraId="579C6799"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0.85</w:t>
            </w:r>
          </w:p>
        </w:tc>
        <w:tc>
          <w:tcPr>
            <w:tcW w:w="0" w:type="auto"/>
            <w:hideMark/>
          </w:tcPr>
          <w:p w14:paraId="263F4036"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0.854</w:t>
            </w:r>
          </w:p>
        </w:tc>
        <w:tc>
          <w:tcPr>
            <w:tcW w:w="0" w:type="auto"/>
            <w:hideMark/>
          </w:tcPr>
          <w:p w14:paraId="638F131C"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80</w:t>
            </w:r>
          </w:p>
        </w:tc>
      </w:tr>
      <w:tr w:rsidR="00B439D0" w:rsidRPr="00B439D0" w14:paraId="3163EA8D" w14:textId="77777777" w:rsidTr="005D35AF">
        <w:tc>
          <w:tcPr>
            <w:tcW w:w="0" w:type="auto"/>
            <w:hideMark/>
          </w:tcPr>
          <w:p w14:paraId="72AB3D04"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3</w:t>
            </w:r>
          </w:p>
        </w:tc>
        <w:tc>
          <w:tcPr>
            <w:tcW w:w="0" w:type="auto"/>
            <w:hideMark/>
          </w:tcPr>
          <w:p w14:paraId="2E50B8C5"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0.90</w:t>
            </w:r>
          </w:p>
        </w:tc>
        <w:tc>
          <w:tcPr>
            <w:tcW w:w="0" w:type="auto"/>
            <w:hideMark/>
          </w:tcPr>
          <w:p w14:paraId="69CD20C6"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0.901</w:t>
            </w:r>
          </w:p>
        </w:tc>
        <w:tc>
          <w:tcPr>
            <w:tcW w:w="0" w:type="auto"/>
            <w:hideMark/>
          </w:tcPr>
          <w:p w14:paraId="7D6F4982"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93</w:t>
            </w:r>
          </w:p>
        </w:tc>
      </w:tr>
      <w:tr w:rsidR="00A85135" w:rsidRPr="00B439D0" w14:paraId="3201A988" w14:textId="77777777" w:rsidTr="005D35AF">
        <w:tc>
          <w:tcPr>
            <w:tcW w:w="0" w:type="auto"/>
            <w:hideMark/>
          </w:tcPr>
          <w:p w14:paraId="6129F378"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4</w:t>
            </w:r>
          </w:p>
        </w:tc>
        <w:tc>
          <w:tcPr>
            <w:tcW w:w="0" w:type="auto"/>
            <w:hideMark/>
          </w:tcPr>
          <w:p w14:paraId="216E310A"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0.95</w:t>
            </w:r>
          </w:p>
        </w:tc>
        <w:tc>
          <w:tcPr>
            <w:tcW w:w="0" w:type="auto"/>
            <w:hideMark/>
          </w:tcPr>
          <w:p w14:paraId="1B5C1C6F"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0.951</w:t>
            </w:r>
          </w:p>
        </w:tc>
        <w:tc>
          <w:tcPr>
            <w:tcW w:w="0" w:type="auto"/>
            <w:hideMark/>
          </w:tcPr>
          <w:p w14:paraId="37BB92F6" w14:textId="77777777" w:rsidR="005D35AF" w:rsidRPr="00B439D0" w:rsidRDefault="005D35AF" w:rsidP="00A85135">
            <w:pPr>
              <w:spacing w:line="240" w:lineRule="auto"/>
              <w:ind w:left="10"/>
              <w:jc w:val="center"/>
              <w:rPr>
                <w:color w:val="000000" w:themeColor="text1"/>
                <w:szCs w:val="24"/>
              </w:rPr>
            </w:pPr>
            <w:r w:rsidRPr="00B439D0">
              <w:rPr>
                <w:color w:val="000000" w:themeColor="text1"/>
                <w:szCs w:val="24"/>
              </w:rPr>
              <w:t>115</w:t>
            </w:r>
          </w:p>
        </w:tc>
      </w:tr>
    </w:tbl>
    <w:p w14:paraId="0B8B49AD" w14:textId="77777777" w:rsidR="005D35AF" w:rsidRPr="00B439D0" w:rsidRDefault="005D35AF" w:rsidP="00A85135">
      <w:pPr>
        <w:spacing w:line="259" w:lineRule="auto"/>
        <w:ind w:left="10"/>
        <w:rPr>
          <w:color w:val="000000" w:themeColor="text1"/>
        </w:rPr>
      </w:pPr>
    </w:p>
    <w:p w14:paraId="73CEC586" w14:textId="219F4F12" w:rsidR="002410AE" w:rsidRDefault="002410AE" w:rsidP="00A85135">
      <w:pPr>
        <w:spacing w:line="259" w:lineRule="auto"/>
        <w:ind w:left="10"/>
        <w:rPr>
          <w:color w:val="000000" w:themeColor="text1"/>
        </w:rPr>
      </w:pPr>
    </w:p>
    <w:p w14:paraId="30C0B721" w14:textId="77777777" w:rsidR="006523F1" w:rsidRPr="00B439D0" w:rsidRDefault="006523F1" w:rsidP="006523F1">
      <w:pPr>
        <w:spacing w:line="259" w:lineRule="auto"/>
        <w:ind w:left="10"/>
        <w:rPr>
          <w:color w:val="000000" w:themeColor="text1"/>
        </w:rPr>
      </w:pPr>
    </w:p>
    <w:p w14:paraId="6C3E446D" w14:textId="77777777" w:rsidR="006523F1" w:rsidRPr="00B439D0" w:rsidRDefault="006523F1" w:rsidP="006523F1">
      <w:pPr>
        <w:spacing w:line="259" w:lineRule="auto"/>
        <w:ind w:left="10"/>
        <w:rPr>
          <w:color w:val="000000" w:themeColor="text1"/>
        </w:rPr>
      </w:pPr>
      <w:r w:rsidRPr="00B439D0">
        <w:rPr>
          <w:noProof/>
          <w:color w:val="000000" w:themeColor="text1"/>
        </w:rPr>
        <w:drawing>
          <wp:inline distT="0" distB="0" distL="0" distR="0" wp14:anchorId="01F1F6FF" wp14:editId="3A9D55C0">
            <wp:extent cx="4490720" cy="3368040"/>
            <wp:effectExtent l="0" t="0" r="5080" b="381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0720" cy="3368040"/>
                    </a:xfrm>
                    <a:prstGeom prst="rect">
                      <a:avLst/>
                    </a:prstGeom>
                    <a:noFill/>
                    <a:ln>
                      <a:noFill/>
                    </a:ln>
                  </pic:spPr>
                </pic:pic>
              </a:graphicData>
            </a:graphic>
          </wp:inline>
        </w:drawing>
      </w:r>
    </w:p>
    <w:p w14:paraId="2BD408D4" w14:textId="406950E6" w:rsidR="006523F1" w:rsidRPr="00B439D0" w:rsidRDefault="006523F1" w:rsidP="006523F1">
      <w:pPr>
        <w:spacing w:line="259" w:lineRule="auto"/>
        <w:ind w:left="10"/>
        <w:rPr>
          <w:color w:val="000000" w:themeColor="text1"/>
        </w:rPr>
      </w:pPr>
      <w:r w:rsidRPr="00B439D0">
        <w:rPr>
          <w:color w:val="000000" w:themeColor="text1"/>
        </w:rPr>
        <w:t xml:space="preserve">Figure </w:t>
      </w:r>
      <w:r>
        <w:rPr>
          <w:color w:val="000000" w:themeColor="text1"/>
        </w:rPr>
        <w:t>2</w:t>
      </w:r>
      <w:r w:rsidRPr="00B439D0">
        <w:rPr>
          <w:color w:val="000000" w:themeColor="text1"/>
        </w:rPr>
        <w:t>. Sample size per group versus hazard ratio.</w:t>
      </w:r>
    </w:p>
    <w:p w14:paraId="006370FB" w14:textId="77777777" w:rsidR="006523F1" w:rsidRPr="00B439D0" w:rsidRDefault="006523F1" w:rsidP="006523F1">
      <w:pPr>
        <w:spacing w:line="259" w:lineRule="auto"/>
        <w:ind w:left="10"/>
        <w:rPr>
          <w:color w:val="000000" w:themeColor="text1"/>
        </w:rPr>
      </w:pPr>
    </w:p>
    <w:p w14:paraId="77A930C4" w14:textId="77777777" w:rsidR="006523F1" w:rsidRPr="00B439D0" w:rsidRDefault="006523F1" w:rsidP="00A85135">
      <w:pPr>
        <w:spacing w:line="259" w:lineRule="auto"/>
        <w:ind w:left="10"/>
        <w:rPr>
          <w:color w:val="000000" w:themeColor="text1"/>
        </w:rPr>
      </w:pPr>
    </w:p>
    <w:p w14:paraId="6AEE6F53" w14:textId="3E533A36" w:rsidR="00DC57B7" w:rsidRPr="00B439D0" w:rsidRDefault="00DC57B7" w:rsidP="00A85135">
      <w:pPr>
        <w:spacing w:line="259" w:lineRule="auto"/>
        <w:ind w:left="10"/>
        <w:rPr>
          <w:color w:val="000000" w:themeColor="text1"/>
        </w:rPr>
      </w:pPr>
      <w:r w:rsidRPr="00B439D0">
        <w:rPr>
          <w:noProof/>
          <w:color w:val="000000" w:themeColor="text1"/>
        </w:rPr>
        <w:drawing>
          <wp:inline distT="0" distB="0" distL="0" distR="0" wp14:anchorId="01C3C2FF" wp14:editId="7BD046D3">
            <wp:extent cx="4373880" cy="3280410"/>
            <wp:effectExtent l="0" t="0" r="762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3880" cy="3280410"/>
                    </a:xfrm>
                    <a:prstGeom prst="rect">
                      <a:avLst/>
                    </a:prstGeom>
                    <a:noFill/>
                    <a:ln>
                      <a:noFill/>
                    </a:ln>
                  </pic:spPr>
                </pic:pic>
              </a:graphicData>
            </a:graphic>
          </wp:inline>
        </w:drawing>
      </w:r>
    </w:p>
    <w:p w14:paraId="19ED0D80" w14:textId="04402F4C" w:rsidR="00003DD1" w:rsidRPr="00B439D0" w:rsidRDefault="00003DD1" w:rsidP="00A85135">
      <w:pPr>
        <w:spacing w:before="100" w:beforeAutospacing="1" w:after="100" w:afterAutospacing="1" w:line="240" w:lineRule="auto"/>
        <w:ind w:left="10"/>
        <w:rPr>
          <w:color w:val="000000" w:themeColor="text1"/>
          <w:szCs w:val="24"/>
        </w:rPr>
      </w:pPr>
      <w:r w:rsidRPr="00B439D0">
        <w:rPr>
          <w:color w:val="000000" w:themeColor="text1"/>
          <w:szCs w:val="24"/>
        </w:rPr>
        <w:t xml:space="preserve">Figure </w:t>
      </w:r>
      <w:r w:rsidR="006523F1">
        <w:rPr>
          <w:color w:val="000000" w:themeColor="text1"/>
          <w:szCs w:val="24"/>
        </w:rPr>
        <w:t>3</w:t>
      </w:r>
      <w:r w:rsidRPr="00B439D0">
        <w:rPr>
          <w:color w:val="000000" w:themeColor="text1"/>
          <w:szCs w:val="24"/>
        </w:rPr>
        <w:t>. Range of sample size per group per power.</w:t>
      </w:r>
    </w:p>
    <w:p w14:paraId="0996111C" w14:textId="5D1B0D67" w:rsidR="00003DD1" w:rsidRPr="00B439D0" w:rsidRDefault="00003DD1" w:rsidP="00A85135">
      <w:pPr>
        <w:spacing w:line="259" w:lineRule="auto"/>
        <w:ind w:left="10"/>
        <w:rPr>
          <w:color w:val="000000" w:themeColor="text1"/>
        </w:rPr>
      </w:pPr>
    </w:p>
    <w:p w14:paraId="71DE0507" w14:textId="77777777" w:rsidR="00003DD1" w:rsidRPr="00B439D0" w:rsidRDefault="00003DD1" w:rsidP="00A85135">
      <w:pPr>
        <w:spacing w:line="259" w:lineRule="auto"/>
        <w:ind w:left="10"/>
        <w:rPr>
          <w:color w:val="000000" w:themeColor="text1"/>
        </w:rPr>
      </w:pPr>
    </w:p>
    <w:p w14:paraId="5E7C8F07" w14:textId="45BC9424" w:rsidR="002410AE" w:rsidRPr="00B439D0" w:rsidRDefault="00466E2F" w:rsidP="00A85135">
      <w:pPr>
        <w:pStyle w:val="Heading1"/>
        <w:ind w:left="10"/>
        <w:rPr>
          <w:color w:val="000000" w:themeColor="text1"/>
        </w:rPr>
      </w:pPr>
      <w:bookmarkStart w:id="7" w:name="_Toc87363714"/>
      <w:r w:rsidRPr="00B439D0">
        <w:rPr>
          <w:color w:val="000000" w:themeColor="text1"/>
        </w:rPr>
        <w:t>5</w:t>
      </w:r>
      <w:r w:rsidR="002410AE" w:rsidRPr="00B439D0">
        <w:rPr>
          <w:color w:val="000000" w:themeColor="text1"/>
        </w:rPr>
        <w:t xml:space="preserve"> ENDPOINTS AND COVARIATES</w:t>
      </w:r>
      <w:bookmarkEnd w:id="7"/>
      <w:r w:rsidR="002410AE" w:rsidRPr="00B439D0">
        <w:rPr>
          <w:color w:val="000000" w:themeColor="text1"/>
        </w:rPr>
        <w:t xml:space="preserve"> </w:t>
      </w:r>
    </w:p>
    <w:p w14:paraId="6B87E85E" w14:textId="77777777" w:rsidR="002410AE" w:rsidRPr="00B439D0" w:rsidRDefault="002410AE" w:rsidP="00A85135">
      <w:pPr>
        <w:spacing w:line="259" w:lineRule="auto"/>
        <w:ind w:left="10"/>
        <w:rPr>
          <w:color w:val="000000" w:themeColor="text1"/>
        </w:rPr>
      </w:pPr>
      <w:r w:rsidRPr="00B439D0">
        <w:rPr>
          <w:color w:val="000000" w:themeColor="text1"/>
        </w:rPr>
        <w:t xml:space="preserve"> </w:t>
      </w:r>
    </w:p>
    <w:p w14:paraId="43FAD0C0" w14:textId="091A8253" w:rsidR="00123569" w:rsidRDefault="00813778" w:rsidP="00123569">
      <w:pPr>
        <w:spacing w:line="480" w:lineRule="auto"/>
        <w:ind w:left="10"/>
        <w:rPr>
          <w:color w:val="000000" w:themeColor="text1"/>
        </w:rPr>
      </w:pPr>
      <w:r w:rsidRPr="00B439D0">
        <w:rPr>
          <w:color w:val="000000" w:themeColor="text1"/>
        </w:rPr>
        <w:t>Th</w:t>
      </w:r>
      <w:r w:rsidR="00EE6422">
        <w:rPr>
          <w:color w:val="000000" w:themeColor="text1"/>
        </w:rPr>
        <w:t xml:space="preserve">is study has three main outcomes: </w:t>
      </w:r>
      <w:r w:rsidRPr="00CD2AF0">
        <w:rPr>
          <w:color w:val="000000" w:themeColor="text1"/>
        </w:rPr>
        <w:t>change in eGFR (using the CKD-EPI creatinine equation) from baseline</w:t>
      </w:r>
      <w:r w:rsidR="00EE6422">
        <w:rPr>
          <w:color w:val="000000" w:themeColor="text1"/>
        </w:rPr>
        <w:t xml:space="preserve">, </w:t>
      </w:r>
      <w:r w:rsidR="00123569">
        <w:rPr>
          <w:color w:val="000000" w:themeColor="text1"/>
        </w:rPr>
        <w:t>c</w:t>
      </w:r>
      <w:r w:rsidR="00123569" w:rsidRPr="00123569">
        <w:rPr>
          <w:color w:val="000000" w:themeColor="text1"/>
        </w:rPr>
        <w:t>hange in proteinuria from baseline</w:t>
      </w:r>
      <w:r w:rsidR="00EE6422">
        <w:rPr>
          <w:color w:val="000000" w:themeColor="text1"/>
        </w:rPr>
        <w:t>,</w:t>
      </w:r>
      <w:r w:rsidR="00123569">
        <w:rPr>
          <w:color w:val="000000" w:themeColor="text1"/>
        </w:rPr>
        <w:t xml:space="preserve"> and c</w:t>
      </w:r>
      <w:r w:rsidR="00123569" w:rsidRPr="00123569">
        <w:rPr>
          <w:color w:val="000000" w:themeColor="text1"/>
        </w:rPr>
        <w:t>hange in lipid profile from baseline.</w:t>
      </w:r>
      <w:r w:rsidR="00632661">
        <w:rPr>
          <w:color w:val="000000" w:themeColor="text1"/>
        </w:rPr>
        <w:t xml:space="preserve"> </w:t>
      </w:r>
      <w:r w:rsidR="00EE6422">
        <w:rPr>
          <w:color w:val="000000" w:themeColor="text1"/>
        </w:rPr>
        <w:t xml:space="preserve">These </w:t>
      </w:r>
      <w:r w:rsidR="00632661">
        <w:rPr>
          <w:color w:val="000000" w:themeColor="text1"/>
        </w:rPr>
        <w:t xml:space="preserve">are continuous variables. </w:t>
      </w:r>
      <w:r w:rsidR="00EE6422">
        <w:rPr>
          <w:color w:val="000000" w:themeColor="text1"/>
        </w:rPr>
        <w:t xml:space="preserve">Table 4 presents the variables contributing to the outcomes and </w:t>
      </w:r>
      <w:r w:rsidR="00632661">
        <w:rPr>
          <w:color w:val="000000" w:themeColor="text1"/>
        </w:rPr>
        <w:t xml:space="preserve">Table </w:t>
      </w:r>
      <w:r w:rsidR="00EE6422">
        <w:rPr>
          <w:color w:val="000000" w:themeColor="text1"/>
        </w:rPr>
        <w:t>5</w:t>
      </w:r>
      <w:r w:rsidR="00632661">
        <w:rPr>
          <w:color w:val="000000" w:themeColor="text1"/>
        </w:rPr>
        <w:t xml:space="preserve"> presents the eleven covariates of the study.</w:t>
      </w:r>
    </w:p>
    <w:p w14:paraId="63206838" w14:textId="5A6091F7" w:rsidR="00E92BEE" w:rsidRDefault="00E92BEE" w:rsidP="00E92BEE">
      <w:pPr>
        <w:spacing w:before="100" w:beforeAutospacing="1" w:after="100" w:afterAutospacing="1" w:line="240" w:lineRule="auto"/>
        <w:ind w:left="10"/>
        <w:rPr>
          <w:color w:val="000000" w:themeColor="text1"/>
          <w:szCs w:val="24"/>
        </w:rPr>
      </w:pPr>
      <w:r w:rsidRPr="00B439D0">
        <w:rPr>
          <w:color w:val="000000" w:themeColor="text1"/>
          <w:szCs w:val="24"/>
        </w:rPr>
        <w:t xml:space="preserve">Table </w:t>
      </w:r>
      <w:r>
        <w:rPr>
          <w:color w:val="000000" w:themeColor="text1"/>
          <w:szCs w:val="24"/>
        </w:rPr>
        <w:t>4</w:t>
      </w:r>
      <w:r w:rsidRPr="00B439D0">
        <w:rPr>
          <w:color w:val="000000" w:themeColor="text1"/>
          <w:szCs w:val="24"/>
        </w:rPr>
        <w:t xml:space="preserve">. </w:t>
      </w:r>
      <w:r>
        <w:rPr>
          <w:color w:val="000000" w:themeColor="text1"/>
          <w:szCs w:val="24"/>
        </w:rPr>
        <w:t>The variables that contribute to the three outcomes of the study</w:t>
      </w:r>
    </w:p>
    <w:tbl>
      <w:tblPr>
        <w:tblStyle w:val="GridTable1Light"/>
        <w:tblW w:w="0" w:type="auto"/>
        <w:tblLook w:val="04A0" w:firstRow="1" w:lastRow="0" w:firstColumn="1" w:lastColumn="0" w:noHBand="0" w:noVBand="1"/>
      </w:tblPr>
      <w:tblGrid>
        <w:gridCol w:w="1489"/>
        <w:gridCol w:w="1830"/>
        <w:gridCol w:w="1139"/>
        <w:gridCol w:w="4892"/>
      </w:tblGrid>
      <w:tr w:rsidR="007363F7" w:rsidRPr="00A85135" w14:paraId="406F27BE" w14:textId="77777777" w:rsidTr="00736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14:paraId="1845696C" w14:textId="3E96DE2E" w:rsidR="007363F7" w:rsidRPr="00005FA7" w:rsidRDefault="007363F7" w:rsidP="00F31990">
            <w:pPr>
              <w:spacing w:line="240" w:lineRule="auto"/>
              <w:ind w:left="10"/>
              <w:rPr>
                <w:color w:val="000000" w:themeColor="text1"/>
                <w:sz w:val="20"/>
                <w:szCs w:val="20"/>
              </w:rPr>
            </w:pPr>
            <w:r w:rsidRPr="00005FA7">
              <w:rPr>
                <w:color w:val="000000" w:themeColor="text1"/>
                <w:sz w:val="20"/>
                <w:szCs w:val="20"/>
              </w:rPr>
              <w:t>Outcome</w:t>
            </w:r>
          </w:p>
        </w:tc>
        <w:tc>
          <w:tcPr>
            <w:tcW w:w="1830" w:type="dxa"/>
          </w:tcPr>
          <w:p w14:paraId="45E0579C" w14:textId="5A80BFA8" w:rsidR="007363F7" w:rsidRPr="00A85135" w:rsidRDefault="007363F7" w:rsidP="00F31990">
            <w:pPr>
              <w:spacing w:line="240" w:lineRule="auto"/>
              <w:ind w:left="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Variable</w:t>
            </w:r>
          </w:p>
        </w:tc>
        <w:tc>
          <w:tcPr>
            <w:tcW w:w="1139" w:type="dxa"/>
          </w:tcPr>
          <w:p w14:paraId="4A8DD164" w14:textId="77777777" w:rsidR="007363F7" w:rsidRPr="00A85135" w:rsidRDefault="007363F7" w:rsidP="00F31990">
            <w:pPr>
              <w:spacing w:line="240" w:lineRule="auto"/>
              <w:ind w:left="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Data Type</w:t>
            </w:r>
          </w:p>
        </w:tc>
        <w:tc>
          <w:tcPr>
            <w:tcW w:w="4892" w:type="dxa"/>
          </w:tcPr>
          <w:p w14:paraId="3DA6BB60" w14:textId="77777777" w:rsidR="007363F7" w:rsidRPr="00A85135" w:rsidRDefault="007363F7" w:rsidP="00F31990">
            <w:pPr>
              <w:spacing w:line="240" w:lineRule="auto"/>
              <w:ind w:left="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Description</w:t>
            </w:r>
          </w:p>
        </w:tc>
      </w:tr>
      <w:tr w:rsidR="00005FA7" w:rsidRPr="00A85135" w14:paraId="5F62EC0A"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val="restart"/>
          </w:tcPr>
          <w:p w14:paraId="6638D49E" w14:textId="6CBF2A6D" w:rsidR="00005FA7" w:rsidRPr="00005FA7" w:rsidRDefault="00005FA7" w:rsidP="00F31990">
            <w:pPr>
              <w:spacing w:line="240" w:lineRule="auto"/>
              <w:ind w:left="10"/>
              <w:rPr>
                <w:b w:val="0"/>
                <w:bCs w:val="0"/>
                <w:color w:val="000000" w:themeColor="text1"/>
                <w:sz w:val="20"/>
                <w:szCs w:val="20"/>
              </w:rPr>
            </w:pPr>
            <w:r w:rsidRPr="00005FA7">
              <w:rPr>
                <w:b w:val="0"/>
                <w:bCs w:val="0"/>
                <w:color w:val="000000" w:themeColor="text1"/>
                <w:sz w:val="20"/>
                <w:szCs w:val="20"/>
              </w:rPr>
              <w:t>Change in Lipid Profile</w:t>
            </w:r>
          </w:p>
        </w:tc>
        <w:tc>
          <w:tcPr>
            <w:tcW w:w="1830" w:type="dxa"/>
          </w:tcPr>
          <w:p w14:paraId="7046766F" w14:textId="39EA2276"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TotalCholesterol</w:t>
            </w:r>
          </w:p>
        </w:tc>
        <w:tc>
          <w:tcPr>
            <w:tcW w:w="1139" w:type="dxa"/>
          </w:tcPr>
          <w:p w14:paraId="5A3A646E"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0D2BAB9A"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 xml:space="preserve">Baseline Total Cholesterol </w:t>
            </w:r>
          </w:p>
        </w:tc>
      </w:tr>
      <w:tr w:rsidR="00005FA7" w:rsidRPr="00A85135" w14:paraId="5F66F98B"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4A336A8B"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71062534" w14:textId="2D41A3BE"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HDL</w:t>
            </w:r>
          </w:p>
        </w:tc>
        <w:tc>
          <w:tcPr>
            <w:tcW w:w="1139" w:type="dxa"/>
          </w:tcPr>
          <w:p w14:paraId="13CE3979"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697F9AEA"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Baseline High density lipoprotein cholesterol</w:t>
            </w:r>
          </w:p>
        </w:tc>
      </w:tr>
      <w:tr w:rsidR="00005FA7" w:rsidRPr="00A85135" w14:paraId="306C212F"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42FE0E19"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0C8030FA" w14:textId="318B2B04"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LDL</w:t>
            </w:r>
          </w:p>
        </w:tc>
        <w:tc>
          <w:tcPr>
            <w:tcW w:w="1139" w:type="dxa"/>
          </w:tcPr>
          <w:p w14:paraId="2CE39461"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31C01180"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Baseline Low density lipoprotein cholesterol</w:t>
            </w:r>
          </w:p>
        </w:tc>
      </w:tr>
      <w:tr w:rsidR="00005FA7" w:rsidRPr="00A85135" w14:paraId="397F8D77"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00601EE3"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3F41DF11" w14:textId="276FA029"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Triglycerides</w:t>
            </w:r>
          </w:p>
        </w:tc>
        <w:tc>
          <w:tcPr>
            <w:tcW w:w="1139" w:type="dxa"/>
          </w:tcPr>
          <w:p w14:paraId="5D176498"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657AF7C1"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Baseline Triglycerides</w:t>
            </w:r>
          </w:p>
        </w:tc>
      </w:tr>
      <w:tr w:rsidR="00005FA7" w:rsidRPr="00A85135" w14:paraId="29BB4086"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0ECE4E45"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6D62ECB6" w14:textId="028DA3B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TotalCholesterol30</w:t>
            </w:r>
          </w:p>
        </w:tc>
        <w:tc>
          <w:tcPr>
            <w:tcW w:w="1139" w:type="dxa"/>
          </w:tcPr>
          <w:p w14:paraId="07200432"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724DB23A"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Total Cholesterol after 30 days</w:t>
            </w:r>
          </w:p>
        </w:tc>
      </w:tr>
      <w:tr w:rsidR="00005FA7" w:rsidRPr="00A85135" w14:paraId="780F4684"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00142D1E"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0FA72C6D" w14:textId="1B9D640E"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HDL30</w:t>
            </w:r>
          </w:p>
        </w:tc>
        <w:tc>
          <w:tcPr>
            <w:tcW w:w="1139" w:type="dxa"/>
          </w:tcPr>
          <w:p w14:paraId="1B5FF99D"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4BF7AF5C"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High density lipoprotein cholesterol after 30 days</w:t>
            </w:r>
          </w:p>
        </w:tc>
      </w:tr>
      <w:tr w:rsidR="00005FA7" w:rsidRPr="00A85135" w14:paraId="0214693C"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042EB6A1"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7D113DF2" w14:textId="21138053"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LDL30</w:t>
            </w:r>
          </w:p>
        </w:tc>
        <w:tc>
          <w:tcPr>
            <w:tcW w:w="1139" w:type="dxa"/>
          </w:tcPr>
          <w:p w14:paraId="198260D5"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39C97EDB"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Low density lipoprotein cholesterol after 30 days</w:t>
            </w:r>
          </w:p>
        </w:tc>
      </w:tr>
      <w:tr w:rsidR="00005FA7" w:rsidRPr="00A85135" w14:paraId="2D5BB20D"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7C24E707"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6415D5D2" w14:textId="0F20E604"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Triglycerides30</w:t>
            </w:r>
          </w:p>
        </w:tc>
        <w:tc>
          <w:tcPr>
            <w:tcW w:w="1139" w:type="dxa"/>
          </w:tcPr>
          <w:p w14:paraId="34B8CDE1"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30BF137F"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Triglycerides after 30 days</w:t>
            </w:r>
          </w:p>
        </w:tc>
      </w:tr>
      <w:tr w:rsidR="00005FA7" w:rsidRPr="00A85135" w14:paraId="361E89E3"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1363F520"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31CA5811" w14:textId="2EBFE93F"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TotalCholesterol60</w:t>
            </w:r>
          </w:p>
        </w:tc>
        <w:tc>
          <w:tcPr>
            <w:tcW w:w="1139" w:type="dxa"/>
          </w:tcPr>
          <w:p w14:paraId="3AA1589F"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5AD19A6F"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Total Cholesterol after 60 days</w:t>
            </w:r>
          </w:p>
        </w:tc>
      </w:tr>
      <w:tr w:rsidR="00005FA7" w:rsidRPr="00A85135" w14:paraId="6C366B83"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58DBE00A"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4C9CA314" w14:textId="7CBF7AED"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HDL60</w:t>
            </w:r>
          </w:p>
        </w:tc>
        <w:tc>
          <w:tcPr>
            <w:tcW w:w="1139" w:type="dxa"/>
          </w:tcPr>
          <w:p w14:paraId="30291966"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33C01D72"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High density lipoprotein cholesterol after 60 days</w:t>
            </w:r>
          </w:p>
        </w:tc>
      </w:tr>
      <w:tr w:rsidR="00005FA7" w:rsidRPr="00A85135" w14:paraId="3D027DE8"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4BDE4DFD"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7EC77D44" w14:textId="062EC8E9"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LDL60</w:t>
            </w:r>
          </w:p>
        </w:tc>
        <w:tc>
          <w:tcPr>
            <w:tcW w:w="1139" w:type="dxa"/>
          </w:tcPr>
          <w:p w14:paraId="461DA37F"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7A161A79"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Low density lipoprotein cholesterol after 60 days</w:t>
            </w:r>
          </w:p>
        </w:tc>
      </w:tr>
      <w:tr w:rsidR="00005FA7" w:rsidRPr="00A85135" w14:paraId="40AA86FC"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2820ECBC"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23A50121" w14:textId="2A62B75B"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Triglycerides60</w:t>
            </w:r>
          </w:p>
        </w:tc>
        <w:tc>
          <w:tcPr>
            <w:tcW w:w="1139" w:type="dxa"/>
          </w:tcPr>
          <w:p w14:paraId="0C290C48"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1DC8EFF7"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Triglycerides after 60 days</w:t>
            </w:r>
          </w:p>
        </w:tc>
      </w:tr>
      <w:tr w:rsidR="00005FA7" w:rsidRPr="00A85135" w14:paraId="45464A1A"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725A5CC0"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69094A7C" w14:textId="1226B780"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TotalCholesterol90</w:t>
            </w:r>
          </w:p>
        </w:tc>
        <w:tc>
          <w:tcPr>
            <w:tcW w:w="1139" w:type="dxa"/>
          </w:tcPr>
          <w:p w14:paraId="247B6831"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2D58DDEB"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Total Cholesterol after 90 days</w:t>
            </w:r>
          </w:p>
        </w:tc>
      </w:tr>
      <w:tr w:rsidR="00005FA7" w:rsidRPr="00A85135" w14:paraId="5DBACE73"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4B1EE191"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34959718" w14:textId="0FA514E2"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HDL90</w:t>
            </w:r>
          </w:p>
        </w:tc>
        <w:tc>
          <w:tcPr>
            <w:tcW w:w="1139" w:type="dxa"/>
          </w:tcPr>
          <w:p w14:paraId="69D250C7"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4471D30F"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High density lipoprotein cholesterol after 90 days</w:t>
            </w:r>
          </w:p>
        </w:tc>
      </w:tr>
      <w:tr w:rsidR="00005FA7" w:rsidRPr="00A85135" w14:paraId="4C2811DA"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3E26B095"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628EF01C" w14:textId="7AC04BBE"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LDL90</w:t>
            </w:r>
          </w:p>
        </w:tc>
        <w:tc>
          <w:tcPr>
            <w:tcW w:w="1139" w:type="dxa"/>
          </w:tcPr>
          <w:p w14:paraId="209E5650"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7562035E"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Low density lipoprotein cholesterol after 90 days</w:t>
            </w:r>
          </w:p>
        </w:tc>
      </w:tr>
      <w:tr w:rsidR="00005FA7" w:rsidRPr="00A85135" w14:paraId="3F0BCAC1"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5D78B36F"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3841B6D5" w14:textId="6D512802"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Triglycerides90</w:t>
            </w:r>
          </w:p>
        </w:tc>
        <w:tc>
          <w:tcPr>
            <w:tcW w:w="1139" w:type="dxa"/>
          </w:tcPr>
          <w:p w14:paraId="4C0FCCAA"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152B73F2"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Triglycerides after 90 days</w:t>
            </w:r>
          </w:p>
        </w:tc>
      </w:tr>
      <w:tr w:rsidR="00005FA7" w:rsidRPr="00A85135" w14:paraId="76AFCA38"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val="restart"/>
          </w:tcPr>
          <w:p w14:paraId="65868C9D" w14:textId="6796EA9B" w:rsidR="00005FA7" w:rsidRPr="00005FA7" w:rsidRDefault="00005FA7" w:rsidP="00F31990">
            <w:pPr>
              <w:spacing w:line="240" w:lineRule="auto"/>
              <w:ind w:left="10"/>
              <w:rPr>
                <w:b w:val="0"/>
                <w:bCs w:val="0"/>
                <w:color w:val="000000" w:themeColor="text1"/>
                <w:sz w:val="20"/>
                <w:szCs w:val="20"/>
              </w:rPr>
            </w:pPr>
            <w:r w:rsidRPr="00005FA7">
              <w:rPr>
                <w:b w:val="0"/>
                <w:bCs w:val="0"/>
                <w:color w:val="000000" w:themeColor="text1"/>
                <w:sz w:val="20"/>
                <w:szCs w:val="20"/>
              </w:rPr>
              <w:t>Change in Proteinuria</w:t>
            </w:r>
          </w:p>
        </w:tc>
        <w:tc>
          <w:tcPr>
            <w:tcW w:w="1830" w:type="dxa"/>
          </w:tcPr>
          <w:p w14:paraId="426E1EA9" w14:textId="7A8899F0"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Proteinuria</w:t>
            </w:r>
          </w:p>
        </w:tc>
        <w:tc>
          <w:tcPr>
            <w:tcW w:w="1139" w:type="dxa"/>
          </w:tcPr>
          <w:p w14:paraId="159B1D5A"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7AC1C502"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 xml:space="preserve">Baseline urinary protein excretion greater than 500mg per day </w:t>
            </w:r>
          </w:p>
        </w:tc>
      </w:tr>
      <w:tr w:rsidR="00005FA7" w:rsidRPr="00A85135" w14:paraId="6BFC67D8" w14:textId="77777777" w:rsidTr="007363F7">
        <w:trPr>
          <w:trHeight w:val="269"/>
        </w:trPr>
        <w:tc>
          <w:tcPr>
            <w:cnfStyle w:val="001000000000" w:firstRow="0" w:lastRow="0" w:firstColumn="1" w:lastColumn="0" w:oddVBand="0" w:evenVBand="0" w:oddHBand="0" w:evenHBand="0" w:firstRowFirstColumn="0" w:firstRowLastColumn="0" w:lastRowFirstColumn="0" w:lastRowLastColumn="0"/>
            <w:tcW w:w="1489" w:type="dxa"/>
            <w:vMerge/>
          </w:tcPr>
          <w:p w14:paraId="5F9398CD" w14:textId="2FECEF95" w:rsidR="00005FA7" w:rsidRPr="00005FA7" w:rsidRDefault="00005FA7" w:rsidP="00F31990">
            <w:pPr>
              <w:spacing w:line="240" w:lineRule="auto"/>
              <w:ind w:left="10"/>
              <w:rPr>
                <w:b w:val="0"/>
                <w:bCs w:val="0"/>
                <w:color w:val="000000" w:themeColor="text1"/>
                <w:sz w:val="20"/>
                <w:szCs w:val="20"/>
              </w:rPr>
            </w:pPr>
          </w:p>
        </w:tc>
        <w:tc>
          <w:tcPr>
            <w:tcW w:w="1830" w:type="dxa"/>
          </w:tcPr>
          <w:p w14:paraId="50EDC725" w14:textId="75CD49C2"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Proteinuria30</w:t>
            </w:r>
          </w:p>
        </w:tc>
        <w:tc>
          <w:tcPr>
            <w:tcW w:w="1139" w:type="dxa"/>
          </w:tcPr>
          <w:p w14:paraId="4CFDB992"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3CC4FBCB"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 xml:space="preserve">Urinary protein excretion greater than 500mg per day, after 30 days </w:t>
            </w:r>
          </w:p>
        </w:tc>
      </w:tr>
      <w:tr w:rsidR="00005FA7" w:rsidRPr="00A85135" w14:paraId="6348D26D"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5EAA0E97" w14:textId="2FAFE6D2" w:rsidR="00005FA7" w:rsidRPr="00005FA7" w:rsidRDefault="00005FA7" w:rsidP="00F31990">
            <w:pPr>
              <w:spacing w:line="240" w:lineRule="auto"/>
              <w:ind w:left="10"/>
              <w:rPr>
                <w:b w:val="0"/>
                <w:bCs w:val="0"/>
                <w:color w:val="000000" w:themeColor="text1"/>
                <w:sz w:val="20"/>
                <w:szCs w:val="20"/>
              </w:rPr>
            </w:pPr>
          </w:p>
        </w:tc>
        <w:tc>
          <w:tcPr>
            <w:tcW w:w="1830" w:type="dxa"/>
          </w:tcPr>
          <w:p w14:paraId="4D28C626" w14:textId="3C59DE18"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Proteinuria60</w:t>
            </w:r>
          </w:p>
        </w:tc>
        <w:tc>
          <w:tcPr>
            <w:tcW w:w="1139" w:type="dxa"/>
          </w:tcPr>
          <w:p w14:paraId="3046833C"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1C257010"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 xml:space="preserve">Urinary protein excretion greater than 500mg per day, after 60 days </w:t>
            </w:r>
          </w:p>
        </w:tc>
      </w:tr>
      <w:tr w:rsidR="00005FA7" w:rsidRPr="00A85135" w14:paraId="5EA6ED00" w14:textId="77777777" w:rsidTr="007363F7">
        <w:trPr>
          <w:trHeight w:val="251"/>
        </w:trPr>
        <w:tc>
          <w:tcPr>
            <w:cnfStyle w:val="001000000000" w:firstRow="0" w:lastRow="0" w:firstColumn="1" w:lastColumn="0" w:oddVBand="0" w:evenVBand="0" w:oddHBand="0" w:evenHBand="0" w:firstRowFirstColumn="0" w:firstRowLastColumn="0" w:lastRowFirstColumn="0" w:lastRowLastColumn="0"/>
            <w:tcW w:w="1489" w:type="dxa"/>
            <w:vMerge/>
          </w:tcPr>
          <w:p w14:paraId="109F64B2" w14:textId="0A36C8E7" w:rsidR="00005FA7" w:rsidRPr="00005FA7" w:rsidRDefault="00005FA7" w:rsidP="00F31990">
            <w:pPr>
              <w:spacing w:line="240" w:lineRule="auto"/>
              <w:ind w:left="10"/>
              <w:rPr>
                <w:b w:val="0"/>
                <w:bCs w:val="0"/>
                <w:color w:val="000000" w:themeColor="text1"/>
                <w:sz w:val="20"/>
                <w:szCs w:val="20"/>
              </w:rPr>
            </w:pPr>
          </w:p>
        </w:tc>
        <w:tc>
          <w:tcPr>
            <w:tcW w:w="1830" w:type="dxa"/>
          </w:tcPr>
          <w:p w14:paraId="7BBD9DC6" w14:textId="3CFEA8D2"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Proteinuria90</w:t>
            </w:r>
          </w:p>
        </w:tc>
        <w:tc>
          <w:tcPr>
            <w:tcW w:w="1139" w:type="dxa"/>
          </w:tcPr>
          <w:p w14:paraId="345AB0A3"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163732DC"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Urinary protein excretion greater than 500mg per day, after 90</w:t>
            </w:r>
          </w:p>
        </w:tc>
      </w:tr>
      <w:tr w:rsidR="00005FA7" w:rsidRPr="00A85135" w14:paraId="1E0D9235"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val="restart"/>
          </w:tcPr>
          <w:p w14:paraId="28E4005F" w14:textId="2CC68F0A" w:rsidR="00005FA7" w:rsidRPr="00005FA7" w:rsidRDefault="00005FA7" w:rsidP="00F31990">
            <w:pPr>
              <w:spacing w:line="240" w:lineRule="auto"/>
              <w:ind w:left="10"/>
              <w:rPr>
                <w:b w:val="0"/>
                <w:bCs w:val="0"/>
                <w:color w:val="000000" w:themeColor="text1"/>
                <w:sz w:val="20"/>
                <w:szCs w:val="20"/>
              </w:rPr>
            </w:pPr>
            <w:r w:rsidRPr="00005FA7">
              <w:rPr>
                <w:b w:val="0"/>
                <w:bCs w:val="0"/>
                <w:color w:val="000000" w:themeColor="text1"/>
                <w:sz w:val="20"/>
                <w:szCs w:val="20"/>
              </w:rPr>
              <w:t>Change in eGFR</w:t>
            </w:r>
          </w:p>
        </w:tc>
        <w:tc>
          <w:tcPr>
            <w:tcW w:w="1830" w:type="dxa"/>
          </w:tcPr>
          <w:p w14:paraId="44DEF2FD" w14:textId="4DE6C36D"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EGFR</w:t>
            </w:r>
          </w:p>
        </w:tc>
        <w:tc>
          <w:tcPr>
            <w:tcW w:w="1139" w:type="dxa"/>
          </w:tcPr>
          <w:p w14:paraId="381CB385"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401FC677"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Baseline Estimated Glomerular filtration rate</w:t>
            </w:r>
          </w:p>
        </w:tc>
      </w:tr>
      <w:tr w:rsidR="00005FA7" w:rsidRPr="00A85135" w14:paraId="3DC9CBE4"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62E6C9AA"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09AEBFF7" w14:textId="4DEEF2D6"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EGFR30</w:t>
            </w:r>
          </w:p>
        </w:tc>
        <w:tc>
          <w:tcPr>
            <w:tcW w:w="1139" w:type="dxa"/>
          </w:tcPr>
          <w:p w14:paraId="10072FDD"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7EC3EF8C"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Estimated Glomerular filtration rate, after 30 days</w:t>
            </w:r>
          </w:p>
        </w:tc>
      </w:tr>
      <w:tr w:rsidR="00005FA7" w:rsidRPr="00A85135" w14:paraId="545E3FEE"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2E307B40"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019FB164" w14:textId="4AD37B5D"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EGFR60</w:t>
            </w:r>
          </w:p>
        </w:tc>
        <w:tc>
          <w:tcPr>
            <w:tcW w:w="1139" w:type="dxa"/>
          </w:tcPr>
          <w:p w14:paraId="6664E859"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48327FD1"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Estimated Glomerular filtration rate, after 60 days</w:t>
            </w:r>
          </w:p>
        </w:tc>
      </w:tr>
      <w:tr w:rsidR="00005FA7" w:rsidRPr="00A85135" w14:paraId="6D1CE5A7" w14:textId="77777777" w:rsidTr="007363F7">
        <w:tc>
          <w:tcPr>
            <w:cnfStyle w:val="001000000000" w:firstRow="0" w:lastRow="0" w:firstColumn="1" w:lastColumn="0" w:oddVBand="0" w:evenVBand="0" w:oddHBand="0" w:evenHBand="0" w:firstRowFirstColumn="0" w:firstRowLastColumn="0" w:lastRowFirstColumn="0" w:lastRowLastColumn="0"/>
            <w:tcW w:w="1489" w:type="dxa"/>
            <w:vMerge/>
          </w:tcPr>
          <w:p w14:paraId="15F1DCAD" w14:textId="77777777" w:rsidR="00005FA7" w:rsidRPr="00005FA7" w:rsidRDefault="00005FA7" w:rsidP="00F31990">
            <w:pPr>
              <w:spacing w:line="240" w:lineRule="auto"/>
              <w:ind w:left="10"/>
              <w:rPr>
                <w:b w:val="0"/>
                <w:bCs w:val="0"/>
                <w:color w:val="000000" w:themeColor="text1"/>
                <w:sz w:val="20"/>
                <w:szCs w:val="20"/>
              </w:rPr>
            </w:pPr>
          </w:p>
        </w:tc>
        <w:tc>
          <w:tcPr>
            <w:tcW w:w="1830" w:type="dxa"/>
          </w:tcPr>
          <w:p w14:paraId="3EC7607B" w14:textId="14F4FF46"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EGFR90</w:t>
            </w:r>
          </w:p>
        </w:tc>
        <w:tc>
          <w:tcPr>
            <w:tcW w:w="1139" w:type="dxa"/>
          </w:tcPr>
          <w:p w14:paraId="01CD326B"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Continuous</w:t>
            </w:r>
          </w:p>
        </w:tc>
        <w:tc>
          <w:tcPr>
            <w:tcW w:w="4892" w:type="dxa"/>
          </w:tcPr>
          <w:p w14:paraId="3813DD48" w14:textId="77777777" w:rsidR="00005FA7" w:rsidRPr="00005FA7" w:rsidRDefault="00005FA7"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05FA7">
              <w:rPr>
                <w:color w:val="000000" w:themeColor="text1"/>
                <w:sz w:val="20"/>
                <w:szCs w:val="20"/>
              </w:rPr>
              <w:t>Estimated Glomerular filtration rate, after 90 days</w:t>
            </w:r>
          </w:p>
        </w:tc>
      </w:tr>
    </w:tbl>
    <w:p w14:paraId="45CC97C2" w14:textId="77777777" w:rsidR="00E92BEE" w:rsidRPr="00B439D0" w:rsidRDefault="00E92BEE" w:rsidP="00E92BEE">
      <w:pPr>
        <w:spacing w:before="100" w:beforeAutospacing="1" w:after="100" w:afterAutospacing="1" w:line="240" w:lineRule="auto"/>
        <w:ind w:left="10"/>
        <w:rPr>
          <w:color w:val="000000" w:themeColor="text1"/>
          <w:szCs w:val="24"/>
        </w:rPr>
      </w:pPr>
    </w:p>
    <w:p w14:paraId="5906560F" w14:textId="77777777" w:rsidR="00E92BEE" w:rsidRPr="00123569" w:rsidRDefault="00E92BEE" w:rsidP="00123569">
      <w:pPr>
        <w:spacing w:line="480" w:lineRule="auto"/>
        <w:ind w:left="10"/>
        <w:rPr>
          <w:color w:val="000000" w:themeColor="text1"/>
        </w:rPr>
      </w:pPr>
    </w:p>
    <w:p w14:paraId="1151058A" w14:textId="77777777" w:rsidR="00005FA7" w:rsidRDefault="00005FA7" w:rsidP="00632661">
      <w:pPr>
        <w:spacing w:before="100" w:beforeAutospacing="1" w:after="100" w:afterAutospacing="1" w:line="240" w:lineRule="auto"/>
        <w:ind w:left="10"/>
        <w:rPr>
          <w:color w:val="000000" w:themeColor="text1"/>
          <w:szCs w:val="24"/>
        </w:rPr>
      </w:pPr>
    </w:p>
    <w:p w14:paraId="0C939782" w14:textId="4F2D20D2" w:rsidR="00632661" w:rsidRPr="00B439D0" w:rsidRDefault="00632661" w:rsidP="00632661">
      <w:pPr>
        <w:spacing w:before="100" w:beforeAutospacing="1" w:after="100" w:afterAutospacing="1" w:line="240" w:lineRule="auto"/>
        <w:ind w:left="10"/>
        <w:rPr>
          <w:color w:val="000000" w:themeColor="text1"/>
          <w:szCs w:val="24"/>
        </w:rPr>
      </w:pPr>
      <w:r w:rsidRPr="00B439D0">
        <w:rPr>
          <w:color w:val="000000" w:themeColor="text1"/>
          <w:szCs w:val="24"/>
        </w:rPr>
        <w:lastRenderedPageBreak/>
        <w:t xml:space="preserve">Table </w:t>
      </w:r>
      <w:r w:rsidR="00EE6422">
        <w:rPr>
          <w:color w:val="000000" w:themeColor="text1"/>
          <w:szCs w:val="24"/>
        </w:rPr>
        <w:t>5</w:t>
      </w:r>
      <w:r w:rsidRPr="00B439D0">
        <w:rPr>
          <w:color w:val="000000" w:themeColor="text1"/>
          <w:szCs w:val="24"/>
        </w:rPr>
        <w:t xml:space="preserve">. </w:t>
      </w:r>
      <w:r>
        <w:rPr>
          <w:color w:val="000000" w:themeColor="text1"/>
          <w:szCs w:val="24"/>
        </w:rPr>
        <w:t>The eleven covariates of the study</w:t>
      </w:r>
    </w:p>
    <w:tbl>
      <w:tblPr>
        <w:tblStyle w:val="GridTable1Light"/>
        <w:tblW w:w="0" w:type="auto"/>
        <w:tblLook w:val="04A0" w:firstRow="1" w:lastRow="0" w:firstColumn="1" w:lastColumn="0" w:noHBand="0" w:noVBand="1"/>
      </w:tblPr>
      <w:tblGrid>
        <w:gridCol w:w="1850"/>
        <w:gridCol w:w="1139"/>
        <w:gridCol w:w="5920"/>
      </w:tblGrid>
      <w:tr w:rsidR="00D00AF8" w:rsidRPr="00A85135" w14:paraId="172162CF" w14:textId="77777777" w:rsidTr="00D00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C859042"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Variable</w:t>
            </w:r>
          </w:p>
        </w:tc>
        <w:tc>
          <w:tcPr>
            <w:tcW w:w="1139" w:type="dxa"/>
          </w:tcPr>
          <w:p w14:paraId="6AFBFEE7" w14:textId="77777777" w:rsidR="00D00AF8" w:rsidRPr="00A85135" w:rsidRDefault="00D00AF8" w:rsidP="00F31990">
            <w:pPr>
              <w:spacing w:line="240" w:lineRule="auto"/>
              <w:ind w:left="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Data Type</w:t>
            </w:r>
          </w:p>
        </w:tc>
        <w:tc>
          <w:tcPr>
            <w:tcW w:w="5920" w:type="dxa"/>
          </w:tcPr>
          <w:p w14:paraId="606ED655" w14:textId="77777777" w:rsidR="00D00AF8" w:rsidRPr="00A85135" w:rsidRDefault="00D00AF8" w:rsidP="00F31990">
            <w:pPr>
              <w:spacing w:line="240" w:lineRule="auto"/>
              <w:ind w:left="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Description</w:t>
            </w:r>
          </w:p>
        </w:tc>
      </w:tr>
      <w:tr w:rsidR="00D00AF8" w:rsidRPr="00A85135" w14:paraId="7CC18A28"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76D85033"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Age</w:t>
            </w:r>
          </w:p>
        </w:tc>
        <w:tc>
          <w:tcPr>
            <w:tcW w:w="1139" w:type="dxa"/>
          </w:tcPr>
          <w:p w14:paraId="6389ACC9"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33B68964"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D00AF8" w:rsidRPr="00A85135" w14:paraId="7059BAEE"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27DE0FA7"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Gender</w:t>
            </w:r>
          </w:p>
        </w:tc>
        <w:tc>
          <w:tcPr>
            <w:tcW w:w="1139" w:type="dxa"/>
          </w:tcPr>
          <w:p w14:paraId="0D0B3B89"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Binary</w:t>
            </w:r>
          </w:p>
        </w:tc>
        <w:tc>
          <w:tcPr>
            <w:tcW w:w="5920" w:type="dxa"/>
          </w:tcPr>
          <w:p w14:paraId="02F79D49"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D00AF8" w:rsidRPr="00A85135" w14:paraId="731904FC"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3D652C42"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Ethnicity</w:t>
            </w:r>
          </w:p>
        </w:tc>
        <w:tc>
          <w:tcPr>
            <w:tcW w:w="1139" w:type="dxa"/>
          </w:tcPr>
          <w:p w14:paraId="6D5FAAD4"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Categorical</w:t>
            </w:r>
          </w:p>
        </w:tc>
        <w:tc>
          <w:tcPr>
            <w:tcW w:w="5920" w:type="dxa"/>
          </w:tcPr>
          <w:p w14:paraId="0A297277"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D00AF8" w:rsidRPr="00A85135" w14:paraId="6B8AB049"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6FA2CECD"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BMI</w:t>
            </w:r>
          </w:p>
        </w:tc>
        <w:tc>
          <w:tcPr>
            <w:tcW w:w="1139" w:type="dxa"/>
          </w:tcPr>
          <w:p w14:paraId="53E47DBE"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7FB8B1D2"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Baseline body mass index</w:t>
            </w:r>
          </w:p>
        </w:tc>
      </w:tr>
      <w:tr w:rsidR="00D00AF8" w:rsidRPr="00A85135" w14:paraId="1B4D9108"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4299C90B"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BMI30</w:t>
            </w:r>
          </w:p>
        </w:tc>
        <w:tc>
          <w:tcPr>
            <w:tcW w:w="1139" w:type="dxa"/>
          </w:tcPr>
          <w:p w14:paraId="20C293D3"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63ADBD8C"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Body mass index after 30 days</w:t>
            </w:r>
          </w:p>
        </w:tc>
      </w:tr>
      <w:tr w:rsidR="00D00AF8" w:rsidRPr="00A85135" w14:paraId="1E24000A"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09C1AC56"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BMI60</w:t>
            </w:r>
          </w:p>
        </w:tc>
        <w:tc>
          <w:tcPr>
            <w:tcW w:w="1139" w:type="dxa"/>
          </w:tcPr>
          <w:p w14:paraId="65FD1D35"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3A565C69"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Body mass index after 60 days</w:t>
            </w:r>
          </w:p>
        </w:tc>
      </w:tr>
      <w:tr w:rsidR="00D00AF8" w:rsidRPr="00A85135" w14:paraId="69B071D6"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66223594"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BMI90</w:t>
            </w:r>
          </w:p>
        </w:tc>
        <w:tc>
          <w:tcPr>
            <w:tcW w:w="1139" w:type="dxa"/>
          </w:tcPr>
          <w:p w14:paraId="496E6693"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Continuous</w:t>
            </w:r>
          </w:p>
        </w:tc>
        <w:tc>
          <w:tcPr>
            <w:tcW w:w="5920" w:type="dxa"/>
          </w:tcPr>
          <w:p w14:paraId="2B620040"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Body mass index after 90 days</w:t>
            </w:r>
          </w:p>
        </w:tc>
      </w:tr>
      <w:tr w:rsidR="00D00AF8" w:rsidRPr="00A85135" w14:paraId="7F894D29"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310C0FBC"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UTI</w:t>
            </w:r>
          </w:p>
        </w:tc>
        <w:tc>
          <w:tcPr>
            <w:tcW w:w="1139" w:type="dxa"/>
          </w:tcPr>
          <w:p w14:paraId="36C475D7"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Integer</w:t>
            </w:r>
          </w:p>
        </w:tc>
        <w:tc>
          <w:tcPr>
            <w:tcW w:w="5920" w:type="dxa"/>
          </w:tcPr>
          <w:p w14:paraId="29E98B14"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Baseline frequency of urinary tract infection</w:t>
            </w:r>
          </w:p>
        </w:tc>
      </w:tr>
      <w:tr w:rsidR="00D00AF8" w:rsidRPr="00A85135" w14:paraId="530D45DE"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5162285C"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UTI30</w:t>
            </w:r>
          </w:p>
        </w:tc>
        <w:tc>
          <w:tcPr>
            <w:tcW w:w="1139" w:type="dxa"/>
          </w:tcPr>
          <w:p w14:paraId="3DB34509"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Integer</w:t>
            </w:r>
          </w:p>
        </w:tc>
        <w:tc>
          <w:tcPr>
            <w:tcW w:w="5920" w:type="dxa"/>
          </w:tcPr>
          <w:p w14:paraId="216C4E87"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Frequency of urinary tract infection after 30 days</w:t>
            </w:r>
          </w:p>
        </w:tc>
      </w:tr>
      <w:tr w:rsidR="00D00AF8" w:rsidRPr="00A85135" w14:paraId="0729E6ED"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3F3E31A9"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UTI60</w:t>
            </w:r>
          </w:p>
        </w:tc>
        <w:tc>
          <w:tcPr>
            <w:tcW w:w="1139" w:type="dxa"/>
          </w:tcPr>
          <w:p w14:paraId="5003FC55"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Integer</w:t>
            </w:r>
          </w:p>
        </w:tc>
        <w:tc>
          <w:tcPr>
            <w:tcW w:w="5920" w:type="dxa"/>
          </w:tcPr>
          <w:p w14:paraId="43F41DD9"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Frequency of urinary tract infection after 60 days</w:t>
            </w:r>
          </w:p>
        </w:tc>
      </w:tr>
      <w:tr w:rsidR="00D00AF8" w:rsidRPr="00A85135" w14:paraId="7EFB1C4C" w14:textId="77777777" w:rsidTr="00D00AF8">
        <w:tc>
          <w:tcPr>
            <w:cnfStyle w:val="001000000000" w:firstRow="0" w:lastRow="0" w:firstColumn="1" w:lastColumn="0" w:oddVBand="0" w:evenVBand="0" w:oddHBand="0" w:evenHBand="0" w:firstRowFirstColumn="0" w:firstRowLastColumn="0" w:lastRowFirstColumn="0" w:lastRowLastColumn="0"/>
            <w:tcW w:w="1850" w:type="dxa"/>
          </w:tcPr>
          <w:p w14:paraId="6D8CC472" w14:textId="77777777" w:rsidR="00D00AF8" w:rsidRPr="00A85135" w:rsidRDefault="00D00AF8" w:rsidP="00F31990">
            <w:pPr>
              <w:spacing w:line="240" w:lineRule="auto"/>
              <w:ind w:left="10"/>
              <w:rPr>
                <w:color w:val="000000" w:themeColor="text1"/>
                <w:sz w:val="20"/>
                <w:szCs w:val="20"/>
              </w:rPr>
            </w:pPr>
            <w:r w:rsidRPr="00A85135">
              <w:rPr>
                <w:color w:val="000000" w:themeColor="text1"/>
                <w:sz w:val="20"/>
                <w:szCs w:val="20"/>
              </w:rPr>
              <w:t>UTI90</w:t>
            </w:r>
          </w:p>
        </w:tc>
        <w:tc>
          <w:tcPr>
            <w:tcW w:w="1139" w:type="dxa"/>
          </w:tcPr>
          <w:p w14:paraId="4C594C03"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Integer</w:t>
            </w:r>
          </w:p>
        </w:tc>
        <w:tc>
          <w:tcPr>
            <w:tcW w:w="5920" w:type="dxa"/>
          </w:tcPr>
          <w:p w14:paraId="18C60002" w14:textId="77777777" w:rsidR="00D00AF8" w:rsidRPr="00A85135" w:rsidRDefault="00D00AF8" w:rsidP="00F31990">
            <w:pPr>
              <w:spacing w:line="240" w:lineRule="auto"/>
              <w:ind w:left="1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5135">
              <w:rPr>
                <w:color w:val="000000" w:themeColor="text1"/>
                <w:sz w:val="20"/>
                <w:szCs w:val="20"/>
              </w:rPr>
              <w:t>Frequency of urinary tract infection after 90 days</w:t>
            </w:r>
          </w:p>
        </w:tc>
      </w:tr>
    </w:tbl>
    <w:p w14:paraId="664D3F62" w14:textId="77777777" w:rsidR="00D00AF8" w:rsidRPr="00CD2AF0" w:rsidRDefault="00D00AF8" w:rsidP="00CD2AF0">
      <w:pPr>
        <w:spacing w:line="480" w:lineRule="auto"/>
        <w:ind w:left="10"/>
        <w:rPr>
          <w:color w:val="000000" w:themeColor="text1"/>
        </w:rPr>
      </w:pPr>
    </w:p>
    <w:p w14:paraId="66DD126C" w14:textId="0D1F1A1F" w:rsidR="002410AE" w:rsidRPr="00B439D0" w:rsidRDefault="00466E2F" w:rsidP="00A85135">
      <w:pPr>
        <w:pStyle w:val="Heading1"/>
        <w:ind w:left="10"/>
        <w:rPr>
          <w:color w:val="000000" w:themeColor="text1"/>
        </w:rPr>
      </w:pPr>
      <w:bookmarkStart w:id="8" w:name="_Toc87363715"/>
      <w:r w:rsidRPr="00B439D0">
        <w:rPr>
          <w:color w:val="000000" w:themeColor="text1"/>
        </w:rPr>
        <w:t>6</w:t>
      </w:r>
      <w:r w:rsidR="002410AE" w:rsidRPr="00B439D0">
        <w:rPr>
          <w:rFonts w:ascii="Arial" w:eastAsia="Arial" w:hAnsi="Arial" w:cs="Arial"/>
          <w:color w:val="000000" w:themeColor="text1"/>
        </w:rPr>
        <w:t xml:space="preserve"> </w:t>
      </w:r>
      <w:r w:rsidR="002410AE" w:rsidRPr="00B439D0">
        <w:rPr>
          <w:color w:val="000000" w:themeColor="text1"/>
        </w:rPr>
        <w:t>HANDLING OF MISSING VALUES AND OTHER DATA CONVENTIONS</w:t>
      </w:r>
      <w:bookmarkEnd w:id="8"/>
      <w:r w:rsidR="002410AE" w:rsidRPr="00B439D0">
        <w:rPr>
          <w:color w:val="000000" w:themeColor="text1"/>
        </w:rPr>
        <w:t xml:space="preserve"> </w:t>
      </w:r>
    </w:p>
    <w:p w14:paraId="4A18B072" w14:textId="6753CB8F" w:rsidR="002410AE" w:rsidRPr="00B439D0" w:rsidRDefault="001F3EC6" w:rsidP="001F3EC6">
      <w:pPr>
        <w:spacing w:line="480" w:lineRule="auto"/>
        <w:ind w:left="10"/>
        <w:rPr>
          <w:color w:val="000000" w:themeColor="text1"/>
        </w:rPr>
      </w:pPr>
      <w:r w:rsidRPr="001F3EC6">
        <w:rPr>
          <w:color w:val="000000" w:themeColor="text1"/>
        </w:rPr>
        <w:t xml:space="preserve">Baseline missing values or drop-out values that could happen in the following visits are expected and will be handled accordingly, to ensure balance between the two arms. </w:t>
      </w:r>
      <w:r w:rsidR="000A07AB" w:rsidRPr="002A11E2">
        <w:rPr>
          <w:rFonts w:eastAsiaTheme="minorEastAsia"/>
          <w:color w:val="auto"/>
          <w:spacing w:val="-1"/>
          <w:szCs w:val="24"/>
        </w:rPr>
        <w:t>Geiker</w:t>
      </w:r>
      <w:r w:rsidR="000A07AB" w:rsidRPr="001F3EC6">
        <w:rPr>
          <w:color w:val="000000" w:themeColor="text1"/>
        </w:rPr>
        <w:t xml:space="preserve"> </w:t>
      </w:r>
      <w:r w:rsidR="000A07AB">
        <w:rPr>
          <w:color w:val="000000" w:themeColor="text1"/>
        </w:rPr>
        <w:t xml:space="preserve">et al. (2016) suggests </w:t>
      </w:r>
      <w:r w:rsidRPr="001F3EC6">
        <w:rPr>
          <w:color w:val="000000" w:themeColor="text1"/>
        </w:rPr>
        <w:t>considering the baseline outcome as a response in the following visits, apply</w:t>
      </w:r>
      <w:r w:rsidR="000A07AB">
        <w:rPr>
          <w:color w:val="000000" w:themeColor="text1"/>
        </w:rPr>
        <w:t>ing an</w:t>
      </w:r>
      <w:r w:rsidRPr="001F3EC6">
        <w:rPr>
          <w:color w:val="000000" w:themeColor="text1"/>
        </w:rPr>
        <w:t xml:space="preserve"> imputation technique, or a combination of both methods.</w:t>
      </w:r>
      <w:r w:rsidR="002410AE" w:rsidRPr="00B439D0">
        <w:rPr>
          <w:color w:val="000000" w:themeColor="text1"/>
        </w:rPr>
        <w:t xml:space="preserve"> </w:t>
      </w:r>
    </w:p>
    <w:p w14:paraId="0E9E5F77" w14:textId="77777777" w:rsidR="00BA08D9" w:rsidRPr="00B439D0" w:rsidRDefault="00BA08D9" w:rsidP="00A85135">
      <w:pPr>
        <w:ind w:left="10"/>
        <w:rPr>
          <w:color w:val="000000" w:themeColor="text1"/>
        </w:rPr>
      </w:pPr>
    </w:p>
    <w:p w14:paraId="374E183E" w14:textId="51D0851A" w:rsidR="00BA08D9" w:rsidRPr="00B439D0" w:rsidRDefault="00BA08D9" w:rsidP="00A85135">
      <w:pPr>
        <w:pStyle w:val="Heading1"/>
        <w:ind w:left="10"/>
        <w:rPr>
          <w:color w:val="000000" w:themeColor="text1"/>
        </w:rPr>
      </w:pPr>
      <w:bookmarkStart w:id="9" w:name="_Toc87363716"/>
      <w:r w:rsidRPr="00B439D0">
        <w:rPr>
          <w:color w:val="000000" w:themeColor="text1"/>
        </w:rPr>
        <w:t>7 STATISTICAL ANALYSES</w:t>
      </w:r>
      <w:bookmarkEnd w:id="9"/>
    </w:p>
    <w:p w14:paraId="37F9A849" w14:textId="77777777" w:rsidR="00BA08D9" w:rsidRPr="00B439D0" w:rsidRDefault="00BA08D9" w:rsidP="00A85135">
      <w:pPr>
        <w:ind w:left="10"/>
        <w:rPr>
          <w:color w:val="000000" w:themeColor="text1"/>
        </w:rPr>
      </w:pPr>
    </w:p>
    <w:p w14:paraId="3035DEE1" w14:textId="0FB737A3" w:rsidR="002410AE" w:rsidRPr="00B439D0" w:rsidRDefault="002410AE" w:rsidP="00A85135">
      <w:pPr>
        <w:ind w:left="10"/>
        <w:rPr>
          <w:color w:val="000000" w:themeColor="text1"/>
        </w:rPr>
      </w:pPr>
    </w:p>
    <w:p w14:paraId="5D752444" w14:textId="50612592" w:rsidR="008E4922" w:rsidRPr="00B439D0" w:rsidRDefault="00951907" w:rsidP="00A85135">
      <w:pPr>
        <w:ind w:left="10"/>
        <w:rPr>
          <w:color w:val="000000" w:themeColor="text1"/>
        </w:rPr>
      </w:pPr>
      <w:r w:rsidRPr="00B439D0">
        <w:rPr>
          <w:color w:val="000000" w:themeColor="text1"/>
        </w:rPr>
        <w:t>7.1 EXPLORATORY DATA ANALYSIS</w:t>
      </w:r>
    </w:p>
    <w:p w14:paraId="057DD050" w14:textId="529AFB95" w:rsidR="00356F19" w:rsidRPr="00356F19" w:rsidRDefault="00356F19" w:rsidP="00356F19">
      <w:pPr>
        <w:spacing w:line="480" w:lineRule="auto"/>
        <w:ind w:left="10"/>
        <w:rPr>
          <w:color w:val="000000" w:themeColor="text1"/>
        </w:rPr>
      </w:pPr>
      <w:r w:rsidRPr="00356F19">
        <w:rPr>
          <w:color w:val="000000" w:themeColor="text1"/>
        </w:rPr>
        <w:t>Once the clinical trial has been started, baseline data on the subjects will be collected and re-measured again after 30, 60, and 90 days. This data will be summarized to calculate the mean, median, interquartile range (IQR) and standard deviation for continuous variables. Categorical variables will be summarized by means of counts and percentages per category.</w:t>
      </w:r>
    </w:p>
    <w:p w14:paraId="270DF9E6" w14:textId="1860244F" w:rsidR="00F06B34" w:rsidRDefault="00356F19" w:rsidP="00356F19">
      <w:pPr>
        <w:spacing w:line="480" w:lineRule="auto"/>
        <w:ind w:left="10"/>
        <w:rPr>
          <w:color w:val="000000" w:themeColor="text1"/>
        </w:rPr>
      </w:pPr>
      <w:r w:rsidRPr="00356F19">
        <w:rPr>
          <w:color w:val="000000" w:themeColor="text1"/>
        </w:rPr>
        <w:t>Furthermore, normality will be investigated for continuous variables since it is an essential assumption for the proposed analysis of variance and generalized linear modelling techniques.</w:t>
      </w:r>
    </w:p>
    <w:p w14:paraId="3B5DAEF6" w14:textId="11E8EB72" w:rsidR="00BE79F9" w:rsidRDefault="00BE79F9" w:rsidP="00356F19">
      <w:pPr>
        <w:spacing w:line="480" w:lineRule="auto"/>
        <w:ind w:left="10"/>
        <w:rPr>
          <w:color w:val="000000" w:themeColor="text1"/>
        </w:rPr>
      </w:pPr>
    </w:p>
    <w:p w14:paraId="2F9D2246" w14:textId="3A389133" w:rsidR="00BE79F9" w:rsidRDefault="00BE79F9" w:rsidP="00356F19">
      <w:pPr>
        <w:spacing w:line="480" w:lineRule="auto"/>
        <w:ind w:left="10"/>
        <w:rPr>
          <w:color w:val="000000" w:themeColor="text1"/>
        </w:rPr>
      </w:pPr>
    </w:p>
    <w:p w14:paraId="27272D17" w14:textId="77777777" w:rsidR="00BE79F9" w:rsidRDefault="00BE79F9" w:rsidP="00356F19">
      <w:pPr>
        <w:spacing w:line="480" w:lineRule="auto"/>
        <w:ind w:left="10"/>
        <w:rPr>
          <w:color w:val="000000" w:themeColor="text1"/>
        </w:rPr>
      </w:pPr>
    </w:p>
    <w:p w14:paraId="1E9C1314" w14:textId="4024DFAD" w:rsidR="00951907" w:rsidRDefault="003D5303" w:rsidP="00A85135">
      <w:pPr>
        <w:ind w:left="10"/>
        <w:rPr>
          <w:color w:val="000000" w:themeColor="text1"/>
        </w:rPr>
      </w:pPr>
      <w:r>
        <w:rPr>
          <w:color w:val="000000" w:themeColor="text1"/>
        </w:rPr>
        <w:lastRenderedPageBreak/>
        <w:t>7.2 DATA TRANSFORMATION</w:t>
      </w:r>
    </w:p>
    <w:p w14:paraId="61A5BED2" w14:textId="767BD4CF" w:rsidR="003D5303" w:rsidRDefault="00BE79F9" w:rsidP="00BE79F9">
      <w:pPr>
        <w:spacing w:line="480" w:lineRule="auto"/>
        <w:ind w:left="10"/>
        <w:rPr>
          <w:color w:val="000000" w:themeColor="text1"/>
        </w:rPr>
      </w:pPr>
      <w:r>
        <w:rPr>
          <w:color w:val="000000" w:themeColor="text1"/>
        </w:rPr>
        <w:t>If the continuous variables are not normally distributed, they will be transformed using the natural logarithm function. This ensures that the normality assumption is not violated when conducting the statistical methods.</w:t>
      </w:r>
    </w:p>
    <w:p w14:paraId="079FEF1B" w14:textId="77777777" w:rsidR="00BE79F9" w:rsidRPr="00B439D0" w:rsidRDefault="00BE79F9" w:rsidP="00A85135">
      <w:pPr>
        <w:ind w:left="10"/>
        <w:rPr>
          <w:color w:val="000000" w:themeColor="text1"/>
        </w:rPr>
      </w:pPr>
    </w:p>
    <w:p w14:paraId="3F17F0CB" w14:textId="7F2E63B6" w:rsidR="00F06B34" w:rsidRPr="00B439D0" w:rsidRDefault="00951907" w:rsidP="00A85135">
      <w:pPr>
        <w:ind w:left="10"/>
        <w:rPr>
          <w:color w:val="000000" w:themeColor="text1"/>
        </w:rPr>
      </w:pPr>
      <w:r w:rsidRPr="00B439D0">
        <w:rPr>
          <w:color w:val="000000" w:themeColor="text1"/>
        </w:rPr>
        <w:t>7.</w:t>
      </w:r>
      <w:r w:rsidR="003D5303">
        <w:rPr>
          <w:color w:val="000000" w:themeColor="text1"/>
        </w:rPr>
        <w:t>3</w:t>
      </w:r>
      <w:r w:rsidRPr="00B439D0">
        <w:rPr>
          <w:color w:val="000000" w:themeColor="text1"/>
        </w:rPr>
        <w:t xml:space="preserve"> CORRELATION ANALYSIS</w:t>
      </w:r>
    </w:p>
    <w:p w14:paraId="2E7AAE3D" w14:textId="0094CDF1" w:rsidR="00F06B34" w:rsidRDefault="0027667F" w:rsidP="00A145C4">
      <w:pPr>
        <w:spacing w:line="480" w:lineRule="auto"/>
        <w:ind w:left="10"/>
        <w:rPr>
          <w:color w:val="000000" w:themeColor="text1"/>
        </w:rPr>
      </w:pPr>
      <w:r>
        <w:rPr>
          <w:color w:val="000000" w:themeColor="text1"/>
        </w:rPr>
        <w:t>Pairwise correlation coefficient will be calculated among the variables</w:t>
      </w:r>
      <w:r w:rsidR="00A145C4">
        <w:rPr>
          <w:color w:val="000000" w:themeColor="text1"/>
        </w:rPr>
        <w:t xml:space="preserve"> to explore </w:t>
      </w:r>
      <w:r w:rsidR="00A145C4" w:rsidRPr="00A145C4">
        <w:rPr>
          <w:color w:val="000000" w:themeColor="text1"/>
        </w:rPr>
        <w:t>between-participant variation</w:t>
      </w:r>
      <w:r>
        <w:rPr>
          <w:color w:val="000000" w:themeColor="text1"/>
        </w:rPr>
        <w:t>.</w:t>
      </w:r>
      <w:r w:rsidR="00F75F64">
        <w:rPr>
          <w:color w:val="000000" w:themeColor="text1"/>
        </w:rPr>
        <w:t xml:space="preserve"> Moreover, </w:t>
      </w:r>
      <w:r w:rsidR="006D2F7B">
        <w:rPr>
          <w:color w:val="000000" w:themeColor="text1"/>
        </w:rPr>
        <w:t>graphs will be drafted to visualize the relationships among the variables.</w:t>
      </w:r>
    </w:p>
    <w:p w14:paraId="0365CF98" w14:textId="77777777" w:rsidR="0027667F" w:rsidRPr="00B439D0" w:rsidRDefault="0027667F" w:rsidP="00A85135">
      <w:pPr>
        <w:ind w:left="10"/>
        <w:rPr>
          <w:color w:val="000000" w:themeColor="text1"/>
        </w:rPr>
      </w:pPr>
    </w:p>
    <w:p w14:paraId="325DEB88" w14:textId="56E12B40" w:rsidR="002410AE" w:rsidRDefault="00951907" w:rsidP="00A85135">
      <w:pPr>
        <w:spacing w:line="259" w:lineRule="auto"/>
        <w:ind w:left="10"/>
        <w:rPr>
          <w:color w:val="000000" w:themeColor="text1"/>
        </w:rPr>
      </w:pPr>
      <w:r>
        <w:rPr>
          <w:color w:val="000000" w:themeColor="text1"/>
        </w:rPr>
        <w:t>7.</w:t>
      </w:r>
      <w:r w:rsidR="002B6937">
        <w:rPr>
          <w:color w:val="000000" w:themeColor="text1"/>
        </w:rPr>
        <w:t>4</w:t>
      </w:r>
      <w:r>
        <w:rPr>
          <w:color w:val="000000" w:themeColor="text1"/>
        </w:rPr>
        <w:t xml:space="preserve"> </w:t>
      </w:r>
      <w:r w:rsidR="001B7488">
        <w:rPr>
          <w:color w:val="000000" w:themeColor="text1"/>
        </w:rPr>
        <w:t xml:space="preserve">MULTIVARIATE </w:t>
      </w:r>
      <w:r w:rsidR="00643FF5">
        <w:rPr>
          <w:color w:val="000000" w:themeColor="text1"/>
        </w:rPr>
        <w:t>ANALYSIS OF COVARIANCE</w:t>
      </w:r>
    </w:p>
    <w:p w14:paraId="520846B3" w14:textId="2AFA3C48" w:rsidR="00951907" w:rsidRDefault="00643FF5" w:rsidP="00A10D87">
      <w:pPr>
        <w:spacing w:line="480" w:lineRule="auto"/>
        <w:ind w:left="10"/>
        <w:rPr>
          <w:color w:val="000000" w:themeColor="text1"/>
          <w:szCs w:val="24"/>
        </w:rPr>
      </w:pPr>
      <w:r w:rsidRPr="00A60101">
        <w:rPr>
          <w:color w:val="000000" w:themeColor="text1"/>
          <w:szCs w:val="24"/>
        </w:rPr>
        <w:t xml:space="preserve">For this type of clinical trial, </w:t>
      </w:r>
      <w:r w:rsidR="001B7488">
        <w:rPr>
          <w:color w:val="000000" w:themeColor="text1"/>
          <w:szCs w:val="24"/>
        </w:rPr>
        <w:t xml:space="preserve">multivariate </w:t>
      </w:r>
      <w:r w:rsidRPr="00A60101">
        <w:rPr>
          <w:color w:val="000000" w:themeColor="text1"/>
          <w:szCs w:val="24"/>
        </w:rPr>
        <w:t>analysis of covariance (</w:t>
      </w:r>
      <w:r w:rsidR="001B7488">
        <w:rPr>
          <w:color w:val="000000" w:themeColor="text1"/>
          <w:szCs w:val="24"/>
        </w:rPr>
        <w:t>M</w:t>
      </w:r>
      <w:r w:rsidRPr="00A60101">
        <w:rPr>
          <w:color w:val="000000" w:themeColor="text1"/>
          <w:szCs w:val="24"/>
        </w:rPr>
        <w:t>ANCOVA) main effect model is the most efficient approach with smallest variance estimator.</w:t>
      </w:r>
      <w:r w:rsidR="0013545F">
        <w:rPr>
          <w:color w:val="000000" w:themeColor="text1"/>
          <w:szCs w:val="24"/>
        </w:rPr>
        <w:t xml:space="preserve"> </w:t>
      </w:r>
      <w:r w:rsidR="001B7488">
        <w:rPr>
          <w:color w:val="000000" w:themeColor="text1"/>
          <w:szCs w:val="24"/>
        </w:rPr>
        <w:t>M</w:t>
      </w:r>
      <w:r w:rsidR="0013545F" w:rsidRPr="0013545F">
        <w:rPr>
          <w:color w:val="000000" w:themeColor="text1"/>
          <w:szCs w:val="24"/>
        </w:rPr>
        <w:t>ANCOVA is more meaningful conceptually because pre-score is the baseline covariates</w:t>
      </w:r>
      <w:r w:rsidR="00A10D87">
        <w:rPr>
          <w:color w:val="000000" w:themeColor="text1"/>
          <w:szCs w:val="24"/>
        </w:rPr>
        <w:t>, and because there are multiple outcomes</w:t>
      </w:r>
      <w:r w:rsidR="00A706AC">
        <w:rPr>
          <w:color w:val="000000" w:themeColor="text1"/>
          <w:szCs w:val="24"/>
        </w:rPr>
        <w:t xml:space="preserve">. </w:t>
      </w:r>
      <w:r w:rsidR="00A10D87">
        <w:rPr>
          <w:color w:val="000000" w:themeColor="text1"/>
          <w:szCs w:val="24"/>
        </w:rPr>
        <w:t xml:space="preserve">MANCOVA </w:t>
      </w:r>
      <w:r w:rsidR="00A10D87" w:rsidRPr="00A10D87">
        <w:rPr>
          <w:color w:val="000000" w:themeColor="text1"/>
          <w:szCs w:val="24"/>
        </w:rPr>
        <w:t xml:space="preserve">tests the overall </w:t>
      </w:r>
      <w:r w:rsidR="00A10D87">
        <w:rPr>
          <w:color w:val="000000" w:themeColor="text1"/>
          <w:szCs w:val="24"/>
        </w:rPr>
        <w:t>null hypothesis</w:t>
      </w:r>
      <w:r w:rsidR="00A10D87" w:rsidRPr="00A10D87">
        <w:rPr>
          <w:color w:val="000000" w:themeColor="text1"/>
          <w:szCs w:val="24"/>
        </w:rPr>
        <w:t xml:space="preserve"> that all groups have the same means on the various dependent variables</w:t>
      </w:r>
      <w:r w:rsidR="00A10D87">
        <w:rPr>
          <w:color w:val="000000" w:themeColor="text1"/>
          <w:szCs w:val="24"/>
        </w:rPr>
        <w:t>.</w:t>
      </w:r>
      <w:r w:rsidR="008C004F">
        <w:rPr>
          <w:color w:val="000000" w:themeColor="text1"/>
          <w:szCs w:val="24"/>
        </w:rPr>
        <w:t xml:space="preserve"> </w:t>
      </w:r>
    </w:p>
    <w:p w14:paraId="5CE7577E" w14:textId="32146599" w:rsidR="008C004F" w:rsidRDefault="008C004F" w:rsidP="00A10D87">
      <w:pPr>
        <w:spacing w:line="480" w:lineRule="auto"/>
        <w:ind w:left="10"/>
        <w:rPr>
          <w:color w:val="000000" w:themeColor="text1"/>
          <w:szCs w:val="24"/>
        </w:rPr>
      </w:pPr>
    </w:p>
    <w:p w14:paraId="538A7CD7" w14:textId="11C2C76A" w:rsidR="008C004F" w:rsidRDefault="006D0441" w:rsidP="00A10D87">
      <w:pPr>
        <w:spacing w:line="480" w:lineRule="auto"/>
        <w:ind w:left="10"/>
        <w:rPr>
          <w:color w:val="000000" w:themeColor="text1"/>
          <w:szCs w:val="24"/>
        </w:rPr>
      </w:pPr>
      <w:r>
        <w:rPr>
          <w:color w:val="000000" w:themeColor="text1"/>
          <w:szCs w:val="24"/>
        </w:rPr>
        <w:t xml:space="preserve">The following are few of the </w:t>
      </w:r>
      <w:r w:rsidR="00D90711">
        <w:rPr>
          <w:color w:val="000000" w:themeColor="text1"/>
          <w:szCs w:val="24"/>
        </w:rPr>
        <w:t xml:space="preserve">main </w:t>
      </w:r>
      <w:r>
        <w:rPr>
          <w:color w:val="000000" w:themeColor="text1"/>
          <w:szCs w:val="24"/>
        </w:rPr>
        <w:t xml:space="preserve">assumptions of </w:t>
      </w:r>
      <w:r w:rsidR="008C004F">
        <w:rPr>
          <w:color w:val="000000" w:themeColor="text1"/>
          <w:szCs w:val="24"/>
        </w:rPr>
        <w:t>MANCOVA</w:t>
      </w:r>
      <w:r w:rsidR="00D90711">
        <w:rPr>
          <w:color w:val="000000" w:themeColor="text1"/>
          <w:szCs w:val="24"/>
        </w:rPr>
        <w:t>. SAS code tests them before conducting MANCOVA.</w:t>
      </w:r>
    </w:p>
    <w:p w14:paraId="3FA2CF66" w14:textId="77777777" w:rsidR="00EC2846" w:rsidRPr="00EC2846" w:rsidRDefault="00EC2846" w:rsidP="00EC2846">
      <w:pPr>
        <w:pStyle w:val="ListParagraph"/>
        <w:numPr>
          <w:ilvl w:val="0"/>
          <w:numId w:val="7"/>
        </w:numPr>
        <w:spacing w:after="160" w:line="360" w:lineRule="auto"/>
        <w:contextualSpacing/>
        <w:jc w:val="both"/>
        <w:rPr>
          <w:rFonts w:ascii="Times New Roman" w:hAnsi="Times New Roman"/>
          <w:sz w:val="24"/>
          <w:szCs w:val="24"/>
        </w:rPr>
      </w:pPr>
      <w:r w:rsidRPr="00EC2846">
        <w:rPr>
          <w:rFonts w:ascii="Times New Roman" w:hAnsi="Times New Roman"/>
          <w:sz w:val="24"/>
          <w:szCs w:val="24"/>
        </w:rPr>
        <w:t xml:space="preserve">Normal Distribution: The dependent variable should be normally distributed within groups. </w:t>
      </w:r>
    </w:p>
    <w:p w14:paraId="63FB46E8" w14:textId="4374C581" w:rsidR="00EC2846" w:rsidRPr="00EC2846" w:rsidRDefault="00EC2846" w:rsidP="00EC2846">
      <w:pPr>
        <w:pStyle w:val="ListParagraph"/>
        <w:numPr>
          <w:ilvl w:val="0"/>
          <w:numId w:val="7"/>
        </w:numPr>
        <w:spacing w:after="160" w:line="360" w:lineRule="auto"/>
        <w:contextualSpacing/>
        <w:jc w:val="both"/>
        <w:rPr>
          <w:rFonts w:ascii="Times New Roman" w:hAnsi="Times New Roman"/>
          <w:sz w:val="24"/>
          <w:szCs w:val="24"/>
        </w:rPr>
      </w:pPr>
      <w:r w:rsidRPr="00EC2846">
        <w:rPr>
          <w:rFonts w:ascii="Times New Roman" w:hAnsi="Times New Roman"/>
          <w:sz w:val="24"/>
          <w:szCs w:val="24"/>
        </w:rPr>
        <w:t>Linearity: MA</w:t>
      </w:r>
      <w:r w:rsidR="00D5638F">
        <w:rPr>
          <w:rFonts w:ascii="Times New Roman" w:hAnsi="Times New Roman"/>
          <w:sz w:val="24"/>
          <w:szCs w:val="24"/>
        </w:rPr>
        <w:t>C</w:t>
      </w:r>
      <w:r w:rsidRPr="00EC2846">
        <w:rPr>
          <w:rFonts w:ascii="Times New Roman" w:hAnsi="Times New Roman"/>
          <w:sz w:val="24"/>
          <w:szCs w:val="24"/>
        </w:rPr>
        <w:t>NOVA assumes that there are linear relationships among all pairs of dependent variables, all pairs of covariates, and all dependent variable-covariate pairs in each cell. Therefore, when the relationship deviates from linearity, the power of the analysis will be compromised.</w:t>
      </w:r>
    </w:p>
    <w:p w14:paraId="39DC1DBB" w14:textId="77777777" w:rsidR="00EC2846" w:rsidRPr="00EC2846" w:rsidRDefault="00EC2846" w:rsidP="00EC2846">
      <w:pPr>
        <w:pStyle w:val="ListParagraph"/>
        <w:numPr>
          <w:ilvl w:val="0"/>
          <w:numId w:val="7"/>
        </w:numPr>
        <w:spacing w:after="160" w:line="360" w:lineRule="auto"/>
        <w:contextualSpacing/>
        <w:jc w:val="both"/>
        <w:rPr>
          <w:rFonts w:ascii="Times New Roman" w:hAnsi="Times New Roman"/>
          <w:sz w:val="24"/>
          <w:szCs w:val="24"/>
        </w:rPr>
      </w:pPr>
      <w:r w:rsidRPr="00EC2846">
        <w:rPr>
          <w:rFonts w:ascii="Times New Roman" w:hAnsi="Times New Roman"/>
          <w:sz w:val="24"/>
          <w:szCs w:val="24"/>
        </w:rPr>
        <w:t>Homogeneity of Variances: Homogeneity of variances assumes that the dependent variables exhibit equal levels of variance across the range of predictor variables. Homoscedasticity can be examined graphically or by means of a number of statistical tests (F test or Levene’s test).</w:t>
      </w:r>
    </w:p>
    <w:p w14:paraId="4C6D548B" w14:textId="64941772" w:rsidR="00EC2846" w:rsidRPr="00EC2846" w:rsidRDefault="00EC2846" w:rsidP="00EC2846">
      <w:pPr>
        <w:pStyle w:val="ListParagraph"/>
        <w:numPr>
          <w:ilvl w:val="0"/>
          <w:numId w:val="7"/>
        </w:numPr>
        <w:spacing w:after="160" w:line="360" w:lineRule="auto"/>
        <w:contextualSpacing/>
        <w:jc w:val="both"/>
        <w:rPr>
          <w:rFonts w:ascii="Times New Roman" w:hAnsi="Times New Roman"/>
          <w:sz w:val="24"/>
          <w:szCs w:val="24"/>
        </w:rPr>
      </w:pPr>
      <w:r w:rsidRPr="00EC2846">
        <w:rPr>
          <w:rFonts w:ascii="Times New Roman" w:hAnsi="Times New Roman"/>
          <w:sz w:val="24"/>
          <w:szCs w:val="24"/>
        </w:rPr>
        <w:lastRenderedPageBreak/>
        <w:t>Homogeneity of Variances and Covariances: In multivariate designs, with multiple dependent measures, the homogeneity of variances assumption described earlier also applies. However, since there are multiple dependent variables, it is also required that their intercorrelations (covariances) are homogeneous across the cells of the design. There are various specific tests of this assumption (</w:t>
      </w:r>
      <w:r w:rsidR="00D5638F">
        <w:rPr>
          <w:rFonts w:ascii="Times New Roman" w:hAnsi="Times New Roman"/>
          <w:sz w:val="24"/>
          <w:szCs w:val="24"/>
        </w:rPr>
        <w:t xml:space="preserve">e.g. </w:t>
      </w:r>
      <w:r w:rsidRPr="00EC2846">
        <w:rPr>
          <w:rFonts w:ascii="Times New Roman" w:hAnsi="Times New Roman"/>
          <w:sz w:val="24"/>
          <w:szCs w:val="24"/>
        </w:rPr>
        <w:t>Box's M test).</w:t>
      </w:r>
    </w:p>
    <w:p w14:paraId="70EFC4E1" w14:textId="77777777" w:rsidR="006D0441" w:rsidRDefault="006D0441" w:rsidP="00A10D87">
      <w:pPr>
        <w:spacing w:line="480" w:lineRule="auto"/>
        <w:ind w:left="10"/>
        <w:rPr>
          <w:color w:val="000000" w:themeColor="text1"/>
          <w:szCs w:val="24"/>
        </w:rPr>
      </w:pPr>
    </w:p>
    <w:p w14:paraId="68CD94AE" w14:textId="77777777" w:rsidR="00951907" w:rsidRDefault="00951907" w:rsidP="00A85135">
      <w:pPr>
        <w:spacing w:line="259" w:lineRule="auto"/>
        <w:ind w:left="10"/>
        <w:rPr>
          <w:color w:val="000000" w:themeColor="text1"/>
        </w:rPr>
      </w:pPr>
    </w:p>
    <w:p w14:paraId="189A7BDA" w14:textId="2B3901A2" w:rsidR="00951907" w:rsidRDefault="00951907" w:rsidP="00A85135">
      <w:pPr>
        <w:spacing w:line="259" w:lineRule="auto"/>
        <w:ind w:left="10"/>
        <w:rPr>
          <w:color w:val="000000" w:themeColor="text1"/>
        </w:rPr>
      </w:pPr>
      <w:r>
        <w:rPr>
          <w:color w:val="000000" w:themeColor="text1"/>
        </w:rPr>
        <w:t>7.</w:t>
      </w:r>
      <w:r w:rsidR="002B6937">
        <w:rPr>
          <w:color w:val="000000" w:themeColor="text1"/>
        </w:rPr>
        <w:t>5</w:t>
      </w:r>
      <w:r>
        <w:rPr>
          <w:color w:val="000000" w:themeColor="text1"/>
        </w:rPr>
        <w:t xml:space="preserve"> </w:t>
      </w:r>
      <w:r w:rsidR="003D5303">
        <w:rPr>
          <w:color w:val="000000" w:themeColor="text1"/>
        </w:rPr>
        <w:t xml:space="preserve">DATA INTEGRITY, TRIAL VALIDITY, AND </w:t>
      </w:r>
      <w:r>
        <w:rPr>
          <w:color w:val="000000" w:themeColor="text1"/>
        </w:rPr>
        <w:t>SOFTWARE USED</w:t>
      </w:r>
    </w:p>
    <w:p w14:paraId="10BDC9EF" w14:textId="302E9B9C" w:rsidR="00951907" w:rsidRDefault="00CD2AF0" w:rsidP="00CD2AF0">
      <w:pPr>
        <w:spacing w:line="480" w:lineRule="auto"/>
        <w:ind w:left="10"/>
        <w:rPr>
          <w:color w:val="000000" w:themeColor="text1"/>
        </w:rPr>
      </w:pPr>
      <w:r>
        <w:rPr>
          <w:color w:val="000000" w:themeColor="text1"/>
        </w:rPr>
        <w:t>SPSS</w:t>
      </w:r>
      <w:r w:rsidR="0027667F">
        <w:rPr>
          <w:color w:val="000000" w:themeColor="text1"/>
        </w:rPr>
        <w:t xml:space="preserve"> will be used to collect the raw data. </w:t>
      </w:r>
      <w:r w:rsidR="00951907">
        <w:rPr>
          <w:color w:val="000000" w:themeColor="text1"/>
        </w:rPr>
        <w:t xml:space="preserve">SAS will be used to manage the data and conduct the statistical analyses. </w:t>
      </w:r>
      <w:r w:rsidR="003D5303" w:rsidRPr="003D5303">
        <w:rPr>
          <w:color w:val="000000" w:themeColor="text1"/>
        </w:rPr>
        <w:t xml:space="preserve">These </w:t>
      </w:r>
      <w:r w:rsidR="003D5303">
        <w:rPr>
          <w:color w:val="000000" w:themeColor="text1"/>
        </w:rPr>
        <w:t>two applications</w:t>
      </w:r>
      <w:r w:rsidR="003D5303" w:rsidRPr="003D5303">
        <w:rPr>
          <w:color w:val="000000" w:themeColor="text1"/>
        </w:rPr>
        <w:t xml:space="preserve"> are reliable and thus provide a high degree of data integrity and trial validity.</w:t>
      </w:r>
    </w:p>
    <w:p w14:paraId="69CC143A" w14:textId="77777777" w:rsidR="00951907" w:rsidRPr="00B439D0" w:rsidRDefault="00951907" w:rsidP="00A85135">
      <w:pPr>
        <w:spacing w:line="259" w:lineRule="auto"/>
        <w:ind w:left="10"/>
        <w:rPr>
          <w:color w:val="000000" w:themeColor="text1"/>
        </w:rPr>
      </w:pPr>
    </w:p>
    <w:p w14:paraId="3076600E" w14:textId="484FB40E" w:rsidR="00466E2F" w:rsidRPr="00B439D0" w:rsidRDefault="00466E2F" w:rsidP="00A85135">
      <w:pPr>
        <w:spacing w:line="259" w:lineRule="auto"/>
        <w:ind w:left="10"/>
        <w:rPr>
          <w:color w:val="000000" w:themeColor="text1"/>
        </w:rPr>
      </w:pPr>
    </w:p>
    <w:p w14:paraId="34BB550E" w14:textId="11BAB701" w:rsidR="00466E2F" w:rsidRPr="00B439D0" w:rsidRDefault="00466E2F" w:rsidP="00A85135">
      <w:pPr>
        <w:spacing w:line="259" w:lineRule="auto"/>
        <w:ind w:left="10"/>
        <w:rPr>
          <w:color w:val="000000" w:themeColor="text1"/>
        </w:rPr>
      </w:pPr>
    </w:p>
    <w:p w14:paraId="430B6EB0" w14:textId="77777777" w:rsidR="00466E2F" w:rsidRPr="00B439D0" w:rsidRDefault="00466E2F" w:rsidP="00A85135">
      <w:pPr>
        <w:spacing w:line="259" w:lineRule="auto"/>
        <w:ind w:left="10"/>
        <w:rPr>
          <w:color w:val="000000" w:themeColor="text1"/>
        </w:rPr>
      </w:pPr>
    </w:p>
    <w:p w14:paraId="58218BB5" w14:textId="5B0CF36D" w:rsidR="002410AE" w:rsidRPr="00B439D0" w:rsidRDefault="003D5303" w:rsidP="00E71D86">
      <w:pPr>
        <w:pStyle w:val="Heading1"/>
        <w:ind w:left="10"/>
        <w:rPr>
          <w:color w:val="000000" w:themeColor="text1"/>
        </w:rPr>
      </w:pPr>
      <w:bookmarkStart w:id="10" w:name="_Toc87363717"/>
      <w:r>
        <w:rPr>
          <w:color w:val="000000" w:themeColor="text1"/>
        </w:rPr>
        <w:t>8</w:t>
      </w:r>
      <w:r w:rsidR="002410AE" w:rsidRPr="00E71D86">
        <w:rPr>
          <w:color w:val="000000" w:themeColor="text1"/>
        </w:rPr>
        <w:t xml:space="preserve"> </w:t>
      </w:r>
      <w:r w:rsidR="002410AE" w:rsidRPr="00B439D0">
        <w:rPr>
          <w:color w:val="000000" w:themeColor="text1"/>
        </w:rPr>
        <w:t>REFERENCES</w:t>
      </w:r>
      <w:bookmarkEnd w:id="10"/>
      <w:r w:rsidR="002410AE" w:rsidRPr="00B439D0">
        <w:rPr>
          <w:color w:val="000000" w:themeColor="text1"/>
        </w:rPr>
        <w:t xml:space="preserve"> </w:t>
      </w:r>
    </w:p>
    <w:p w14:paraId="72D0E437" w14:textId="4131F3CE" w:rsidR="00F06877" w:rsidRDefault="00F06877" w:rsidP="00023CC8">
      <w:pPr>
        <w:pStyle w:val="BodyText"/>
        <w:numPr>
          <w:ilvl w:val="0"/>
          <w:numId w:val="5"/>
        </w:numPr>
        <w:tabs>
          <w:tab w:val="left" w:pos="360"/>
          <w:tab w:val="left" w:pos="540"/>
        </w:tabs>
        <w:kinsoku w:val="0"/>
        <w:overflowPunct w:val="0"/>
        <w:spacing w:line="480" w:lineRule="auto"/>
        <w:ind w:right="10"/>
        <w:jc w:val="both"/>
        <w:rPr>
          <w:rFonts w:ascii="Times New Roman" w:hAnsi="Times New Roman" w:cs="Times New Roman"/>
          <w:spacing w:val="-1"/>
          <w:sz w:val="24"/>
          <w:szCs w:val="24"/>
        </w:rPr>
      </w:pPr>
      <w:r w:rsidRPr="00F06877">
        <w:rPr>
          <w:rFonts w:ascii="Times New Roman" w:hAnsi="Times New Roman" w:cs="Times New Roman"/>
          <w:spacing w:val="-1"/>
          <w:sz w:val="24"/>
          <w:szCs w:val="24"/>
        </w:rPr>
        <w:t xml:space="preserve">Anderson, F. ANOVA by Example: Hands on Approach using SAS. US: KDP; 2017. </w:t>
      </w:r>
    </w:p>
    <w:p w14:paraId="53BB2FBF" w14:textId="650107ED" w:rsidR="009119B4" w:rsidRDefault="009119B4" w:rsidP="00023CC8">
      <w:pPr>
        <w:pStyle w:val="BodyText"/>
        <w:numPr>
          <w:ilvl w:val="0"/>
          <w:numId w:val="5"/>
        </w:numPr>
        <w:tabs>
          <w:tab w:val="left" w:pos="360"/>
          <w:tab w:val="left" w:pos="540"/>
        </w:tabs>
        <w:kinsoku w:val="0"/>
        <w:overflowPunct w:val="0"/>
        <w:spacing w:line="480" w:lineRule="auto"/>
        <w:ind w:right="10"/>
        <w:jc w:val="both"/>
        <w:rPr>
          <w:rFonts w:ascii="Times New Roman" w:hAnsi="Times New Roman" w:cs="Times New Roman"/>
          <w:spacing w:val="-1"/>
          <w:sz w:val="24"/>
          <w:szCs w:val="24"/>
        </w:rPr>
      </w:pPr>
      <w:r w:rsidRPr="00F06877">
        <w:rPr>
          <w:rFonts w:ascii="Times New Roman" w:hAnsi="Times New Roman" w:cs="Times New Roman"/>
          <w:spacing w:val="-1"/>
          <w:sz w:val="24"/>
          <w:szCs w:val="24"/>
        </w:rPr>
        <w:t xml:space="preserve">Anderson, F. </w:t>
      </w:r>
      <w:r w:rsidRPr="0087624A">
        <w:rPr>
          <w:rFonts w:ascii="Times New Roman" w:hAnsi="Times New Roman" w:cs="Times New Roman"/>
          <w:spacing w:val="-1"/>
          <w:sz w:val="24"/>
          <w:szCs w:val="24"/>
        </w:rPr>
        <w:t>Clinical Trials Statistics by Example: Hands on approach using R</w:t>
      </w:r>
      <w:r w:rsidRPr="00F06877">
        <w:rPr>
          <w:rFonts w:ascii="Times New Roman" w:hAnsi="Times New Roman" w:cs="Times New Roman"/>
          <w:spacing w:val="-1"/>
          <w:sz w:val="24"/>
          <w:szCs w:val="24"/>
        </w:rPr>
        <w:t xml:space="preserve">. US: </w:t>
      </w:r>
      <w:r w:rsidRPr="0087624A">
        <w:rPr>
          <w:rFonts w:ascii="Times New Roman" w:hAnsi="Times New Roman" w:cs="Times New Roman"/>
          <w:spacing w:val="-1"/>
          <w:sz w:val="24"/>
          <w:szCs w:val="24"/>
        </w:rPr>
        <w:t>CreateSpace Independent Publishing Platform</w:t>
      </w:r>
      <w:r w:rsidRPr="00F06877">
        <w:rPr>
          <w:rFonts w:ascii="Times New Roman" w:hAnsi="Times New Roman" w:cs="Times New Roman"/>
          <w:spacing w:val="-1"/>
          <w:sz w:val="24"/>
          <w:szCs w:val="24"/>
        </w:rPr>
        <w:t xml:space="preserve">; 2017. </w:t>
      </w:r>
    </w:p>
    <w:p w14:paraId="3462F76F" w14:textId="36EB3A72" w:rsidR="009119B4" w:rsidRDefault="002C63A0" w:rsidP="00023CC8">
      <w:pPr>
        <w:pStyle w:val="BodyText"/>
        <w:numPr>
          <w:ilvl w:val="0"/>
          <w:numId w:val="5"/>
        </w:numPr>
        <w:tabs>
          <w:tab w:val="left" w:pos="360"/>
          <w:tab w:val="left" w:pos="540"/>
        </w:tabs>
        <w:kinsoku w:val="0"/>
        <w:overflowPunct w:val="0"/>
        <w:spacing w:line="480" w:lineRule="auto"/>
        <w:ind w:right="10"/>
        <w:jc w:val="both"/>
        <w:rPr>
          <w:rFonts w:ascii="Times New Roman" w:hAnsi="Times New Roman" w:cs="Times New Roman"/>
          <w:spacing w:val="-1"/>
          <w:sz w:val="24"/>
          <w:szCs w:val="24"/>
        </w:rPr>
      </w:pPr>
      <w:r w:rsidRPr="002C63A0">
        <w:rPr>
          <w:rFonts w:ascii="Times New Roman" w:hAnsi="Times New Roman" w:cs="Times New Roman"/>
          <w:spacing w:val="-1"/>
          <w:sz w:val="24"/>
          <w:szCs w:val="24"/>
        </w:rPr>
        <w:t>Lachin, J.M. Properties of simple randomization in clinical trials. Controlled Clinical Trials. [Online]1988;9(4):</w:t>
      </w:r>
      <w:r>
        <w:rPr>
          <w:rFonts w:ascii="Times New Roman" w:hAnsi="Times New Roman" w:cs="Times New Roman"/>
          <w:spacing w:val="-1"/>
          <w:sz w:val="24"/>
          <w:szCs w:val="24"/>
        </w:rPr>
        <w:t xml:space="preserve"> </w:t>
      </w:r>
      <w:r w:rsidRPr="002C63A0">
        <w:rPr>
          <w:rFonts w:ascii="Times New Roman" w:hAnsi="Times New Roman" w:cs="Times New Roman"/>
          <w:spacing w:val="-1"/>
          <w:sz w:val="24"/>
          <w:szCs w:val="24"/>
        </w:rPr>
        <w:t xml:space="preserve">312–26. Available from: </w:t>
      </w:r>
      <w:r>
        <w:rPr>
          <w:rFonts w:ascii="Times New Roman" w:hAnsi="Times New Roman" w:cs="Times New Roman"/>
          <w:spacing w:val="-1"/>
          <w:sz w:val="24"/>
          <w:szCs w:val="24"/>
        </w:rPr>
        <w:t xml:space="preserve"> h</w:t>
      </w:r>
      <w:r w:rsidRPr="002C63A0">
        <w:rPr>
          <w:rFonts w:ascii="Times New Roman" w:hAnsi="Times New Roman" w:cs="Times New Roman"/>
          <w:spacing w:val="-1"/>
          <w:sz w:val="24"/>
          <w:szCs w:val="24"/>
        </w:rPr>
        <w:t>ttps://www.sciencedirect.com/science/article/abs/pii/0197245688900463?via%3Dihub [Accessed 9 November 2021]</w:t>
      </w:r>
    </w:p>
    <w:p w14:paraId="792DFF3A" w14:textId="1AC50C04" w:rsidR="002A11E2" w:rsidRPr="002A11E2" w:rsidRDefault="002A11E2" w:rsidP="00023CC8">
      <w:pPr>
        <w:pStyle w:val="BodyText"/>
        <w:numPr>
          <w:ilvl w:val="0"/>
          <w:numId w:val="5"/>
        </w:numPr>
        <w:tabs>
          <w:tab w:val="left" w:pos="360"/>
          <w:tab w:val="left" w:pos="540"/>
        </w:tabs>
        <w:kinsoku w:val="0"/>
        <w:overflowPunct w:val="0"/>
        <w:spacing w:line="480" w:lineRule="auto"/>
        <w:ind w:right="10"/>
        <w:jc w:val="both"/>
        <w:rPr>
          <w:rFonts w:ascii="Times New Roman" w:hAnsi="Times New Roman" w:cs="Times New Roman"/>
          <w:spacing w:val="-1"/>
          <w:sz w:val="24"/>
          <w:szCs w:val="24"/>
        </w:rPr>
      </w:pPr>
      <w:r w:rsidRPr="002A11E2">
        <w:rPr>
          <w:rFonts w:ascii="Times New Roman" w:hAnsi="Times New Roman" w:cs="Times New Roman"/>
          <w:spacing w:val="-1"/>
          <w:sz w:val="24"/>
          <w:szCs w:val="24"/>
        </w:rPr>
        <w:t>Geiker NRW, Ritz C, Pedersen SD, Larsen TM, Hill JO, Astrup A. A weight-loss program adapted to the menstrual cycle increases weight loss in healthy, overweight, premenopausal women: a 6-mo randomized controlled trial. Am J Clin Nutr. 2016;104:15–20. https://doi.org/10.3945/ajcn.115.126565.</w:t>
      </w:r>
    </w:p>
    <w:p w14:paraId="46680DF6" w14:textId="77777777" w:rsidR="002C63A0" w:rsidRDefault="002C63A0" w:rsidP="00023CC8">
      <w:pPr>
        <w:pStyle w:val="BodyText"/>
        <w:tabs>
          <w:tab w:val="left" w:pos="360"/>
          <w:tab w:val="left" w:pos="540"/>
        </w:tabs>
        <w:kinsoku w:val="0"/>
        <w:overflowPunct w:val="0"/>
        <w:spacing w:line="480" w:lineRule="auto"/>
        <w:ind w:left="0" w:right="10" w:firstLine="0"/>
        <w:jc w:val="both"/>
        <w:rPr>
          <w:rFonts w:ascii="Times New Roman" w:hAnsi="Times New Roman" w:cs="Times New Roman"/>
          <w:spacing w:val="-1"/>
          <w:sz w:val="24"/>
          <w:szCs w:val="24"/>
        </w:rPr>
      </w:pPr>
    </w:p>
    <w:sectPr w:rsidR="002C63A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C0A38" w14:textId="77777777" w:rsidR="00120410" w:rsidRDefault="00120410" w:rsidP="0070613B">
      <w:pPr>
        <w:spacing w:line="240" w:lineRule="auto"/>
      </w:pPr>
      <w:r>
        <w:separator/>
      </w:r>
    </w:p>
  </w:endnote>
  <w:endnote w:type="continuationSeparator" w:id="0">
    <w:p w14:paraId="367D7F43" w14:textId="77777777" w:rsidR="00120410" w:rsidRDefault="00120410" w:rsidP="0070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85306975"/>
      <w:docPartObj>
        <w:docPartGallery w:val="Page Numbers (Bottom of Page)"/>
        <w:docPartUnique/>
      </w:docPartObj>
    </w:sdtPr>
    <w:sdtEndPr/>
    <w:sdtContent>
      <w:sdt>
        <w:sdtPr>
          <w:rPr>
            <w:color w:val="000000" w:themeColor="text1"/>
          </w:rPr>
          <w:id w:val="-1769616900"/>
          <w:docPartObj>
            <w:docPartGallery w:val="Page Numbers (Top of Page)"/>
            <w:docPartUnique/>
          </w:docPartObj>
        </w:sdtPr>
        <w:sdtEndPr/>
        <w:sdtContent>
          <w:p w14:paraId="76198390" w14:textId="339A28CD" w:rsidR="0070613B" w:rsidRPr="00BF4CA7" w:rsidRDefault="0070613B">
            <w:pPr>
              <w:pStyle w:val="Footer"/>
              <w:jc w:val="right"/>
              <w:rPr>
                <w:color w:val="000000" w:themeColor="text1"/>
              </w:rPr>
            </w:pPr>
            <w:r w:rsidRPr="00BF4CA7">
              <w:rPr>
                <w:color w:val="000000" w:themeColor="text1"/>
              </w:rPr>
              <w:t xml:space="preserve">Page </w:t>
            </w:r>
            <w:r w:rsidRPr="00BF4CA7">
              <w:rPr>
                <w:b/>
                <w:bCs/>
                <w:color w:val="000000" w:themeColor="text1"/>
                <w:szCs w:val="24"/>
              </w:rPr>
              <w:fldChar w:fldCharType="begin"/>
            </w:r>
            <w:r w:rsidRPr="00BF4CA7">
              <w:rPr>
                <w:b/>
                <w:bCs/>
                <w:color w:val="000000" w:themeColor="text1"/>
              </w:rPr>
              <w:instrText xml:space="preserve"> PAGE </w:instrText>
            </w:r>
            <w:r w:rsidRPr="00BF4CA7">
              <w:rPr>
                <w:b/>
                <w:bCs/>
                <w:color w:val="000000" w:themeColor="text1"/>
                <w:szCs w:val="24"/>
              </w:rPr>
              <w:fldChar w:fldCharType="separate"/>
            </w:r>
            <w:r w:rsidR="00DA3EC4">
              <w:rPr>
                <w:b/>
                <w:bCs/>
                <w:noProof/>
                <w:color w:val="000000" w:themeColor="text1"/>
              </w:rPr>
              <w:t>11</w:t>
            </w:r>
            <w:r w:rsidRPr="00BF4CA7">
              <w:rPr>
                <w:b/>
                <w:bCs/>
                <w:color w:val="000000" w:themeColor="text1"/>
                <w:szCs w:val="24"/>
              </w:rPr>
              <w:fldChar w:fldCharType="end"/>
            </w:r>
            <w:r w:rsidRPr="00BF4CA7">
              <w:rPr>
                <w:color w:val="000000" w:themeColor="text1"/>
              </w:rPr>
              <w:t xml:space="preserve"> of </w:t>
            </w:r>
            <w:r w:rsidRPr="00BF4CA7">
              <w:rPr>
                <w:b/>
                <w:bCs/>
                <w:color w:val="000000" w:themeColor="text1"/>
                <w:szCs w:val="24"/>
              </w:rPr>
              <w:fldChar w:fldCharType="begin"/>
            </w:r>
            <w:r w:rsidRPr="00BF4CA7">
              <w:rPr>
                <w:b/>
                <w:bCs/>
                <w:color w:val="000000" w:themeColor="text1"/>
              </w:rPr>
              <w:instrText xml:space="preserve"> NUMPAGES  </w:instrText>
            </w:r>
            <w:r w:rsidRPr="00BF4CA7">
              <w:rPr>
                <w:b/>
                <w:bCs/>
                <w:color w:val="000000" w:themeColor="text1"/>
                <w:szCs w:val="24"/>
              </w:rPr>
              <w:fldChar w:fldCharType="separate"/>
            </w:r>
            <w:r w:rsidR="00DA3EC4">
              <w:rPr>
                <w:b/>
                <w:bCs/>
                <w:noProof/>
                <w:color w:val="000000" w:themeColor="text1"/>
              </w:rPr>
              <w:t>11</w:t>
            </w:r>
            <w:r w:rsidRPr="00BF4CA7">
              <w:rPr>
                <w:b/>
                <w:bCs/>
                <w:color w:val="000000" w:themeColor="text1"/>
                <w:szCs w:val="24"/>
              </w:rPr>
              <w:fldChar w:fldCharType="end"/>
            </w:r>
          </w:p>
        </w:sdtContent>
      </w:sdt>
    </w:sdtContent>
  </w:sdt>
  <w:p w14:paraId="2B144C93" w14:textId="77777777" w:rsidR="0070613B" w:rsidRDefault="007061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5A38A" w14:textId="77777777" w:rsidR="00120410" w:rsidRDefault="00120410" w:rsidP="0070613B">
      <w:pPr>
        <w:spacing w:line="240" w:lineRule="auto"/>
      </w:pPr>
      <w:r>
        <w:separator/>
      </w:r>
    </w:p>
  </w:footnote>
  <w:footnote w:type="continuationSeparator" w:id="0">
    <w:p w14:paraId="2FA1F21B" w14:textId="77777777" w:rsidR="00120410" w:rsidRDefault="00120410" w:rsidP="007061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DE2"/>
    <w:multiLevelType w:val="hybridMultilevel"/>
    <w:tmpl w:val="06F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555F1"/>
    <w:multiLevelType w:val="hybridMultilevel"/>
    <w:tmpl w:val="7154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42501"/>
    <w:multiLevelType w:val="hybridMultilevel"/>
    <w:tmpl w:val="B2A0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E51B1"/>
    <w:multiLevelType w:val="hybridMultilevel"/>
    <w:tmpl w:val="7B6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17664"/>
    <w:multiLevelType w:val="hybridMultilevel"/>
    <w:tmpl w:val="7B6409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1965E6"/>
    <w:multiLevelType w:val="hybridMultilevel"/>
    <w:tmpl w:val="FFCC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84F34"/>
    <w:multiLevelType w:val="hybridMultilevel"/>
    <w:tmpl w:val="90BAC1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AE"/>
    <w:rsid w:val="00003DD1"/>
    <w:rsid w:val="00005FA7"/>
    <w:rsid w:val="000154B2"/>
    <w:rsid w:val="00023CC8"/>
    <w:rsid w:val="00034583"/>
    <w:rsid w:val="000A07AB"/>
    <w:rsid w:val="000A2D5D"/>
    <w:rsid w:val="000C220D"/>
    <w:rsid w:val="000C6A8A"/>
    <w:rsid w:val="00110740"/>
    <w:rsid w:val="00120410"/>
    <w:rsid w:val="00123569"/>
    <w:rsid w:val="0013545F"/>
    <w:rsid w:val="001B1A34"/>
    <w:rsid w:val="001B4483"/>
    <w:rsid w:val="001B5D8E"/>
    <w:rsid w:val="001B7488"/>
    <w:rsid w:val="001C57F0"/>
    <w:rsid w:val="001F3EC6"/>
    <w:rsid w:val="002410AE"/>
    <w:rsid w:val="00251710"/>
    <w:rsid w:val="0027667F"/>
    <w:rsid w:val="002A11E2"/>
    <w:rsid w:val="002B6937"/>
    <w:rsid w:val="002C1B1A"/>
    <w:rsid w:val="002C3D19"/>
    <w:rsid w:val="002C63A0"/>
    <w:rsid w:val="002D0CC9"/>
    <w:rsid w:val="002F0492"/>
    <w:rsid w:val="0032178B"/>
    <w:rsid w:val="00356F19"/>
    <w:rsid w:val="00361286"/>
    <w:rsid w:val="003B5DF8"/>
    <w:rsid w:val="003C208F"/>
    <w:rsid w:val="003D5303"/>
    <w:rsid w:val="00403960"/>
    <w:rsid w:val="00453DB2"/>
    <w:rsid w:val="00462C20"/>
    <w:rsid w:val="00466E2F"/>
    <w:rsid w:val="00497C82"/>
    <w:rsid w:val="004B510B"/>
    <w:rsid w:val="004D0445"/>
    <w:rsid w:val="00555B48"/>
    <w:rsid w:val="00587990"/>
    <w:rsid w:val="005A6A50"/>
    <w:rsid w:val="005D2D7E"/>
    <w:rsid w:val="005D31AC"/>
    <w:rsid w:val="005D35AF"/>
    <w:rsid w:val="005F31F9"/>
    <w:rsid w:val="00620314"/>
    <w:rsid w:val="00632661"/>
    <w:rsid w:val="00643FF5"/>
    <w:rsid w:val="00651A8E"/>
    <w:rsid w:val="006523F1"/>
    <w:rsid w:val="006760E3"/>
    <w:rsid w:val="006A25F1"/>
    <w:rsid w:val="006B3E4F"/>
    <w:rsid w:val="006B55EE"/>
    <w:rsid w:val="006B63EF"/>
    <w:rsid w:val="006B79B2"/>
    <w:rsid w:val="006C64EA"/>
    <w:rsid w:val="006D0441"/>
    <w:rsid w:val="006D2F7B"/>
    <w:rsid w:val="006F70D5"/>
    <w:rsid w:val="006F762E"/>
    <w:rsid w:val="00700C3B"/>
    <w:rsid w:val="0070613B"/>
    <w:rsid w:val="00721FED"/>
    <w:rsid w:val="007363F7"/>
    <w:rsid w:val="00777BE6"/>
    <w:rsid w:val="00786881"/>
    <w:rsid w:val="007A129F"/>
    <w:rsid w:val="0080216F"/>
    <w:rsid w:val="00813778"/>
    <w:rsid w:val="0082408C"/>
    <w:rsid w:val="0087624A"/>
    <w:rsid w:val="008A569A"/>
    <w:rsid w:val="008C004F"/>
    <w:rsid w:val="008C446E"/>
    <w:rsid w:val="008C7EF3"/>
    <w:rsid w:val="008E4922"/>
    <w:rsid w:val="009119B4"/>
    <w:rsid w:val="00951907"/>
    <w:rsid w:val="009C7984"/>
    <w:rsid w:val="00A10D87"/>
    <w:rsid w:val="00A12BDC"/>
    <w:rsid w:val="00A145C4"/>
    <w:rsid w:val="00A40AA2"/>
    <w:rsid w:val="00A56E14"/>
    <w:rsid w:val="00A60101"/>
    <w:rsid w:val="00A706AC"/>
    <w:rsid w:val="00A85135"/>
    <w:rsid w:val="00A915CD"/>
    <w:rsid w:val="00AA1034"/>
    <w:rsid w:val="00AA542B"/>
    <w:rsid w:val="00AB10C5"/>
    <w:rsid w:val="00AC6D2B"/>
    <w:rsid w:val="00B2652A"/>
    <w:rsid w:val="00B335D4"/>
    <w:rsid w:val="00B439D0"/>
    <w:rsid w:val="00B46F56"/>
    <w:rsid w:val="00B86E63"/>
    <w:rsid w:val="00BA08D9"/>
    <w:rsid w:val="00BE79F9"/>
    <w:rsid w:val="00BF4CA7"/>
    <w:rsid w:val="00BF6E67"/>
    <w:rsid w:val="00C540DA"/>
    <w:rsid w:val="00CB2915"/>
    <w:rsid w:val="00CD0654"/>
    <w:rsid w:val="00CD2AF0"/>
    <w:rsid w:val="00CE344A"/>
    <w:rsid w:val="00CE35DA"/>
    <w:rsid w:val="00D00AF8"/>
    <w:rsid w:val="00D17667"/>
    <w:rsid w:val="00D5638F"/>
    <w:rsid w:val="00D861E4"/>
    <w:rsid w:val="00D90711"/>
    <w:rsid w:val="00DA3EC4"/>
    <w:rsid w:val="00DC0A22"/>
    <w:rsid w:val="00DC57B7"/>
    <w:rsid w:val="00DE22EA"/>
    <w:rsid w:val="00DF00C9"/>
    <w:rsid w:val="00E71D86"/>
    <w:rsid w:val="00E92BEE"/>
    <w:rsid w:val="00EC2846"/>
    <w:rsid w:val="00EC4678"/>
    <w:rsid w:val="00EE6422"/>
    <w:rsid w:val="00F06877"/>
    <w:rsid w:val="00F06B34"/>
    <w:rsid w:val="00F1506D"/>
    <w:rsid w:val="00F5655B"/>
    <w:rsid w:val="00F75F64"/>
    <w:rsid w:val="00FE5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160E"/>
  <w15:chartTrackingRefBased/>
  <w15:docId w15:val="{47CFEA5A-CCD6-4E89-A026-AFF643C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AE"/>
    <w:pPr>
      <w:spacing w:after="0" w:line="249" w:lineRule="auto"/>
      <w:ind w:left="730" w:hanging="10"/>
    </w:pPr>
    <w:rPr>
      <w:rFonts w:ascii="Times New Roman" w:eastAsia="Times New Roman" w:hAnsi="Times New Roman" w:cs="Times New Roman"/>
      <w:color w:val="00AF50"/>
      <w:sz w:val="24"/>
    </w:rPr>
  </w:style>
  <w:style w:type="paragraph" w:styleId="Heading1">
    <w:name w:val="heading 1"/>
    <w:next w:val="Normal"/>
    <w:link w:val="Heading1Char"/>
    <w:uiPriority w:val="9"/>
    <w:qFormat/>
    <w:rsid w:val="002410AE"/>
    <w:pPr>
      <w:keepNext/>
      <w:keepLines/>
      <w:spacing w:after="4" w:line="251" w:lineRule="auto"/>
      <w:ind w:left="370" w:hanging="10"/>
      <w:outlineLvl w:val="0"/>
    </w:pPr>
    <w:rPr>
      <w:rFonts w:ascii="Times New Roman" w:eastAsia="Times New Roman" w:hAnsi="Times New Roman" w:cs="Times New Roman"/>
      <w:color w:val="000000"/>
      <w:sz w:val="24"/>
    </w:rPr>
  </w:style>
  <w:style w:type="paragraph" w:styleId="Heading2">
    <w:name w:val="heading 2"/>
    <w:basedOn w:val="Normal"/>
    <w:next w:val="Normal"/>
    <w:link w:val="Heading2Char"/>
    <w:uiPriority w:val="9"/>
    <w:semiHidden/>
    <w:unhideWhenUsed/>
    <w:qFormat/>
    <w:rsid w:val="002410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0AE"/>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semiHidden/>
    <w:rsid w:val="002410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410AE"/>
    <w:pPr>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410AE"/>
    <w:pPr>
      <w:spacing w:after="100"/>
      <w:ind w:left="0"/>
    </w:pPr>
  </w:style>
  <w:style w:type="paragraph" w:styleId="TOC2">
    <w:name w:val="toc 2"/>
    <w:basedOn w:val="Normal"/>
    <w:next w:val="Normal"/>
    <w:autoRedefine/>
    <w:uiPriority w:val="39"/>
    <w:unhideWhenUsed/>
    <w:rsid w:val="002410AE"/>
    <w:pPr>
      <w:spacing w:after="100"/>
      <w:ind w:left="240"/>
    </w:pPr>
  </w:style>
  <w:style w:type="character" w:styleId="Hyperlink">
    <w:name w:val="Hyperlink"/>
    <w:basedOn w:val="DefaultParagraphFont"/>
    <w:uiPriority w:val="99"/>
    <w:unhideWhenUsed/>
    <w:rsid w:val="002410AE"/>
    <w:rPr>
      <w:color w:val="0563C1" w:themeColor="hyperlink"/>
      <w:u w:val="single"/>
    </w:rPr>
  </w:style>
  <w:style w:type="paragraph" w:styleId="Header">
    <w:name w:val="header"/>
    <w:basedOn w:val="Normal"/>
    <w:link w:val="HeaderChar"/>
    <w:uiPriority w:val="99"/>
    <w:unhideWhenUsed/>
    <w:rsid w:val="0070613B"/>
    <w:pPr>
      <w:tabs>
        <w:tab w:val="center" w:pos="4680"/>
        <w:tab w:val="right" w:pos="9360"/>
      </w:tabs>
      <w:spacing w:line="240" w:lineRule="auto"/>
    </w:pPr>
  </w:style>
  <w:style w:type="character" w:customStyle="1" w:styleId="HeaderChar">
    <w:name w:val="Header Char"/>
    <w:basedOn w:val="DefaultParagraphFont"/>
    <w:link w:val="Header"/>
    <w:uiPriority w:val="99"/>
    <w:rsid w:val="0070613B"/>
    <w:rPr>
      <w:rFonts w:ascii="Times New Roman" w:eastAsia="Times New Roman" w:hAnsi="Times New Roman" w:cs="Times New Roman"/>
      <w:color w:val="00AF50"/>
      <w:sz w:val="24"/>
    </w:rPr>
  </w:style>
  <w:style w:type="paragraph" w:styleId="Footer">
    <w:name w:val="footer"/>
    <w:basedOn w:val="Normal"/>
    <w:link w:val="FooterChar"/>
    <w:uiPriority w:val="99"/>
    <w:unhideWhenUsed/>
    <w:rsid w:val="0070613B"/>
    <w:pPr>
      <w:tabs>
        <w:tab w:val="center" w:pos="4680"/>
        <w:tab w:val="right" w:pos="9360"/>
      </w:tabs>
      <w:spacing w:line="240" w:lineRule="auto"/>
    </w:pPr>
  </w:style>
  <w:style w:type="character" w:customStyle="1" w:styleId="FooterChar">
    <w:name w:val="Footer Char"/>
    <w:basedOn w:val="DefaultParagraphFont"/>
    <w:link w:val="Footer"/>
    <w:uiPriority w:val="99"/>
    <w:rsid w:val="0070613B"/>
    <w:rPr>
      <w:rFonts w:ascii="Times New Roman" w:eastAsia="Times New Roman" w:hAnsi="Times New Roman" w:cs="Times New Roman"/>
      <w:color w:val="00AF50"/>
      <w:sz w:val="24"/>
    </w:rPr>
  </w:style>
  <w:style w:type="paragraph" w:styleId="ListParagraph">
    <w:name w:val="List Paragraph"/>
    <w:basedOn w:val="Normal"/>
    <w:uiPriority w:val="34"/>
    <w:qFormat/>
    <w:rsid w:val="0080216F"/>
    <w:pPr>
      <w:spacing w:after="200" w:line="276" w:lineRule="auto"/>
      <w:ind w:left="720" w:firstLine="0"/>
    </w:pPr>
    <w:rPr>
      <w:rFonts w:ascii="Calibri" w:eastAsia="Calibri" w:hAnsi="Calibri"/>
      <w:color w:val="auto"/>
      <w:sz w:val="22"/>
    </w:rPr>
  </w:style>
  <w:style w:type="table" w:styleId="TableGrid">
    <w:name w:val="Table Grid"/>
    <w:basedOn w:val="TableNormal"/>
    <w:uiPriority w:val="39"/>
    <w:rsid w:val="005D3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c"/>
    <w:basedOn w:val="Normal"/>
    <w:rsid w:val="006F762E"/>
    <w:pPr>
      <w:spacing w:before="100" w:beforeAutospacing="1" w:after="100" w:afterAutospacing="1" w:line="240" w:lineRule="auto"/>
      <w:ind w:left="0" w:firstLine="0"/>
    </w:pPr>
    <w:rPr>
      <w:color w:val="auto"/>
      <w:szCs w:val="24"/>
    </w:rPr>
  </w:style>
  <w:style w:type="character" w:customStyle="1" w:styleId="markedcontent">
    <w:name w:val="markedcontent"/>
    <w:basedOn w:val="DefaultParagraphFont"/>
    <w:rsid w:val="000C220D"/>
  </w:style>
  <w:style w:type="table" w:styleId="GridTable1Light">
    <w:name w:val="Grid Table 1 Light"/>
    <w:basedOn w:val="TableNormal"/>
    <w:uiPriority w:val="46"/>
    <w:rsid w:val="00453D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8C7EF3"/>
    <w:pPr>
      <w:widowControl w:val="0"/>
      <w:autoSpaceDE w:val="0"/>
      <w:autoSpaceDN w:val="0"/>
      <w:adjustRightInd w:val="0"/>
      <w:spacing w:line="240" w:lineRule="auto"/>
      <w:ind w:left="820" w:hanging="360"/>
    </w:pPr>
    <w:rPr>
      <w:rFonts w:ascii="Calibri" w:eastAsiaTheme="minorEastAsia" w:hAnsi="Calibri" w:cs="Calibri"/>
      <w:color w:val="auto"/>
      <w:sz w:val="22"/>
    </w:rPr>
  </w:style>
  <w:style w:type="character" w:customStyle="1" w:styleId="BodyTextChar">
    <w:name w:val="Body Text Char"/>
    <w:basedOn w:val="DefaultParagraphFont"/>
    <w:link w:val="BodyText"/>
    <w:uiPriority w:val="1"/>
    <w:rsid w:val="008C7EF3"/>
    <w:rPr>
      <w:rFonts w:ascii="Calibri" w:eastAsiaTheme="minorEastAsia" w:hAnsi="Calibri" w:cs="Calibri"/>
    </w:rPr>
  </w:style>
  <w:style w:type="character" w:customStyle="1" w:styleId="hgkelc">
    <w:name w:val="hgkelc"/>
    <w:basedOn w:val="DefaultParagraphFont"/>
    <w:rsid w:val="00A1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54513">
      <w:bodyDiv w:val="1"/>
      <w:marLeft w:val="0"/>
      <w:marRight w:val="0"/>
      <w:marTop w:val="0"/>
      <w:marBottom w:val="0"/>
      <w:divBdr>
        <w:top w:val="none" w:sz="0" w:space="0" w:color="auto"/>
        <w:left w:val="none" w:sz="0" w:space="0" w:color="auto"/>
        <w:bottom w:val="none" w:sz="0" w:space="0" w:color="auto"/>
        <w:right w:val="none" w:sz="0" w:space="0" w:color="auto"/>
      </w:divBdr>
    </w:div>
    <w:div w:id="1181091197">
      <w:bodyDiv w:val="1"/>
      <w:marLeft w:val="0"/>
      <w:marRight w:val="0"/>
      <w:marTop w:val="0"/>
      <w:marBottom w:val="0"/>
      <w:divBdr>
        <w:top w:val="none" w:sz="0" w:space="0" w:color="auto"/>
        <w:left w:val="none" w:sz="0" w:space="0" w:color="auto"/>
        <w:bottom w:val="none" w:sz="0" w:space="0" w:color="auto"/>
        <w:right w:val="none" w:sz="0" w:space="0" w:color="auto"/>
      </w:divBdr>
      <w:divsChild>
        <w:div w:id="143459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895BA8-BD15-4723-8740-877EB6739531}" type="doc">
      <dgm:prSet loTypeId="urn:microsoft.com/office/officeart/2005/8/layout/hProcess9" loCatId="process" qsTypeId="urn:microsoft.com/office/officeart/2005/8/quickstyle/simple1" qsCatId="simple" csTypeId="urn:microsoft.com/office/officeart/2005/8/colors/accent0_1" csCatId="mainScheme" phldr="1"/>
      <dgm:spPr/>
    </dgm:pt>
    <dgm:pt modelId="{41867DBE-89A7-47B0-AACF-4CF04127ACFA}">
      <dgm:prSet phldrT="[Text]" custT="1"/>
      <dgm:spPr/>
      <dgm:t>
        <a:bodyPr/>
        <a:lstStyle/>
        <a:p>
          <a:r>
            <a:rPr lang="en-US" sz="900" dirty="0">
              <a:latin typeface="Times New Roman" panose="02020603050405020304" pitchFamily="18" charset="0"/>
              <a:cs typeface="Times New Roman" panose="02020603050405020304" pitchFamily="18" charset="0"/>
            </a:rPr>
            <a:t>Visit 1: Establish Baseline</a:t>
          </a:r>
        </a:p>
      </dgm:t>
    </dgm:pt>
    <dgm:pt modelId="{64C82EF0-47BE-4A5F-85D9-A373FB65C82E}" type="parTrans" cxnId="{3FF4565E-8606-4ED8-9C6B-FC522E62181E}">
      <dgm:prSet/>
      <dgm:spPr/>
      <dgm:t>
        <a:bodyPr/>
        <a:lstStyle/>
        <a:p>
          <a:endParaRPr lang="en-US"/>
        </a:p>
      </dgm:t>
    </dgm:pt>
    <dgm:pt modelId="{C7127579-011C-47E1-B042-07AFEC8A7DA9}" type="sibTrans" cxnId="{3FF4565E-8606-4ED8-9C6B-FC522E62181E}">
      <dgm:prSet/>
      <dgm:spPr/>
      <dgm:t>
        <a:bodyPr/>
        <a:lstStyle/>
        <a:p>
          <a:endParaRPr lang="en-US"/>
        </a:p>
      </dgm:t>
    </dgm:pt>
    <dgm:pt modelId="{09595CBD-1CE1-4967-928C-72C756811081}">
      <dgm:prSet phldrT="[Text]" custT="1"/>
      <dgm:spPr/>
      <dgm:t>
        <a:bodyPr/>
        <a:lstStyle/>
        <a:p>
          <a:r>
            <a:rPr lang="en-US" sz="900" dirty="0">
              <a:latin typeface="Times New Roman" panose="02020603050405020304" pitchFamily="18" charset="0"/>
              <a:cs typeface="Times New Roman" panose="02020603050405020304" pitchFamily="18" charset="0"/>
            </a:rPr>
            <a:t>Visit 2: Re-measure after 30 days</a:t>
          </a:r>
        </a:p>
      </dgm:t>
    </dgm:pt>
    <dgm:pt modelId="{4B25EDAB-021E-4343-89E9-C0AC4D58DC95}" type="parTrans" cxnId="{F51D855F-F97D-47B2-BFC6-2CE6C3BDA5DC}">
      <dgm:prSet/>
      <dgm:spPr/>
      <dgm:t>
        <a:bodyPr/>
        <a:lstStyle/>
        <a:p>
          <a:endParaRPr lang="en-US"/>
        </a:p>
      </dgm:t>
    </dgm:pt>
    <dgm:pt modelId="{B296155C-5CC4-4006-95A2-5FD0599EB6B5}" type="sibTrans" cxnId="{F51D855F-F97D-47B2-BFC6-2CE6C3BDA5DC}">
      <dgm:prSet/>
      <dgm:spPr/>
      <dgm:t>
        <a:bodyPr/>
        <a:lstStyle/>
        <a:p>
          <a:endParaRPr lang="en-US"/>
        </a:p>
      </dgm:t>
    </dgm:pt>
    <dgm:pt modelId="{779155D2-5DAD-427A-A46F-67D2A1975DEE}">
      <dgm:prSet phldrT="[Text]" custT="1"/>
      <dgm:spPr/>
      <dgm:t>
        <a:bodyPr/>
        <a:lstStyle/>
        <a:p>
          <a:r>
            <a:rPr lang="en-US" sz="900" dirty="0">
              <a:latin typeface="Times New Roman" panose="02020603050405020304" pitchFamily="18" charset="0"/>
              <a:cs typeface="Times New Roman" panose="02020603050405020304" pitchFamily="18" charset="0"/>
            </a:rPr>
            <a:t>Visit 3: Re-measure after 60 days</a:t>
          </a:r>
        </a:p>
      </dgm:t>
    </dgm:pt>
    <dgm:pt modelId="{E19A77E5-61CC-46D2-9608-1A1854AFBA76}" type="parTrans" cxnId="{425A89EF-348F-4E6A-A83E-D73ADCE4876B}">
      <dgm:prSet/>
      <dgm:spPr/>
      <dgm:t>
        <a:bodyPr/>
        <a:lstStyle/>
        <a:p>
          <a:endParaRPr lang="en-US"/>
        </a:p>
      </dgm:t>
    </dgm:pt>
    <dgm:pt modelId="{CE3EE4F0-7958-4980-8DC5-ADF89E8D3AB2}" type="sibTrans" cxnId="{425A89EF-348F-4E6A-A83E-D73ADCE4876B}">
      <dgm:prSet/>
      <dgm:spPr/>
      <dgm:t>
        <a:bodyPr/>
        <a:lstStyle/>
        <a:p>
          <a:endParaRPr lang="en-US"/>
        </a:p>
      </dgm:t>
    </dgm:pt>
    <dgm:pt modelId="{92F45520-3CD5-4E70-8460-140AA1F89741}">
      <dgm:prSet phldrT="[Text]" custT="1"/>
      <dgm:spPr/>
      <dgm:t>
        <a:bodyPr/>
        <a:lstStyle/>
        <a:p>
          <a:r>
            <a:rPr lang="en-US" sz="900" dirty="0">
              <a:latin typeface="Times New Roman" panose="02020603050405020304" pitchFamily="18" charset="0"/>
              <a:cs typeface="Times New Roman" panose="02020603050405020304" pitchFamily="18" charset="0"/>
            </a:rPr>
            <a:t>Visit 4: Re-measure after 90 days</a:t>
          </a:r>
        </a:p>
      </dgm:t>
    </dgm:pt>
    <dgm:pt modelId="{EAEBD392-5C92-4D10-9CD3-097C455734C2}" type="parTrans" cxnId="{C47EE734-B0DB-43FB-8440-30C4978AF7F3}">
      <dgm:prSet/>
      <dgm:spPr/>
      <dgm:t>
        <a:bodyPr/>
        <a:lstStyle/>
        <a:p>
          <a:endParaRPr lang="en-US"/>
        </a:p>
      </dgm:t>
    </dgm:pt>
    <dgm:pt modelId="{3F34EAD6-F4F8-4691-9948-390AF22410FC}" type="sibTrans" cxnId="{C47EE734-B0DB-43FB-8440-30C4978AF7F3}">
      <dgm:prSet/>
      <dgm:spPr/>
      <dgm:t>
        <a:bodyPr/>
        <a:lstStyle/>
        <a:p>
          <a:endParaRPr lang="en-US"/>
        </a:p>
      </dgm:t>
    </dgm:pt>
    <dgm:pt modelId="{8C2DC210-72E0-432A-9E0F-F1B62AFED361}">
      <dgm:prSet phldrT="[Text]" custT="1"/>
      <dgm:spPr/>
      <dgm:t>
        <a:bodyPr/>
        <a:lstStyle/>
        <a:p>
          <a:r>
            <a:rPr lang="en-US" sz="900" dirty="0">
              <a:latin typeface="Times New Roman" panose="02020603050405020304" pitchFamily="18" charset="0"/>
              <a:cs typeface="Times New Roman" panose="02020603050405020304" pitchFamily="18" charset="0"/>
            </a:rPr>
            <a:t>Visit 5: Assess after 120 days</a:t>
          </a:r>
        </a:p>
      </dgm:t>
    </dgm:pt>
    <dgm:pt modelId="{4DE5B5C5-821F-44F6-A612-93DCA547DDD4}" type="parTrans" cxnId="{AB268042-FC6C-4AB0-BF81-4AA4DCBC0530}">
      <dgm:prSet/>
      <dgm:spPr/>
      <dgm:t>
        <a:bodyPr/>
        <a:lstStyle/>
        <a:p>
          <a:endParaRPr lang="en-US"/>
        </a:p>
      </dgm:t>
    </dgm:pt>
    <dgm:pt modelId="{20C05FC6-211B-4877-8394-9CD0AC2EE56C}" type="sibTrans" cxnId="{AB268042-FC6C-4AB0-BF81-4AA4DCBC0530}">
      <dgm:prSet/>
      <dgm:spPr/>
      <dgm:t>
        <a:bodyPr/>
        <a:lstStyle/>
        <a:p>
          <a:endParaRPr lang="en-US"/>
        </a:p>
      </dgm:t>
    </dgm:pt>
    <dgm:pt modelId="{0938927A-15D9-479E-B4A5-6F3B4E40AC11}" type="pres">
      <dgm:prSet presAssocID="{1D895BA8-BD15-4723-8740-877EB6739531}" presName="CompostProcess" presStyleCnt="0">
        <dgm:presLayoutVars>
          <dgm:dir/>
          <dgm:resizeHandles val="exact"/>
        </dgm:presLayoutVars>
      </dgm:prSet>
      <dgm:spPr/>
    </dgm:pt>
    <dgm:pt modelId="{4EEB0082-EEFB-4863-AED0-BE1C59983D2E}" type="pres">
      <dgm:prSet presAssocID="{1D895BA8-BD15-4723-8740-877EB6739531}" presName="arrow" presStyleLbl="bgShp" presStyleIdx="0" presStyleCnt="1"/>
      <dgm:spPr/>
    </dgm:pt>
    <dgm:pt modelId="{26E59171-4BC8-4015-ADC5-A9AFB8C6DBB7}" type="pres">
      <dgm:prSet presAssocID="{1D895BA8-BD15-4723-8740-877EB6739531}" presName="linearProcess" presStyleCnt="0"/>
      <dgm:spPr/>
    </dgm:pt>
    <dgm:pt modelId="{0E879D70-93F7-4730-8310-B6C724F75F84}" type="pres">
      <dgm:prSet presAssocID="{41867DBE-89A7-47B0-AACF-4CF04127ACFA}" presName="textNode" presStyleLbl="node1" presStyleIdx="0" presStyleCnt="5" custScaleY="46500" custLinFactNeighborX="42966">
        <dgm:presLayoutVars>
          <dgm:bulletEnabled val="1"/>
        </dgm:presLayoutVars>
      </dgm:prSet>
      <dgm:spPr/>
      <dgm:t>
        <a:bodyPr/>
        <a:lstStyle/>
        <a:p>
          <a:endParaRPr lang="en-US"/>
        </a:p>
      </dgm:t>
    </dgm:pt>
    <dgm:pt modelId="{B928F384-C928-4B08-BB1A-AC17A23A0E52}" type="pres">
      <dgm:prSet presAssocID="{C7127579-011C-47E1-B042-07AFEC8A7DA9}" presName="sibTrans" presStyleCnt="0"/>
      <dgm:spPr/>
    </dgm:pt>
    <dgm:pt modelId="{DCD73818-66B5-461F-BBA4-07BF2972A94E}" type="pres">
      <dgm:prSet presAssocID="{09595CBD-1CE1-4967-928C-72C756811081}" presName="textNode" presStyleLbl="node1" presStyleIdx="1" presStyleCnt="5" custScaleY="46500">
        <dgm:presLayoutVars>
          <dgm:bulletEnabled val="1"/>
        </dgm:presLayoutVars>
      </dgm:prSet>
      <dgm:spPr/>
      <dgm:t>
        <a:bodyPr/>
        <a:lstStyle/>
        <a:p>
          <a:endParaRPr lang="en-US"/>
        </a:p>
      </dgm:t>
    </dgm:pt>
    <dgm:pt modelId="{A034F6B0-1027-4525-B976-8DADDF4773FE}" type="pres">
      <dgm:prSet presAssocID="{B296155C-5CC4-4006-95A2-5FD0599EB6B5}" presName="sibTrans" presStyleCnt="0"/>
      <dgm:spPr/>
    </dgm:pt>
    <dgm:pt modelId="{B6042F98-CA37-43B1-A30C-D9659CC9B066}" type="pres">
      <dgm:prSet presAssocID="{779155D2-5DAD-427A-A46F-67D2A1975DEE}" presName="textNode" presStyleLbl="node1" presStyleIdx="2" presStyleCnt="5" custScaleY="46500">
        <dgm:presLayoutVars>
          <dgm:bulletEnabled val="1"/>
        </dgm:presLayoutVars>
      </dgm:prSet>
      <dgm:spPr/>
      <dgm:t>
        <a:bodyPr/>
        <a:lstStyle/>
        <a:p>
          <a:endParaRPr lang="en-US"/>
        </a:p>
      </dgm:t>
    </dgm:pt>
    <dgm:pt modelId="{30E2D8DD-F0D6-4081-ABB0-1E888651000B}" type="pres">
      <dgm:prSet presAssocID="{CE3EE4F0-7958-4980-8DC5-ADF89E8D3AB2}" presName="sibTrans" presStyleCnt="0"/>
      <dgm:spPr/>
    </dgm:pt>
    <dgm:pt modelId="{D6CBDA35-A7B9-4AC2-99BA-5DDB00A1EEFB}" type="pres">
      <dgm:prSet presAssocID="{92F45520-3CD5-4E70-8460-140AA1F89741}" presName="textNode" presStyleLbl="node1" presStyleIdx="3" presStyleCnt="5" custScaleY="46500">
        <dgm:presLayoutVars>
          <dgm:bulletEnabled val="1"/>
        </dgm:presLayoutVars>
      </dgm:prSet>
      <dgm:spPr/>
      <dgm:t>
        <a:bodyPr/>
        <a:lstStyle/>
        <a:p>
          <a:endParaRPr lang="en-US"/>
        </a:p>
      </dgm:t>
    </dgm:pt>
    <dgm:pt modelId="{229FA46D-847A-48AD-9790-709284DFC228}" type="pres">
      <dgm:prSet presAssocID="{3F34EAD6-F4F8-4691-9948-390AF22410FC}" presName="sibTrans" presStyleCnt="0"/>
      <dgm:spPr/>
    </dgm:pt>
    <dgm:pt modelId="{2872A602-0413-46BD-975D-5226B082D4D7}" type="pres">
      <dgm:prSet presAssocID="{8C2DC210-72E0-432A-9E0F-F1B62AFED361}" presName="textNode" presStyleLbl="node1" presStyleIdx="4" presStyleCnt="5" custScaleY="46500" custLinFactNeighborX="-42966">
        <dgm:presLayoutVars>
          <dgm:bulletEnabled val="1"/>
        </dgm:presLayoutVars>
      </dgm:prSet>
      <dgm:spPr/>
      <dgm:t>
        <a:bodyPr/>
        <a:lstStyle/>
        <a:p>
          <a:endParaRPr lang="en-US"/>
        </a:p>
      </dgm:t>
    </dgm:pt>
  </dgm:ptLst>
  <dgm:cxnLst>
    <dgm:cxn modelId="{848417E9-2D0D-40EF-8CB2-955DC698D6EE}" type="presOf" srcId="{09595CBD-1CE1-4967-928C-72C756811081}" destId="{DCD73818-66B5-461F-BBA4-07BF2972A94E}" srcOrd="0" destOrd="0" presId="urn:microsoft.com/office/officeart/2005/8/layout/hProcess9"/>
    <dgm:cxn modelId="{F7FC584A-5AD2-45B5-A187-13D7D4034447}" type="presOf" srcId="{8C2DC210-72E0-432A-9E0F-F1B62AFED361}" destId="{2872A602-0413-46BD-975D-5226B082D4D7}" srcOrd="0" destOrd="0" presId="urn:microsoft.com/office/officeart/2005/8/layout/hProcess9"/>
    <dgm:cxn modelId="{F51D855F-F97D-47B2-BFC6-2CE6C3BDA5DC}" srcId="{1D895BA8-BD15-4723-8740-877EB6739531}" destId="{09595CBD-1CE1-4967-928C-72C756811081}" srcOrd="1" destOrd="0" parTransId="{4B25EDAB-021E-4343-89E9-C0AC4D58DC95}" sibTransId="{B296155C-5CC4-4006-95A2-5FD0599EB6B5}"/>
    <dgm:cxn modelId="{3FF4565E-8606-4ED8-9C6B-FC522E62181E}" srcId="{1D895BA8-BD15-4723-8740-877EB6739531}" destId="{41867DBE-89A7-47B0-AACF-4CF04127ACFA}" srcOrd="0" destOrd="0" parTransId="{64C82EF0-47BE-4A5F-85D9-A373FB65C82E}" sibTransId="{C7127579-011C-47E1-B042-07AFEC8A7DA9}"/>
    <dgm:cxn modelId="{88F04844-D234-4619-956E-9B62C6075304}" type="presOf" srcId="{1D895BA8-BD15-4723-8740-877EB6739531}" destId="{0938927A-15D9-479E-B4A5-6F3B4E40AC11}" srcOrd="0" destOrd="0" presId="urn:microsoft.com/office/officeart/2005/8/layout/hProcess9"/>
    <dgm:cxn modelId="{425A89EF-348F-4E6A-A83E-D73ADCE4876B}" srcId="{1D895BA8-BD15-4723-8740-877EB6739531}" destId="{779155D2-5DAD-427A-A46F-67D2A1975DEE}" srcOrd="2" destOrd="0" parTransId="{E19A77E5-61CC-46D2-9608-1A1854AFBA76}" sibTransId="{CE3EE4F0-7958-4980-8DC5-ADF89E8D3AB2}"/>
    <dgm:cxn modelId="{D5CCADD7-84A2-40AB-AB69-E0424B29B27C}" type="presOf" srcId="{41867DBE-89A7-47B0-AACF-4CF04127ACFA}" destId="{0E879D70-93F7-4730-8310-B6C724F75F84}" srcOrd="0" destOrd="0" presId="urn:microsoft.com/office/officeart/2005/8/layout/hProcess9"/>
    <dgm:cxn modelId="{AB268042-FC6C-4AB0-BF81-4AA4DCBC0530}" srcId="{1D895BA8-BD15-4723-8740-877EB6739531}" destId="{8C2DC210-72E0-432A-9E0F-F1B62AFED361}" srcOrd="4" destOrd="0" parTransId="{4DE5B5C5-821F-44F6-A612-93DCA547DDD4}" sibTransId="{20C05FC6-211B-4877-8394-9CD0AC2EE56C}"/>
    <dgm:cxn modelId="{4A20DE1F-D309-42AD-BDD4-57DF87753735}" type="presOf" srcId="{779155D2-5DAD-427A-A46F-67D2A1975DEE}" destId="{B6042F98-CA37-43B1-A30C-D9659CC9B066}" srcOrd="0" destOrd="0" presId="urn:microsoft.com/office/officeart/2005/8/layout/hProcess9"/>
    <dgm:cxn modelId="{3036B1A1-146B-490F-BF13-F611448B317B}" type="presOf" srcId="{92F45520-3CD5-4E70-8460-140AA1F89741}" destId="{D6CBDA35-A7B9-4AC2-99BA-5DDB00A1EEFB}" srcOrd="0" destOrd="0" presId="urn:microsoft.com/office/officeart/2005/8/layout/hProcess9"/>
    <dgm:cxn modelId="{C47EE734-B0DB-43FB-8440-30C4978AF7F3}" srcId="{1D895BA8-BD15-4723-8740-877EB6739531}" destId="{92F45520-3CD5-4E70-8460-140AA1F89741}" srcOrd="3" destOrd="0" parTransId="{EAEBD392-5C92-4D10-9CD3-097C455734C2}" sibTransId="{3F34EAD6-F4F8-4691-9948-390AF22410FC}"/>
    <dgm:cxn modelId="{7ABA2CA8-BDF0-4AF5-920B-DAFBD2A975F3}" type="presParOf" srcId="{0938927A-15D9-479E-B4A5-6F3B4E40AC11}" destId="{4EEB0082-EEFB-4863-AED0-BE1C59983D2E}" srcOrd="0" destOrd="0" presId="urn:microsoft.com/office/officeart/2005/8/layout/hProcess9"/>
    <dgm:cxn modelId="{61D21F01-EF57-40A4-A925-AC821E9C2E4A}" type="presParOf" srcId="{0938927A-15D9-479E-B4A5-6F3B4E40AC11}" destId="{26E59171-4BC8-4015-ADC5-A9AFB8C6DBB7}" srcOrd="1" destOrd="0" presId="urn:microsoft.com/office/officeart/2005/8/layout/hProcess9"/>
    <dgm:cxn modelId="{84133734-AAD5-4721-B394-0B27476D7A8F}" type="presParOf" srcId="{26E59171-4BC8-4015-ADC5-A9AFB8C6DBB7}" destId="{0E879D70-93F7-4730-8310-B6C724F75F84}" srcOrd="0" destOrd="0" presId="urn:microsoft.com/office/officeart/2005/8/layout/hProcess9"/>
    <dgm:cxn modelId="{AE5A5BFC-4D51-400D-82F9-C675EF9BC698}" type="presParOf" srcId="{26E59171-4BC8-4015-ADC5-A9AFB8C6DBB7}" destId="{B928F384-C928-4B08-BB1A-AC17A23A0E52}" srcOrd="1" destOrd="0" presId="urn:microsoft.com/office/officeart/2005/8/layout/hProcess9"/>
    <dgm:cxn modelId="{085B69BA-373B-4847-81C8-652D0BB4900F}" type="presParOf" srcId="{26E59171-4BC8-4015-ADC5-A9AFB8C6DBB7}" destId="{DCD73818-66B5-461F-BBA4-07BF2972A94E}" srcOrd="2" destOrd="0" presId="urn:microsoft.com/office/officeart/2005/8/layout/hProcess9"/>
    <dgm:cxn modelId="{10208DDD-AD5B-4FB4-B16B-012412CF99D6}" type="presParOf" srcId="{26E59171-4BC8-4015-ADC5-A9AFB8C6DBB7}" destId="{A034F6B0-1027-4525-B976-8DADDF4773FE}" srcOrd="3" destOrd="0" presId="urn:microsoft.com/office/officeart/2005/8/layout/hProcess9"/>
    <dgm:cxn modelId="{D229EAFF-21EF-4650-87C5-C4BE8D0734B0}" type="presParOf" srcId="{26E59171-4BC8-4015-ADC5-A9AFB8C6DBB7}" destId="{B6042F98-CA37-43B1-A30C-D9659CC9B066}" srcOrd="4" destOrd="0" presId="urn:microsoft.com/office/officeart/2005/8/layout/hProcess9"/>
    <dgm:cxn modelId="{3F687D75-7D14-41B0-BE00-DB3F295F6C85}" type="presParOf" srcId="{26E59171-4BC8-4015-ADC5-A9AFB8C6DBB7}" destId="{30E2D8DD-F0D6-4081-ABB0-1E888651000B}" srcOrd="5" destOrd="0" presId="urn:microsoft.com/office/officeart/2005/8/layout/hProcess9"/>
    <dgm:cxn modelId="{FB88A648-B3F8-4784-BD5E-ADA8B04214B5}" type="presParOf" srcId="{26E59171-4BC8-4015-ADC5-A9AFB8C6DBB7}" destId="{D6CBDA35-A7B9-4AC2-99BA-5DDB00A1EEFB}" srcOrd="6" destOrd="0" presId="urn:microsoft.com/office/officeart/2005/8/layout/hProcess9"/>
    <dgm:cxn modelId="{2EA8D2D1-93D7-489B-BBA7-378DBD9AD259}" type="presParOf" srcId="{26E59171-4BC8-4015-ADC5-A9AFB8C6DBB7}" destId="{229FA46D-847A-48AD-9790-709284DFC228}" srcOrd="7" destOrd="0" presId="urn:microsoft.com/office/officeart/2005/8/layout/hProcess9"/>
    <dgm:cxn modelId="{0C971D24-1757-46CE-B4FC-7AF569AFA61A}" type="presParOf" srcId="{26E59171-4BC8-4015-ADC5-A9AFB8C6DBB7}" destId="{2872A602-0413-46BD-975D-5226B082D4D7}" srcOrd="8" destOrd="0" presId="urn:microsoft.com/office/officeart/2005/8/layout/hProcess9"/>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EB0082-EEFB-4863-AED0-BE1C59983D2E}">
      <dsp:nvSpPr>
        <dsp:cNvPr id="0" name=""/>
        <dsp:cNvSpPr/>
      </dsp:nvSpPr>
      <dsp:spPr>
        <a:xfrm>
          <a:off x="445769" y="0"/>
          <a:ext cx="5052060" cy="1388745"/>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E879D70-93F7-4730-8310-B6C724F75F84}">
      <dsp:nvSpPr>
        <dsp:cNvPr id="0" name=""/>
        <dsp:cNvSpPr/>
      </dsp:nvSpPr>
      <dsp:spPr>
        <a:xfrm>
          <a:off x="76806" y="565219"/>
          <a:ext cx="1048256" cy="25830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Times New Roman" panose="02020603050405020304" pitchFamily="18" charset="0"/>
              <a:cs typeface="Times New Roman" panose="02020603050405020304" pitchFamily="18" charset="0"/>
            </a:rPr>
            <a:t>Visit 1: Establish Baseline</a:t>
          </a:r>
        </a:p>
      </dsp:txBody>
      <dsp:txXfrm>
        <a:off x="89415" y="577828"/>
        <a:ext cx="1023038" cy="233088"/>
      </dsp:txXfrm>
    </dsp:sp>
    <dsp:sp modelId="{DCD73818-66B5-461F-BBA4-07BF2972A94E}">
      <dsp:nvSpPr>
        <dsp:cNvPr id="0" name=""/>
        <dsp:cNvSpPr/>
      </dsp:nvSpPr>
      <dsp:spPr>
        <a:xfrm>
          <a:off x="1224706" y="565219"/>
          <a:ext cx="1048256" cy="25830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Times New Roman" panose="02020603050405020304" pitchFamily="18" charset="0"/>
              <a:cs typeface="Times New Roman" panose="02020603050405020304" pitchFamily="18" charset="0"/>
            </a:rPr>
            <a:t>Visit 2: Re-measure after 30 days</a:t>
          </a:r>
        </a:p>
      </dsp:txBody>
      <dsp:txXfrm>
        <a:off x="1237315" y="577828"/>
        <a:ext cx="1023038" cy="233088"/>
      </dsp:txXfrm>
    </dsp:sp>
    <dsp:sp modelId="{B6042F98-CA37-43B1-A30C-D9659CC9B066}">
      <dsp:nvSpPr>
        <dsp:cNvPr id="0" name=""/>
        <dsp:cNvSpPr/>
      </dsp:nvSpPr>
      <dsp:spPr>
        <a:xfrm>
          <a:off x="2447671" y="565219"/>
          <a:ext cx="1048256" cy="25830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Times New Roman" panose="02020603050405020304" pitchFamily="18" charset="0"/>
              <a:cs typeface="Times New Roman" panose="02020603050405020304" pitchFamily="18" charset="0"/>
            </a:rPr>
            <a:t>Visit 3: Re-measure after 60 days</a:t>
          </a:r>
        </a:p>
      </dsp:txBody>
      <dsp:txXfrm>
        <a:off x="2460280" y="577828"/>
        <a:ext cx="1023038" cy="233088"/>
      </dsp:txXfrm>
    </dsp:sp>
    <dsp:sp modelId="{D6CBDA35-A7B9-4AC2-99BA-5DDB00A1EEFB}">
      <dsp:nvSpPr>
        <dsp:cNvPr id="0" name=""/>
        <dsp:cNvSpPr/>
      </dsp:nvSpPr>
      <dsp:spPr>
        <a:xfrm>
          <a:off x="3670637" y="565219"/>
          <a:ext cx="1048256" cy="25830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Times New Roman" panose="02020603050405020304" pitchFamily="18" charset="0"/>
              <a:cs typeface="Times New Roman" panose="02020603050405020304" pitchFamily="18" charset="0"/>
            </a:rPr>
            <a:t>Visit 4: Re-measure after 90 days</a:t>
          </a:r>
        </a:p>
      </dsp:txBody>
      <dsp:txXfrm>
        <a:off x="3683246" y="577828"/>
        <a:ext cx="1023038" cy="233088"/>
      </dsp:txXfrm>
    </dsp:sp>
    <dsp:sp modelId="{2872A602-0413-46BD-975D-5226B082D4D7}">
      <dsp:nvSpPr>
        <dsp:cNvPr id="0" name=""/>
        <dsp:cNvSpPr/>
      </dsp:nvSpPr>
      <dsp:spPr>
        <a:xfrm>
          <a:off x="4818537" y="565219"/>
          <a:ext cx="1048256" cy="25830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Times New Roman" panose="02020603050405020304" pitchFamily="18" charset="0"/>
              <a:cs typeface="Times New Roman" panose="02020603050405020304" pitchFamily="18" charset="0"/>
            </a:rPr>
            <a:t>Visit 5: Assess after 120 days</a:t>
          </a:r>
        </a:p>
      </dsp:txBody>
      <dsp:txXfrm>
        <a:off x="4831146" y="577828"/>
        <a:ext cx="1023038" cy="2330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843A-5F42-422A-A1E0-DE9F3280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Zara</cp:lastModifiedBy>
  <cp:revision>2</cp:revision>
  <dcterms:created xsi:type="dcterms:W3CDTF">2021-12-01T08:09:00Z</dcterms:created>
  <dcterms:modified xsi:type="dcterms:W3CDTF">2021-12-01T08:09:00Z</dcterms:modified>
</cp:coreProperties>
</file>