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3D" w:rsidRDefault="00940B0F" w:rsidP="00B72DCB">
      <w:pPr>
        <w:jc w:val="center"/>
        <w:rPr>
          <w:rFonts w:ascii="Arial" w:hAnsi="Arial" w:cs="Arial"/>
          <w:sz w:val="32"/>
          <w:szCs w:val="32"/>
        </w:rPr>
      </w:pPr>
      <w:bookmarkStart w:id="0" w:name="_GoBack"/>
      <w:bookmarkEnd w:id="0"/>
      <w:r w:rsidRPr="00B72DCB">
        <w:rPr>
          <w:rFonts w:ascii="Arial" w:hAnsi="Arial" w:cs="Arial"/>
          <w:sz w:val="32"/>
          <w:szCs w:val="32"/>
        </w:rPr>
        <w:t>Gastroparesis symptoms and its treatment using low-viscosity soluble dietary fibres</w:t>
      </w:r>
    </w:p>
    <w:p w:rsidR="00791164" w:rsidRPr="00B72DCB" w:rsidRDefault="00791164" w:rsidP="00B72DCB">
      <w:pPr>
        <w:jc w:val="center"/>
        <w:rPr>
          <w:rFonts w:ascii="Arial" w:hAnsi="Arial" w:cs="Arial"/>
          <w:sz w:val="32"/>
          <w:szCs w:val="32"/>
        </w:rPr>
      </w:pPr>
    </w:p>
    <w:p w:rsidR="002703B4" w:rsidRPr="00B7071C" w:rsidRDefault="002703B4" w:rsidP="00B72DCB">
      <w:pPr>
        <w:spacing w:after="0"/>
        <w:jc w:val="both"/>
        <w:outlineLvl w:val="0"/>
        <w:rPr>
          <w:rFonts w:ascii="Arial" w:eastAsia="Times New Roman" w:hAnsi="Arial" w:cs="Arial"/>
          <w:b/>
          <w:sz w:val="18"/>
          <w:szCs w:val="18"/>
          <w:lang w:eastAsia="en-AU"/>
        </w:rPr>
      </w:pPr>
      <w:bookmarkStart w:id="1" w:name="_Toc236472616"/>
      <w:bookmarkStart w:id="2" w:name="_Toc236473736"/>
      <w:bookmarkStart w:id="3" w:name="_Toc237834104"/>
      <w:bookmarkStart w:id="4" w:name="_Toc224114237"/>
      <w:bookmarkStart w:id="5" w:name="_Toc224114362"/>
      <w:bookmarkStart w:id="6" w:name="_Toc229297225"/>
      <w:bookmarkStart w:id="7" w:name="_Toc229297332"/>
      <w:bookmarkStart w:id="8" w:name="_Toc229298355"/>
      <w:bookmarkStart w:id="9" w:name="_Toc229307321"/>
      <w:bookmarkStart w:id="10" w:name="_Toc229308141"/>
      <w:bookmarkStart w:id="11" w:name="_Toc235338618"/>
      <w:r w:rsidRPr="00B7071C">
        <w:rPr>
          <w:rFonts w:ascii="Arial" w:eastAsia="Times New Roman" w:hAnsi="Arial" w:cs="Arial"/>
          <w:b/>
          <w:sz w:val="18"/>
          <w:szCs w:val="18"/>
          <w:lang w:eastAsia="en-AU"/>
        </w:rPr>
        <w:t xml:space="preserve">1.  </w:t>
      </w:r>
      <w:bookmarkEnd w:id="1"/>
      <w:bookmarkEnd w:id="2"/>
      <w:bookmarkEnd w:id="3"/>
      <w:r w:rsidRPr="00B7071C">
        <w:rPr>
          <w:rFonts w:ascii="Arial" w:eastAsia="Times New Roman" w:hAnsi="Arial" w:cs="Arial"/>
          <w:b/>
          <w:sz w:val="18"/>
          <w:szCs w:val="18"/>
          <w:lang w:eastAsia="en-AU"/>
        </w:rPr>
        <w:t>TITLE AND LIST OF INVESTIGATORS</w:t>
      </w:r>
    </w:p>
    <w:bookmarkEnd w:id="4"/>
    <w:bookmarkEnd w:id="5"/>
    <w:bookmarkEnd w:id="6"/>
    <w:bookmarkEnd w:id="7"/>
    <w:bookmarkEnd w:id="8"/>
    <w:bookmarkEnd w:id="9"/>
    <w:bookmarkEnd w:id="10"/>
    <w:bookmarkEnd w:id="11"/>
    <w:p w:rsidR="002703B4" w:rsidRPr="00B7071C" w:rsidRDefault="002703B4" w:rsidP="00B72DCB">
      <w:pPr>
        <w:spacing w:after="0"/>
        <w:jc w:val="both"/>
        <w:rPr>
          <w:rFonts w:ascii="Arial" w:eastAsia="Times New Roman" w:hAnsi="Arial" w:cs="Arial"/>
          <w:b/>
          <w:sz w:val="18"/>
          <w:szCs w:val="18"/>
          <w:lang w:eastAsia="en-AU"/>
        </w:rPr>
      </w:pPr>
    </w:p>
    <w:p w:rsidR="002703B4" w:rsidRPr="00B7071C" w:rsidRDefault="002703B4" w:rsidP="00B72DCB">
      <w:pPr>
        <w:spacing w:after="0"/>
        <w:jc w:val="both"/>
        <w:rPr>
          <w:rFonts w:ascii="Arial" w:eastAsia="Times New Roman" w:hAnsi="Arial" w:cs="Arial"/>
          <w:sz w:val="18"/>
          <w:szCs w:val="18"/>
          <w:lang w:eastAsia="en-AU"/>
        </w:rPr>
      </w:pPr>
      <w:r w:rsidRPr="00B7071C">
        <w:rPr>
          <w:rFonts w:ascii="Arial" w:eastAsia="Times New Roman" w:hAnsi="Arial" w:cs="Arial"/>
          <w:b/>
          <w:sz w:val="18"/>
          <w:szCs w:val="18"/>
          <w:lang w:eastAsia="en-AU"/>
        </w:rPr>
        <w:t>Title of Study</w:t>
      </w:r>
      <w:r w:rsidRPr="00B7071C">
        <w:rPr>
          <w:rFonts w:ascii="Arial" w:eastAsia="Times New Roman" w:hAnsi="Arial" w:cs="Arial"/>
          <w:sz w:val="18"/>
          <w:szCs w:val="18"/>
          <w:lang w:eastAsia="en-AU"/>
        </w:rPr>
        <w:t xml:space="preserve">: </w:t>
      </w:r>
      <w:r w:rsidR="00940B0F">
        <w:rPr>
          <w:rFonts w:ascii="Arial" w:eastAsia="Times New Roman" w:hAnsi="Arial" w:cs="Arial"/>
          <w:sz w:val="18"/>
          <w:szCs w:val="18"/>
          <w:lang w:eastAsia="en-AU"/>
        </w:rPr>
        <w:t>Gastroparesis symptoms and its treatment using low-viscosity soluble dietary fibres</w:t>
      </w:r>
    </w:p>
    <w:p w:rsidR="002703B4" w:rsidRPr="00B7071C" w:rsidRDefault="002703B4" w:rsidP="00B72DCB">
      <w:pPr>
        <w:spacing w:after="0"/>
        <w:jc w:val="both"/>
        <w:rPr>
          <w:rFonts w:ascii="Arial" w:eastAsia="Times New Roman" w:hAnsi="Arial" w:cs="Arial"/>
          <w:sz w:val="18"/>
          <w:szCs w:val="18"/>
          <w:lang w:eastAsia="en-AU"/>
        </w:rPr>
      </w:pPr>
    </w:p>
    <w:p w:rsidR="002703B4" w:rsidRPr="00B7071C" w:rsidRDefault="002703B4" w:rsidP="00B72DCB">
      <w:pPr>
        <w:spacing w:after="0"/>
        <w:jc w:val="both"/>
        <w:rPr>
          <w:rFonts w:ascii="Arial" w:eastAsia="Times New Roman" w:hAnsi="Arial" w:cs="Arial"/>
          <w:sz w:val="18"/>
          <w:szCs w:val="18"/>
          <w:lang w:eastAsia="en-AU"/>
        </w:rPr>
      </w:pPr>
      <w:r w:rsidRPr="00B7071C">
        <w:rPr>
          <w:rFonts w:ascii="Arial" w:eastAsia="Times New Roman" w:hAnsi="Arial" w:cs="Arial"/>
          <w:b/>
          <w:sz w:val="18"/>
          <w:szCs w:val="18"/>
          <w:lang w:eastAsia="en-AU"/>
        </w:rPr>
        <w:t>Abbreviated Title</w:t>
      </w:r>
      <w:r w:rsidRPr="00B7071C">
        <w:rPr>
          <w:rFonts w:ascii="Arial" w:eastAsia="Times New Roman" w:hAnsi="Arial" w:cs="Arial"/>
          <w:sz w:val="18"/>
          <w:szCs w:val="18"/>
          <w:lang w:eastAsia="en-AU"/>
        </w:rPr>
        <w:t xml:space="preserve">: </w:t>
      </w:r>
      <w:r w:rsidR="00940B0F">
        <w:rPr>
          <w:rFonts w:ascii="Arial" w:eastAsia="Times New Roman" w:hAnsi="Arial" w:cs="Arial"/>
          <w:sz w:val="18"/>
          <w:szCs w:val="18"/>
          <w:lang w:eastAsia="en-AU"/>
        </w:rPr>
        <w:t>Treating gastroparesis using soluble dietary fibres</w:t>
      </w:r>
    </w:p>
    <w:p w:rsidR="002703B4" w:rsidRPr="00B7071C" w:rsidRDefault="002703B4" w:rsidP="00B72DCB">
      <w:pPr>
        <w:spacing w:after="0"/>
        <w:jc w:val="both"/>
        <w:rPr>
          <w:rFonts w:ascii="Arial" w:eastAsia="Times New Roman" w:hAnsi="Arial" w:cs="Arial"/>
          <w:sz w:val="18"/>
          <w:szCs w:val="18"/>
          <w:lang w:eastAsia="en-AU"/>
        </w:rPr>
      </w:pPr>
    </w:p>
    <w:p w:rsidR="002703B4" w:rsidRPr="00B7071C" w:rsidRDefault="002703B4" w:rsidP="00B72DCB">
      <w:pPr>
        <w:spacing w:after="0"/>
        <w:rPr>
          <w:rFonts w:ascii="Arial" w:eastAsia="Times New Roman" w:hAnsi="Arial" w:cs="Arial"/>
          <w:b/>
          <w:sz w:val="18"/>
          <w:szCs w:val="18"/>
          <w:lang w:eastAsia="en-AU"/>
        </w:rPr>
      </w:pPr>
      <w:r w:rsidRPr="00B7071C">
        <w:rPr>
          <w:rFonts w:ascii="Arial" w:eastAsia="Times New Roman" w:hAnsi="Arial" w:cs="Arial"/>
          <w:b/>
          <w:sz w:val="18"/>
          <w:szCs w:val="18"/>
          <w:lang w:eastAsia="en-AU"/>
        </w:rPr>
        <w:t xml:space="preserve">Coordinating principal investigator: </w:t>
      </w:r>
    </w:p>
    <w:p w:rsidR="00C00214" w:rsidRDefault="00C00214" w:rsidP="00B72DCB">
      <w:pPr>
        <w:spacing w:after="0"/>
        <w:rPr>
          <w:rFonts w:ascii="Arial" w:eastAsia="Times New Roman" w:hAnsi="Arial" w:cs="Arial"/>
          <w:sz w:val="18"/>
          <w:szCs w:val="18"/>
          <w:lang w:eastAsia="en-AU"/>
        </w:rPr>
      </w:pPr>
      <w:r>
        <w:rPr>
          <w:rFonts w:ascii="Arial" w:eastAsia="Times New Roman" w:hAnsi="Arial" w:cs="Arial"/>
          <w:sz w:val="18"/>
          <w:szCs w:val="18"/>
          <w:lang w:eastAsia="en-AU"/>
        </w:rPr>
        <w:t xml:space="preserve">Dr </w:t>
      </w:r>
      <w:r w:rsidRPr="00B7071C">
        <w:rPr>
          <w:rFonts w:ascii="Arial" w:eastAsia="Times New Roman" w:hAnsi="Arial" w:cs="Arial"/>
          <w:sz w:val="18"/>
          <w:szCs w:val="18"/>
          <w:lang w:eastAsia="en-AU"/>
        </w:rPr>
        <w:t xml:space="preserve">Jerry Zhou –Western Sydney </w:t>
      </w:r>
      <w:r>
        <w:rPr>
          <w:rFonts w:ascii="Arial" w:eastAsia="Times New Roman" w:hAnsi="Arial" w:cs="Arial"/>
          <w:sz w:val="18"/>
          <w:szCs w:val="18"/>
          <w:lang w:eastAsia="en-AU"/>
        </w:rPr>
        <w:t>University</w:t>
      </w:r>
      <w:r w:rsidRPr="00B7071C">
        <w:rPr>
          <w:rFonts w:ascii="Arial" w:eastAsia="Times New Roman" w:hAnsi="Arial" w:cs="Arial"/>
          <w:sz w:val="18"/>
          <w:szCs w:val="18"/>
          <w:lang w:eastAsia="en-AU"/>
        </w:rPr>
        <w:t>– Postdoctorate Research Fellow</w:t>
      </w:r>
    </w:p>
    <w:p w:rsidR="002703B4" w:rsidRPr="00B7071C" w:rsidRDefault="002703B4" w:rsidP="00B72DCB">
      <w:pPr>
        <w:spacing w:after="0"/>
        <w:rPr>
          <w:rFonts w:ascii="Arial" w:eastAsia="Times New Roman" w:hAnsi="Arial" w:cs="Arial"/>
          <w:sz w:val="18"/>
          <w:szCs w:val="18"/>
          <w:lang w:eastAsia="en-AU"/>
        </w:rPr>
      </w:pPr>
    </w:p>
    <w:p w:rsidR="002703B4" w:rsidRPr="00B7071C" w:rsidRDefault="002703B4" w:rsidP="00B72DCB">
      <w:pPr>
        <w:spacing w:after="0"/>
        <w:rPr>
          <w:rFonts w:ascii="Arial" w:eastAsia="Times New Roman" w:hAnsi="Arial" w:cs="Arial"/>
          <w:b/>
          <w:sz w:val="18"/>
          <w:szCs w:val="18"/>
          <w:lang w:eastAsia="en-AU"/>
        </w:rPr>
      </w:pPr>
      <w:r w:rsidRPr="00B7071C">
        <w:rPr>
          <w:rFonts w:ascii="Arial" w:eastAsia="Times New Roman" w:hAnsi="Arial" w:cs="Arial"/>
          <w:b/>
          <w:sz w:val="18"/>
          <w:szCs w:val="18"/>
          <w:lang w:eastAsia="en-AU"/>
        </w:rPr>
        <w:t>Co Investigators:</w:t>
      </w:r>
    </w:p>
    <w:p w:rsidR="00C00214" w:rsidRDefault="00C00214" w:rsidP="00B72DCB">
      <w:pPr>
        <w:spacing w:after="0"/>
        <w:rPr>
          <w:rFonts w:ascii="Arial" w:eastAsia="Times New Roman" w:hAnsi="Arial" w:cs="Arial"/>
          <w:sz w:val="18"/>
          <w:szCs w:val="18"/>
          <w:lang w:eastAsia="en-AU"/>
        </w:rPr>
      </w:pPr>
      <w:r>
        <w:rPr>
          <w:rFonts w:ascii="Arial" w:eastAsia="Times New Roman" w:hAnsi="Arial" w:cs="Arial"/>
          <w:sz w:val="18"/>
          <w:szCs w:val="18"/>
          <w:lang w:eastAsia="en-AU"/>
        </w:rPr>
        <w:t>Mr Harsha Suresh</w:t>
      </w:r>
      <w:r w:rsidRPr="00B7071C">
        <w:rPr>
          <w:rFonts w:ascii="Arial" w:eastAsia="Times New Roman" w:hAnsi="Arial" w:cs="Arial"/>
          <w:sz w:val="18"/>
          <w:szCs w:val="18"/>
          <w:lang w:eastAsia="en-AU"/>
        </w:rPr>
        <w:t xml:space="preserve"> –Western Sydney </w:t>
      </w:r>
      <w:r>
        <w:rPr>
          <w:rFonts w:ascii="Arial" w:eastAsia="Times New Roman" w:hAnsi="Arial" w:cs="Arial"/>
          <w:sz w:val="18"/>
          <w:szCs w:val="18"/>
          <w:lang w:eastAsia="en-AU"/>
        </w:rPr>
        <w:t>University</w:t>
      </w:r>
      <w:r w:rsidRPr="00B7071C">
        <w:rPr>
          <w:rFonts w:ascii="Arial" w:eastAsia="Times New Roman" w:hAnsi="Arial" w:cs="Arial"/>
          <w:sz w:val="18"/>
          <w:szCs w:val="18"/>
          <w:lang w:eastAsia="en-AU"/>
        </w:rPr>
        <w:t>– P</w:t>
      </w:r>
      <w:r>
        <w:rPr>
          <w:rFonts w:ascii="Arial" w:eastAsia="Times New Roman" w:hAnsi="Arial" w:cs="Arial"/>
          <w:sz w:val="18"/>
          <w:szCs w:val="18"/>
          <w:lang w:eastAsia="en-AU"/>
        </w:rPr>
        <w:t>hD candidate</w:t>
      </w:r>
    </w:p>
    <w:p w:rsidR="002703B4" w:rsidRDefault="002703B4" w:rsidP="00B72DCB">
      <w:pPr>
        <w:spacing w:after="0"/>
        <w:rPr>
          <w:rFonts w:ascii="Arial" w:hAnsi="Arial" w:cs="Arial"/>
          <w:sz w:val="18"/>
          <w:szCs w:val="18"/>
        </w:rPr>
      </w:pPr>
      <w:r w:rsidRPr="00B7071C">
        <w:rPr>
          <w:rFonts w:ascii="Arial" w:eastAsia="Times New Roman" w:hAnsi="Arial" w:cs="Arial"/>
          <w:sz w:val="18"/>
          <w:szCs w:val="18"/>
          <w:lang w:eastAsia="en-AU"/>
        </w:rPr>
        <w:t>Dr Vincent Ho –</w:t>
      </w:r>
      <w:r w:rsidR="00E91FAC">
        <w:rPr>
          <w:rFonts w:ascii="Arial" w:eastAsia="Times New Roman" w:hAnsi="Arial" w:cs="Arial"/>
          <w:sz w:val="18"/>
          <w:szCs w:val="18"/>
          <w:lang w:eastAsia="en-AU"/>
        </w:rPr>
        <w:t xml:space="preserve"> </w:t>
      </w:r>
      <w:r w:rsidRPr="00B7071C">
        <w:rPr>
          <w:rFonts w:ascii="Arial" w:eastAsia="Times New Roman" w:hAnsi="Arial" w:cs="Arial"/>
          <w:sz w:val="18"/>
          <w:szCs w:val="18"/>
          <w:lang w:eastAsia="en-AU"/>
        </w:rPr>
        <w:t>Western Sydney</w:t>
      </w:r>
      <w:r w:rsidRPr="00B7071C">
        <w:rPr>
          <w:rFonts w:ascii="Arial" w:hAnsi="Arial" w:cs="Arial"/>
          <w:sz w:val="18"/>
          <w:szCs w:val="18"/>
        </w:rPr>
        <w:t xml:space="preserve"> </w:t>
      </w:r>
      <w:r w:rsidR="00E91FAC">
        <w:rPr>
          <w:rFonts w:ascii="Arial" w:hAnsi="Arial" w:cs="Arial"/>
          <w:sz w:val="18"/>
          <w:szCs w:val="18"/>
        </w:rPr>
        <w:t>University</w:t>
      </w:r>
      <w:r w:rsidRPr="00B7071C">
        <w:rPr>
          <w:rFonts w:ascii="Arial" w:hAnsi="Arial" w:cs="Arial"/>
          <w:sz w:val="18"/>
          <w:szCs w:val="18"/>
        </w:rPr>
        <w:t>– Clinical Academic Gastroenterologist</w:t>
      </w:r>
    </w:p>
    <w:p w:rsidR="00396318" w:rsidRPr="00B7071C" w:rsidRDefault="00396318" w:rsidP="00B7071C">
      <w:pPr>
        <w:spacing w:after="0"/>
        <w:rPr>
          <w:rFonts w:ascii="Arial" w:hAnsi="Arial" w:cs="Arial"/>
          <w:b/>
          <w:sz w:val="18"/>
          <w:szCs w:val="18"/>
        </w:rPr>
      </w:pPr>
    </w:p>
    <w:p w:rsidR="00044C3D" w:rsidRPr="00B7071C" w:rsidRDefault="002703B4" w:rsidP="00B7071C">
      <w:pPr>
        <w:spacing w:after="0"/>
        <w:rPr>
          <w:rFonts w:ascii="Arial" w:hAnsi="Arial" w:cs="Arial"/>
          <w:b/>
          <w:sz w:val="18"/>
          <w:szCs w:val="18"/>
        </w:rPr>
      </w:pPr>
      <w:r w:rsidRPr="00B7071C">
        <w:rPr>
          <w:rFonts w:ascii="Arial" w:hAnsi="Arial" w:cs="Arial"/>
          <w:b/>
          <w:sz w:val="18"/>
          <w:szCs w:val="18"/>
        </w:rPr>
        <w:t>2. SYNOPSIS</w:t>
      </w:r>
      <w:r w:rsidR="00B7071C" w:rsidRPr="00B7071C">
        <w:rPr>
          <w:rFonts w:ascii="Arial" w:hAnsi="Arial" w:cs="Arial"/>
          <w:b/>
          <w:sz w:val="18"/>
          <w:szCs w:val="18"/>
        </w:rPr>
        <w:br/>
      </w:r>
    </w:p>
    <w:p w:rsidR="002703B4" w:rsidRPr="00B7071C" w:rsidRDefault="002703B4" w:rsidP="00B7071C">
      <w:pPr>
        <w:spacing w:after="0"/>
        <w:jc w:val="both"/>
        <w:rPr>
          <w:rFonts w:ascii="Arial" w:hAnsi="Arial" w:cs="Arial"/>
          <w:b/>
          <w:sz w:val="18"/>
          <w:szCs w:val="18"/>
        </w:rPr>
      </w:pPr>
      <w:r w:rsidRPr="00B7071C">
        <w:rPr>
          <w:rFonts w:ascii="Arial" w:hAnsi="Arial" w:cs="Arial"/>
          <w:b/>
          <w:sz w:val="18"/>
          <w:szCs w:val="18"/>
        </w:rPr>
        <w:t>Background:</w:t>
      </w:r>
    </w:p>
    <w:p w:rsidR="00F0316B" w:rsidRPr="00B7071C" w:rsidRDefault="00F0316B" w:rsidP="00B72DCB">
      <w:pPr>
        <w:autoSpaceDE w:val="0"/>
        <w:autoSpaceDN w:val="0"/>
        <w:adjustRightInd w:val="0"/>
        <w:spacing w:after="0"/>
        <w:jc w:val="both"/>
        <w:rPr>
          <w:rFonts w:ascii="Arial" w:hAnsi="Arial" w:cs="Arial"/>
          <w:sz w:val="18"/>
          <w:szCs w:val="18"/>
        </w:rPr>
      </w:pPr>
      <w:r w:rsidRPr="00B7071C">
        <w:rPr>
          <w:rFonts w:ascii="Arial" w:hAnsi="Arial" w:cs="Arial"/>
          <w:sz w:val="18"/>
          <w:szCs w:val="18"/>
        </w:rPr>
        <w:t>Gastro</w:t>
      </w:r>
      <w:r w:rsidR="00940B0F">
        <w:rPr>
          <w:rFonts w:ascii="Arial" w:hAnsi="Arial" w:cs="Arial"/>
          <w:sz w:val="18"/>
          <w:szCs w:val="18"/>
        </w:rPr>
        <w:t xml:space="preserve">paresis is a chronic gastric motility disorder characterised by delayed gastric emptying. There are an estimated 125,000 people diagnosed with gastroparesis in Australia as of 2016. The majority of gastroparesis that is diagnosed in patients is idiopathic and 30% to 50% of gastroparesis patients also experience either type 1 or type 2 diabetes. It is usually characterised by symptoms such as early satiety, nausea, vomiting, upper abdominal pain and postprandial fullness. There is no known cure for gastroparesis and the objective of this project is to </w:t>
      </w:r>
      <w:r w:rsidR="008B6DB2">
        <w:rPr>
          <w:rFonts w:ascii="Arial" w:hAnsi="Arial" w:cs="Arial"/>
          <w:sz w:val="18"/>
          <w:szCs w:val="18"/>
        </w:rPr>
        <w:t xml:space="preserve">relieve its </w:t>
      </w:r>
      <w:r w:rsidR="00654115">
        <w:rPr>
          <w:rFonts w:ascii="Arial" w:hAnsi="Arial" w:cs="Arial"/>
          <w:sz w:val="18"/>
          <w:szCs w:val="18"/>
        </w:rPr>
        <w:t>symptoms</w:t>
      </w:r>
      <w:r w:rsidR="00654115" w:rsidRPr="00654115">
        <w:rPr>
          <w:rFonts w:ascii="Arial" w:hAnsi="Arial" w:cs="Arial"/>
          <w:sz w:val="18"/>
          <w:szCs w:val="18"/>
          <w:vertAlign w:val="superscript"/>
        </w:rPr>
        <w:t xml:space="preserve"> </w:t>
      </w:r>
      <w:r w:rsidR="00654115" w:rsidRPr="00654115">
        <w:rPr>
          <w:rFonts w:ascii="Arial" w:hAnsi="Arial" w:cs="Arial"/>
          <w:b/>
          <w:sz w:val="18"/>
          <w:szCs w:val="18"/>
          <w:vertAlign w:val="superscript"/>
        </w:rPr>
        <w:t>[1]</w:t>
      </w:r>
      <w:r w:rsidR="00B72DCB">
        <w:rPr>
          <w:rFonts w:ascii="Arial" w:hAnsi="Arial" w:cs="Arial"/>
          <w:sz w:val="18"/>
          <w:szCs w:val="18"/>
        </w:rPr>
        <w:t>.</w:t>
      </w:r>
    </w:p>
    <w:p w:rsidR="00F0316B" w:rsidRPr="00B7071C" w:rsidRDefault="00F0316B" w:rsidP="00B72DCB">
      <w:pPr>
        <w:autoSpaceDE w:val="0"/>
        <w:autoSpaceDN w:val="0"/>
        <w:adjustRightInd w:val="0"/>
        <w:spacing w:after="0"/>
        <w:jc w:val="both"/>
        <w:rPr>
          <w:rFonts w:ascii="Arial" w:hAnsi="Arial" w:cs="Arial"/>
          <w:sz w:val="18"/>
          <w:szCs w:val="18"/>
        </w:rPr>
      </w:pPr>
    </w:p>
    <w:p w:rsidR="00F0316B" w:rsidRDefault="008B6DB2" w:rsidP="00B72DCB">
      <w:pPr>
        <w:autoSpaceDE w:val="0"/>
        <w:autoSpaceDN w:val="0"/>
        <w:adjustRightInd w:val="0"/>
        <w:spacing w:after="0"/>
        <w:jc w:val="both"/>
        <w:rPr>
          <w:rFonts w:ascii="Arial" w:hAnsi="Arial" w:cs="Arial"/>
          <w:sz w:val="18"/>
          <w:szCs w:val="18"/>
        </w:rPr>
      </w:pPr>
      <w:r>
        <w:rPr>
          <w:rFonts w:ascii="Arial" w:hAnsi="Arial" w:cs="Arial"/>
          <w:sz w:val="18"/>
          <w:szCs w:val="18"/>
        </w:rPr>
        <w:t>The treatment of patients is focused on dietary modification using low-viscosity test fibres and controlling the blood glucose levels in patients with diabetes through the use of prokinetic and anti</w:t>
      </w:r>
      <w:r w:rsidR="00927454">
        <w:rPr>
          <w:rFonts w:ascii="Arial" w:hAnsi="Arial" w:cs="Arial"/>
          <w:sz w:val="18"/>
          <w:szCs w:val="18"/>
        </w:rPr>
        <w:t>e</w:t>
      </w:r>
      <w:r>
        <w:rPr>
          <w:rFonts w:ascii="Arial" w:hAnsi="Arial" w:cs="Arial"/>
          <w:sz w:val="18"/>
          <w:szCs w:val="18"/>
        </w:rPr>
        <w:t>metic agents alone or in combination. The viscosometric properties of the test fibres will be measured using rheometry.</w:t>
      </w:r>
      <w:r w:rsidR="003A2F3A">
        <w:rPr>
          <w:rFonts w:ascii="Arial" w:hAnsi="Arial" w:cs="Arial"/>
          <w:sz w:val="18"/>
          <w:szCs w:val="18"/>
        </w:rPr>
        <w:t xml:space="preserve"> The chemical properties of the fibres will be studied using mass spectrometry and </w:t>
      </w:r>
      <w:r w:rsidR="002049D3">
        <w:rPr>
          <w:rFonts w:ascii="Arial" w:hAnsi="Arial" w:cs="Arial"/>
          <w:sz w:val="18"/>
          <w:szCs w:val="18"/>
        </w:rPr>
        <w:t>2-dimentional nuclear magnetic resonance spectroscopy (</w:t>
      </w:r>
      <w:r w:rsidR="003A2F3A">
        <w:rPr>
          <w:rFonts w:ascii="Arial" w:hAnsi="Arial" w:cs="Arial"/>
          <w:sz w:val="18"/>
          <w:szCs w:val="18"/>
        </w:rPr>
        <w:t>2D NMR</w:t>
      </w:r>
      <w:r w:rsidR="002049D3">
        <w:rPr>
          <w:rFonts w:ascii="Arial" w:hAnsi="Arial" w:cs="Arial"/>
          <w:sz w:val="18"/>
          <w:szCs w:val="18"/>
        </w:rPr>
        <w:t>)</w:t>
      </w:r>
      <w:r w:rsidR="003A2F3A">
        <w:rPr>
          <w:rFonts w:ascii="Arial" w:hAnsi="Arial" w:cs="Arial"/>
          <w:sz w:val="18"/>
          <w:szCs w:val="18"/>
        </w:rPr>
        <w:t>.</w:t>
      </w:r>
      <w:r>
        <w:rPr>
          <w:rFonts w:ascii="Arial" w:hAnsi="Arial" w:cs="Arial"/>
          <w:sz w:val="18"/>
          <w:szCs w:val="18"/>
        </w:rPr>
        <w:t xml:space="preserve"> Unsuitable high-viscosity fibres will be phased out as candidates for the clinical trial and the most promising low-viscosity fibres will be selected for the clinical trial.</w:t>
      </w:r>
    </w:p>
    <w:p w:rsidR="008B6DB2" w:rsidRPr="00B7071C" w:rsidRDefault="008B6DB2" w:rsidP="00F0316B">
      <w:pPr>
        <w:autoSpaceDE w:val="0"/>
        <w:autoSpaceDN w:val="0"/>
        <w:adjustRightInd w:val="0"/>
        <w:spacing w:after="0" w:line="240" w:lineRule="auto"/>
        <w:jc w:val="both"/>
        <w:rPr>
          <w:rFonts w:ascii="Arial" w:hAnsi="Arial" w:cs="Arial"/>
          <w:b/>
          <w:sz w:val="18"/>
          <w:szCs w:val="18"/>
        </w:rPr>
      </w:pPr>
    </w:p>
    <w:p w:rsidR="00F0316B" w:rsidRPr="00B7071C" w:rsidRDefault="00F0316B" w:rsidP="00F0316B">
      <w:pPr>
        <w:autoSpaceDE w:val="0"/>
        <w:autoSpaceDN w:val="0"/>
        <w:adjustRightInd w:val="0"/>
        <w:spacing w:after="0" w:line="240" w:lineRule="auto"/>
        <w:jc w:val="both"/>
        <w:rPr>
          <w:rFonts w:ascii="Arial" w:hAnsi="Arial" w:cs="Arial"/>
          <w:b/>
          <w:sz w:val="18"/>
          <w:szCs w:val="18"/>
        </w:rPr>
      </w:pPr>
      <w:r w:rsidRPr="00B7071C">
        <w:rPr>
          <w:rFonts w:ascii="Arial" w:hAnsi="Arial" w:cs="Arial"/>
          <w:b/>
          <w:sz w:val="18"/>
          <w:szCs w:val="18"/>
        </w:rPr>
        <w:t>Objective:</w:t>
      </w:r>
    </w:p>
    <w:p w:rsidR="00F0316B" w:rsidRPr="00B7071C" w:rsidRDefault="008B6DB2" w:rsidP="00B72DCB">
      <w:pPr>
        <w:autoSpaceDE w:val="0"/>
        <w:autoSpaceDN w:val="0"/>
        <w:adjustRightInd w:val="0"/>
        <w:spacing w:after="0"/>
        <w:jc w:val="both"/>
        <w:rPr>
          <w:rFonts w:ascii="Arial" w:hAnsi="Arial" w:cs="Arial"/>
          <w:sz w:val="18"/>
          <w:szCs w:val="18"/>
        </w:rPr>
      </w:pPr>
      <w:r>
        <w:rPr>
          <w:rFonts w:ascii="Arial" w:hAnsi="Arial" w:cs="Arial"/>
          <w:sz w:val="18"/>
          <w:szCs w:val="18"/>
        </w:rPr>
        <w:t xml:space="preserve">To discover whether the consumption </w:t>
      </w:r>
      <w:r w:rsidR="00B72DCB">
        <w:rPr>
          <w:rFonts w:ascii="Arial" w:hAnsi="Arial" w:cs="Arial"/>
          <w:sz w:val="18"/>
          <w:szCs w:val="18"/>
        </w:rPr>
        <w:t xml:space="preserve">of </w:t>
      </w:r>
      <w:r>
        <w:rPr>
          <w:rFonts w:ascii="Arial" w:hAnsi="Arial" w:cs="Arial"/>
          <w:sz w:val="18"/>
          <w:szCs w:val="18"/>
        </w:rPr>
        <w:t xml:space="preserve">low-viscosity dietary fibres by gastroparesis patients can lead to symptom relief and which among those selected dietary fibres are the most promising for recommendation for </w:t>
      </w:r>
      <w:r w:rsidR="00B72DCB">
        <w:rPr>
          <w:rFonts w:ascii="Arial" w:hAnsi="Arial" w:cs="Arial"/>
          <w:sz w:val="18"/>
          <w:szCs w:val="18"/>
        </w:rPr>
        <w:t xml:space="preserve">symptom </w:t>
      </w:r>
      <w:r>
        <w:rPr>
          <w:rFonts w:ascii="Arial" w:hAnsi="Arial" w:cs="Arial"/>
          <w:sz w:val="18"/>
          <w:szCs w:val="18"/>
        </w:rPr>
        <w:t>treatment.</w:t>
      </w:r>
      <w:r w:rsidR="00F0316B" w:rsidRPr="00B7071C">
        <w:rPr>
          <w:rFonts w:ascii="Arial" w:hAnsi="Arial" w:cs="Arial"/>
          <w:sz w:val="18"/>
          <w:szCs w:val="18"/>
        </w:rPr>
        <w:t xml:space="preserve"> </w:t>
      </w:r>
    </w:p>
    <w:p w:rsidR="00F0316B" w:rsidRPr="00B7071C" w:rsidRDefault="00F0316B" w:rsidP="00F0316B">
      <w:pPr>
        <w:autoSpaceDE w:val="0"/>
        <w:autoSpaceDN w:val="0"/>
        <w:adjustRightInd w:val="0"/>
        <w:spacing w:after="0" w:line="240" w:lineRule="auto"/>
        <w:jc w:val="both"/>
        <w:rPr>
          <w:rFonts w:ascii="Arial" w:hAnsi="Arial" w:cs="Arial"/>
          <w:sz w:val="18"/>
          <w:szCs w:val="18"/>
        </w:rPr>
      </w:pPr>
    </w:p>
    <w:p w:rsidR="00F0316B" w:rsidRPr="00B7071C" w:rsidRDefault="00F0316B" w:rsidP="00F0316B">
      <w:pPr>
        <w:autoSpaceDE w:val="0"/>
        <w:autoSpaceDN w:val="0"/>
        <w:adjustRightInd w:val="0"/>
        <w:spacing w:after="0" w:line="240" w:lineRule="auto"/>
        <w:jc w:val="both"/>
        <w:rPr>
          <w:rFonts w:ascii="Arial" w:hAnsi="Arial" w:cs="Arial"/>
          <w:b/>
          <w:sz w:val="18"/>
          <w:szCs w:val="18"/>
        </w:rPr>
      </w:pPr>
      <w:r w:rsidRPr="00B7071C">
        <w:rPr>
          <w:rFonts w:ascii="Arial" w:hAnsi="Arial" w:cs="Arial"/>
          <w:b/>
          <w:sz w:val="18"/>
          <w:szCs w:val="18"/>
        </w:rPr>
        <w:t>Study plan:</w:t>
      </w:r>
    </w:p>
    <w:p w:rsidR="00F0316B" w:rsidRPr="00B7071C" w:rsidRDefault="00F0316B" w:rsidP="00B72DCB">
      <w:pPr>
        <w:autoSpaceDE w:val="0"/>
        <w:autoSpaceDN w:val="0"/>
        <w:adjustRightInd w:val="0"/>
        <w:spacing w:after="0"/>
        <w:jc w:val="both"/>
        <w:rPr>
          <w:rFonts w:ascii="Arial" w:hAnsi="Arial" w:cs="Arial"/>
          <w:sz w:val="18"/>
          <w:szCs w:val="18"/>
        </w:rPr>
      </w:pPr>
      <w:r w:rsidRPr="00B7071C">
        <w:rPr>
          <w:rFonts w:ascii="Arial" w:hAnsi="Arial" w:cs="Arial"/>
          <w:sz w:val="18"/>
          <w:szCs w:val="18"/>
        </w:rPr>
        <w:t>The project design utilises routine</w:t>
      </w:r>
      <w:r w:rsidR="00EB2E97">
        <w:rPr>
          <w:rFonts w:ascii="Arial" w:hAnsi="Arial" w:cs="Arial"/>
          <w:sz w:val="18"/>
          <w:szCs w:val="18"/>
        </w:rPr>
        <w:t xml:space="preserve"> blood glucose measurements collected from</w:t>
      </w:r>
      <w:r w:rsidRPr="00B7071C">
        <w:rPr>
          <w:rFonts w:ascii="Arial" w:hAnsi="Arial" w:cs="Arial"/>
          <w:sz w:val="18"/>
          <w:szCs w:val="18"/>
        </w:rPr>
        <w:t xml:space="preserve"> </w:t>
      </w:r>
      <w:r w:rsidR="00EB2E97">
        <w:rPr>
          <w:rFonts w:ascii="Arial" w:hAnsi="Arial" w:cs="Arial"/>
          <w:sz w:val="18"/>
          <w:szCs w:val="18"/>
        </w:rPr>
        <w:t xml:space="preserve">the gastroparesis patients using three different test fibres one control sample consisting of water. </w:t>
      </w:r>
      <w:r w:rsidR="00B72DCB">
        <w:rPr>
          <w:rFonts w:ascii="Arial" w:hAnsi="Arial" w:cs="Arial"/>
          <w:sz w:val="18"/>
          <w:szCs w:val="18"/>
        </w:rPr>
        <w:t>The mouth-to-caecum transit time will also be measured using a H</w:t>
      </w:r>
      <w:r w:rsidR="00B72DCB" w:rsidRPr="00B72DCB">
        <w:rPr>
          <w:rFonts w:ascii="Arial" w:hAnsi="Arial" w:cs="Arial"/>
          <w:sz w:val="18"/>
          <w:szCs w:val="18"/>
          <w:vertAlign w:val="subscript"/>
        </w:rPr>
        <w:t>2</w:t>
      </w:r>
      <w:r w:rsidR="00B72DCB">
        <w:rPr>
          <w:rFonts w:ascii="Arial" w:hAnsi="Arial" w:cs="Arial"/>
          <w:sz w:val="18"/>
          <w:szCs w:val="18"/>
        </w:rPr>
        <w:t xml:space="preserve"> measurement probe. </w:t>
      </w:r>
      <w:r w:rsidR="00EB2E97">
        <w:rPr>
          <w:rFonts w:ascii="Arial" w:hAnsi="Arial" w:cs="Arial"/>
          <w:sz w:val="18"/>
          <w:szCs w:val="18"/>
        </w:rPr>
        <w:t>The intent of the clinic</w:t>
      </w:r>
      <w:r w:rsidR="008A4010">
        <w:rPr>
          <w:rFonts w:ascii="Arial" w:hAnsi="Arial" w:cs="Arial"/>
          <w:sz w:val="18"/>
          <w:szCs w:val="18"/>
        </w:rPr>
        <w:t xml:space="preserve">al trial is to determine which low-viscosity dietary fibre </w:t>
      </w:r>
      <w:r w:rsidR="00EB2E97">
        <w:rPr>
          <w:rFonts w:ascii="Arial" w:hAnsi="Arial" w:cs="Arial"/>
          <w:sz w:val="18"/>
          <w:szCs w:val="18"/>
        </w:rPr>
        <w:t>provide</w:t>
      </w:r>
      <w:r w:rsidR="008A4010">
        <w:rPr>
          <w:rFonts w:ascii="Arial" w:hAnsi="Arial" w:cs="Arial"/>
          <w:sz w:val="18"/>
          <w:szCs w:val="18"/>
        </w:rPr>
        <w:t>s</w:t>
      </w:r>
      <w:r w:rsidR="00EB2E97">
        <w:rPr>
          <w:rFonts w:ascii="Arial" w:hAnsi="Arial" w:cs="Arial"/>
          <w:sz w:val="18"/>
          <w:szCs w:val="18"/>
        </w:rPr>
        <w:t xml:space="preserve"> </w:t>
      </w:r>
      <w:r w:rsidR="008A4010">
        <w:rPr>
          <w:rFonts w:ascii="Arial" w:hAnsi="Arial" w:cs="Arial"/>
          <w:sz w:val="18"/>
          <w:szCs w:val="18"/>
        </w:rPr>
        <w:t>the best symptom relief and why it does</w:t>
      </w:r>
      <w:r w:rsidR="00B72DCB">
        <w:rPr>
          <w:rFonts w:ascii="Arial" w:hAnsi="Arial" w:cs="Arial"/>
          <w:sz w:val="18"/>
          <w:szCs w:val="18"/>
        </w:rPr>
        <w:t xml:space="preserve"> so</w:t>
      </w:r>
      <w:r w:rsidR="008A4010">
        <w:rPr>
          <w:rFonts w:ascii="Arial" w:hAnsi="Arial" w:cs="Arial"/>
          <w:sz w:val="18"/>
          <w:szCs w:val="18"/>
        </w:rPr>
        <w:t xml:space="preserve">. </w:t>
      </w:r>
      <w:r w:rsidR="00B72DCB">
        <w:rPr>
          <w:rFonts w:ascii="Arial" w:hAnsi="Arial" w:cs="Arial"/>
          <w:sz w:val="18"/>
          <w:szCs w:val="18"/>
        </w:rPr>
        <w:t>The rheological properties</w:t>
      </w:r>
      <w:r w:rsidR="008A4010">
        <w:rPr>
          <w:rFonts w:ascii="Arial" w:hAnsi="Arial" w:cs="Arial"/>
          <w:sz w:val="18"/>
          <w:szCs w:val="18"/>
        </w:rPr>
        <w:t xml:space="preserve"> of each test fibre will be studied and characterised in detail. Further, the percentage composition</w:t>
      </w:r>
      <w:r w:rsidR="00B72DCB">
        <w:rPr>
          <w:rFonts w:ascii="Arial" w:hAnsi="Arial" w:cs="Arial"/>
          <w:sz w:val="18"/>
          <w:szCs w:val="18"/>
        </w:rPr>
        <w:t xml:space="preserve"> and size</w:t>
      </w:r>
      <w:r w:rsidR="008A4010">
        <w:rPr>
          <w:rFonts w:ascii="Arial" w:hAnsi="Arial" w:cs="Arial"/>
          <w:sz w:val="18"/>
          <w:szCs w:val="18"/>
        </w:rPr>
        <w:t xml:space="preserve"> of sugar units in each fibre such as mannose, dextrose and other fibre-specific sugars will be calculated using refracti</w:t>
      </w:r>
      <w:r w:rsidR="00865E8A">
        <w:rPr>
          <w:rFonts w:ascii="Arial" w:hAnsi="Arial" w:cs="Arial"/>
          <w:sz w:val="18"/>
          <w:szCs w:val="18"/>
        </w:rPr>
        <w:t>ve-index chromatography and Q-To</w:t>
      </w:r>
      <w:r w:rsidR="008A4010">
        <w:rPr>
          <w:rFonts w:ascii="Arial" w:hAnsi="Arial" w:cs="Arial"/>
          <w:sz w:val="18"/>
          <w:szCs w:val="18"/>
        </w:rPr>
        <w:t>F mass spectrometry. The structure of the fibres and its</w:t>
      </w:r>
      <w:r w:rsidR="00B72DCB">
        <w:rPr>
          <w:rFonts w:ascii="Arial" w:hAnsi="Arial" w:cs="Arial"/>
          <w:sz w:val="18"/>
          <w:szCs w:val="18"/>
        </w:rPr>
        <w:t xml:space="preserve"> repeating</w:t>
      </w:r>
      <w:r w:rsidR="008A4010">
        <w:rPr>
          <w:rFonts w:ascii="Arial" w:hAnsi="Arial" w:cs="Arial"/>
          <w:sz w:val="18"/>
          <w:szCs w:val="18"/>
        </w:rPr>
        <w:t xml:space="preserve"> sugar units will be characterised using 2D NMR if possible. Using statistical analysis and collating data from all these approaches we hope to provide as much information as possible for clinical practitioners who wish to alleviate gastroparesis symptoms using dietary fibres in the future.</w:t>
      </w:r>
      <w:r w:rsidRPr="00B7071C">
        <w:rPr>
          <w:rFonts w:ascii="Arial" w:hAnsi="Arial" w:cs="Arial"/>
          <w:sz w:val="18"/>
          <w:szCs w:val="18"/>
        </w:rPr>
        <w:t xml:space="preserve">  </w:t>
      </w:r>
    </w:p>
    <w:p w:rsidR="00B7071C" w:rsidRDefault="00B7071C" w:rsidP="00B7071C">
      <w:pPr>
        <w:spacing w:after="0"/>
        <w:jc w:val="both"/>
        <w:rPr>
          <w:rFonts w:ascii="Arial" w:hAnsi="Arial" w:cs="Arial"/>
          <w:b/>
          <w:sz w:val="18"/>
          <w:szCs w:val="18"/>
        </w:rPr>
      </w:pPr>
    </w:p>
    <w:p w:rsidR="00791164" w:rsidRDefault="00791164" w:rsidP="00B7071C">
      <w:pPr>
        <w:spacing w:after="0"/>
        <w:jc w:val="both"/>
        <w:rPr>
          <w:rFonts w:ascii="Arial" w:hAnsi="Arial" w:cs="Arial"/>
          <w:b/>
          <w:sz w:val="18"/>
          <w:szCs w:val="18"/>
        </w:rPr>
      </w:pPr>
    </w:p>
    <w:p w:rsidR="00791164" w:rsidRDefault="00791164" w:rsidP="00B7071C">
      <w:pPr>
        <w:spacing w:after="0"/>
        <w:jc w:val="both"/>
        <w:rPr>
          <w:rFonts w:ascii="Arial" w:hAnsi="Arial" w:cs="Arial"/>
          <w:b/>
          <w:sz w:val="18"/>
          <w:szCs w:val="18"/>
        </w:rPr>
      </w:pPr>
    </w:p>
    <w:p w:rsidR="00791164" w:rsidRDefault="00791164" w:rsidP="00B7071C">
      <w:pPr>
        <w:spacing w:after="0"/>
        <w:jc w:val="both"/>
        <w:rPr>
          <w:rFonts w:ascii="Arial" w:hAnsi="Arial" w:cs="Arial"/>
          <w:b/>
          <w:sz w:val="18"/>
          <w:szCs w:val="18"/>
        </w:rPr>
      </w:pPr>
    </w:p>
    <w:p w:rsidR="00791164" w:rsidRDefault="00791164" w:rsidP="00B7071C">
      <w:pPr>
        <w:spacing w:after="0"/>
        <w:jc w:val="both"/>
        <w:rPr>
          <w:rFonts w:ascii="Arial" w:hAnsi="Arial" w:cs="Arial"/>
          <w:b/>
          <w:sz w:val="18"/>
          <w:szCs w:val="18"/>
        </w:rPr>
      </w:pPr>
    </w:p>
    <w:p w:rsidR="00791164" w:rsidRDefault="00791164" w:rsidP="00B7071C">
      <w:pPr>
        <w:spacing w:after="0"/>
        <w:jc w:val="both"/>
        <w:rPr>
          <w:rFonts w:ascii="Arial" w:hAnsi="Arial" w:cs="Arial"/>
          <w:b/>
          <w:sz w:val="18"/>
          <w:szCs w:val="18"/>
        </w:rPr>
      </w:pPr>
    </w:p>
    <w:p w:rsidR="00E977B8" w:rsidRPr="00B7071C" w:rsidRDefault="00E977B8" w:rsidP="00B7071C">
      <w:pPr>
        <w:spacing w:after="0"/>
        <w:jc w:val="both"/>
        <w:rPr>
          <w:rFonts w:ascii="Arial" w:hAnsi="Arial" w:cs="Arial"/>
          <w:b/>
          <w:sz w:val="18"/>
          <w:szCs w:val="18"/>
        </w:rPr>
      </w:pPr>
      <w:r w:rsidRPr="00B7071C">
        <w:rPr>
          <w:rFonts w:ascii="Arial" w:hAnsi="Arial" w:cs="Arial"/>
          <w:b/>
          <w:sz w:val="18"/>
          <w:szCs w:val="18"/>
        </w:rPr>
        <w:lastRenderedPageBreak/>
        <w:t>3. RATIONAL</w:t>
      </w:r>
      <w:r w:rsidR="00EF4A24">
        <w:rPr>
          <w:rFonts w:ascii="Arial" w:hAnsi="Arial" w:cs="Arial"/>
          <w:b/>
          <w:sz w:val="18"/>
          <w:szCs w:val="18"/>
        </w:rPr>
        <w:t>E</w:t>
      </w:r>
      <w:r w:rsidRPr="00B7071C">
        <w:rPr>
          <w:rFonts w:ascii="Arial" w:hAnsi="Arial" w:cs="Arial"/>
          <w:b/>
          <w:sz w:val="18"/>
          <w:szCs w:val="18"/>
        </w:rPr>
        <w:t>/BACKGROUND</w:t>
      </w:r>
    </w:p>
    <w:p w:rsidR="00B7071C" w:rsidRPr="00B7071C" w:rsidRDefault="00B7071C" w:rsidP="00B7071C">
      <w:pPr>
        <w:spacing w:after="0"/>
        <w:jc w:val="both"/>
        <w:rPr>
          <w:rFonts w:ascii="Arial" w:hAnsi="Arial" w:cs="Arial"/>
          <w:b/>
          <w:sz w:val="18"/>
          <w:szCs w:val="18"/>
        </w:rPr>
      </w:pPr>
    </w:p>
    <w:p w:rsidR="00927454" w:rsidRDefault="00927454" w:rsidP="00F96EE5">
      <w:pPr>
        <w:shd w:val="clear" w:color="auto" w:fill="FFFFFF" w:themeFill="background1"/>
        <w:jc w:val="both"/>
        <w:rPr>
          <w:rFonts w:ascii="Arial" w:hAnsi="Arial" w:cs="Arial"/>
          <w:sz w:val="18"/>
          <w:szCs w:val="18"/>
        </w:rPr>
      </w:pPr>
      <w:r>
        <w:rPr>
          <w:rFonts w:ascii="Arial" w:hAnsi="Arial" w:cs="Arial"/>
          <w:sz w:val="18"/>
          <w:szCs w:val="18"/>
        </w:rPr>
        <w:t xml:space="preserve">The most common sufferers are young adults, with the majority of them being women. </w:t>
      </w:r>
      <w:r w:rsidR="00B72DCB">
        <w:rPr>
          <w:rFonts w:ascii="Arial" w:hAnsi="Arial" w:cs="Arial"/>
          <w:sz w:val="18"/>
          <w:szCs w:val="18"/>
        </w:rPr>
        <w:t xml:space="preserve">People are known to suffer postviral gastroparesis, but there is a low level of evidence for this being the cause </w:t>
      </w:r>
      <w:r w:rsidR="00654115" w:rsidRPr="00654115">
        <w:rPr>
          <w:rFonts w:ascii="Arial" w:hAnsi="Arial" w:cs="Arial"/>
          <w:b/>
          <w:sz w:val="18"/>
          <w:szCs w:val="18"/>
          <w:vertAlign w:val="superscript"/>
        </w:rPr>
        <w:t>[1, 2]</w:t>
      </w:r>
      <w:r w:rsidR="00B72DCB">
        <w:rPr>
          <w:rFonts w:ascii="Arial" w:hAnsi="Arial" w:cs="Arial"/>
          <w:sz w:val="18"/>
          <w:szCs w:val="18"/>
        </w:rPr>
        <w:t xml:space="preserve">. </w:t>
      </w:r>
      <w:r w:rsidR="00B04A15">
        <w:rPr>
          <w:rFonts w:ascii="Arial" w:hAnsi="Arial" w:cs="Arial"/>
          <w:sz w:val="18"/>
          <w:szCs w:val="18"/>
        </w:rPr>
        <w:t>Gastroparesis is also known to aggravate gastroesophageal reflux disease (GERD)</w:t>
      </w:r>
      <w:r w:rsidR="000B4227">
        <w:rPr>
          <w:rFonts w:ascii="Arial" w:hAnsi="Arial" w:cs="Arial"/>
          <w:sz w:val="18"/>
          <w:szCs w:val="18"/>
        </w:rPr>
        <w:t xml:space="preserve"> </w:t>
      </w:r>
      <w:r w:rsidR="00966B88" w:rsidRPr="00966B88">
        <w:rPr>
          <w:rFonts w:ascii="Arial" w:hAnsi="Arial" w:cs="Arial"/>
          <w:b/>
          <w:sz w:val="18"/>
          <w:szCs w:val="18"/>
          <w:vertAlign w:val="superscript"/>
        </w:rPr>
        <w:t>[1]</w:t>
      </w:r>
      <w:r w:rsidR="00B04A15">
        <w:rPr>
          <w:rFonts w:ascii="Arial" w:hAnsi="Arial" w:cs="Arial"/>
          <w:sz w:val="18"/>
          <w:szCs w:val="18"/>
        </w:rPr>
        <w:t xml:space="preserve">. </w:t>
      </w:r>
      <w:r>
        <w:rPr>
          <w:rFonts w:ascii="Arial" w:hAnsi="Arial" w:cs="Arial"/>
          <w:sz w:val="18"/>
          <w:szCs w:val="18"/>
        </w:rPr>
        <w:t xml:space="preserve">Gastroparesis is known to cause </w:t>
      </w:r>
      <w:r w:rsidR="000B4227">
        <w:rPr>
          <w:rFonts w:ascii="Arial" w:hAnsi="Arial" w:cs="Arial"/>
          <w:sz w:val="18"/>
          <w:szCs w:val="18"/>
        </w:rPr>
        <w:t xml:space="preserve">delayed gastric emptying, </w:t>
      </w:r>
      <w:r>
        <w:rPr>
          <w:rFonts w:ascii="Arial" w:hAnsi="Arial" w:cs="Arial"/>
          <w:sz w:val="18"/>
          <w:szCs w:val="18"/>
        </w:rPr>
        <w:t xml:space="preserve">nausea, vomiting, stomach fullness, bloating and loss of appetite. Due to these chronic symptoms, the day-to-day well-being and productivity of the sufferers is significantly affected. </w:t>
      </w:r>
    </w:p>
    <w:p w:rsidR="00927454" w:rsidRDefault="00927454" w:rsidP="00791164">
      <w:pPr>
        <w:shd w:val="clear" w:color="auto" w:fill="FFFFFF" w:themeFill="background1"/>
        <w:jc w:val="both"/>
        <w:rPr>
          <w:rFonts w:ascii="Arial" w:hAnsi="Arial" w:cs="Arial"/>
          <w:sz w:val="18"/>
          <w:szCs w:val="18"/>
        </w:rPr>
      </w:pPr>
      <w:r>
        <w:rPr>
          <w:rFonts w:ascii="Arial" w:hAnsi="Arial" w:cs="Arial"/>
          <w:sz w:val="18"/>
          <w:szCs w:val="18"/>
        </w:rPr>
        <w:t>Currently there is no known cure for gastroparesis and the best</w:t>
      </w:r>
      <w:r w:rsidR="0014159B">
        <w:rPr>
          <w:rFonts w:ascii="Arial" w:hAnsi="Arial" w:cs="Arial"/>
          <w:sz w:val="18"/>
          <w:szCs w:val="18"/>
        </w:rPr>
        <w:t xml:space="preserve"> relief</w:t>
      </w:r>
      <w:r>
        <w:rPr>
          <w:rFonts w:ascii="Arial" w:hAnsi="Arial" w:cs="Arial"/>
          <w:sz w:val="18"/>
          <w:szCs w:val="18"/>
        </w:rPr>
        <w:t xml:space="preserve"> that any sufferer can look forward to </w:t>
      </w:r>
      <w:r w:rsidR="0014159B">
        <w:rPr>
          <w:rFonts w:ascii="Arial" w:hAnsi="Arial" w:cs="Arial"/>
          <w:sz w:val="18"/>
          <w:szCs w:val="18"/>
        </w:rPr>
        <w:t>is using gastric electric simulation (GES) and metoclopramide, which does not adequately address any day-today clinical needs. Antiemetics are also used by practitioners in order to alleviate symptoms such as nausea and vomiting. Unapproved medications include erythromycin and domperidone for short-term relief</w:t>
      </w:r>
      <w:r w:rsidR="00966B88">
        <w:rPr>
          <w:rFonts w:ascii="Arial" w:hAnsi="Arial" w:cs="Arial"/>
          <w:sz w:val="18"/>
          <w:szCs w:val="18"/>
        </w:rPr>
        <w:t xml:space="preserve"> </w:t>
      </w:r>
      <w:r w:rsidR="00966B88" w:rsidRPr="00966B88">
        <w:rPr>
          <w:rFonts w:ascii="Arial" w:hAnsi="Arial" w:cs="Arial"/>
          <w:b/>
          <w:sz w:val="18"/>
          <w:szCs w:val="18"/>
          <w:vertAlign w:val="superscript"/>
        </w:rPr>
        <w:t>[1]</w:t>
      </w:r>
      <w:r w:rsidR="0014159B">
        <w:rPr>
          <w:rFonts w:ascii="Arial" w:hAnsi="Arial" w:cs="Arial"/>
          <w:sz w:val="18"/>
          <w:szCs w:val="18"/>
        </w:rPr>
        <w:t xml:space="preserve">. </w:t>
      </w:r>
    </w:p>
    <w:p w:rsidR="0014159B" w:rsidRDefault="00026578" w:rsidP="00791164">
      <w:pPr>
        <w:shd w:val="clear" w:color="auto" w:fill="FFFFFF" w:themeFill="background1"/>
        <w:jc w:val="both"/>
        <w:rPr>
          <w:rFonts w:ascii="Arial" w:hAnsi="Arial" w:cs="Arial"/>
          <w:sz w:val="18"/>
          <w:szCs w:val="18"/>
        </w:rPr>
      </w:pPr>
      <w:r>
        <w:rPr>
          <w:rFonts w:ascii="Arial" w:hAnsi="Arial" w:cs="Arial"/>
          <w:sz w:val="18"/>
          <w:szCs w:val="18"/>
        </w:rPr>
        <w:t>There are many medications used to treat gastroparesis symptoms and delayed gastric emptying but they often come with harmful side effects. There is moderate level of evidence that uncontrolled glucose levels (&gt;200 mg/dl) can lead to aggravation of gastroparesis symptoms</w:t>
      </w:r>
      <w:r w:rsidR="000B4227">
        <w:rPr>
          <w:rFonts w:ascii="Arial" w:hAnsi="Arial" w:cs="Arial"/>
          <w:sz w:val="18"/>
          <w:szCs w:val="18"/>
        </w:rPr>
        <w:t xml:space="preserve"> </w:t>
      </w:r>
      <w:r w:rsidR="00876C61" w:rsidRPr="00876C61">
        <w:rPr>
          <w:rFonts w:ascii="Arial" w:hAnsi="Arial" w:cs="Arial"/>
          <w:b/>
          <w:sz w:val="18"/>
          <w:szCs w:val="18"/>
          <w:vertAlign w:val="superscript"/>
        </w:rPr>
        <w:t>[3]</w:t>
      </w:r>
      <w:r>
        <w:rPr>
          <w:rFonts w:ascii="Arial" w:hAnsi="Arial" w:cs="Arial"/>
          <w:sz w:val="18"/>
          <w:szCs w:val="18"/>
        </w:rPr>
        <w:t xml:space="preserve">. Glycemic control for the treatment of gastroparesis symptoms through dietary modification using low-viscosity soluble fibres has not been attempted before. This approach is less harmful on the body than </w:t>
      </w:r>
      <w:r w:rsidR="00026D86">
        <w:rPr>
          <w:rFonts w:ascii="Arial" w:hAnsi="Arial" w:cs="Arial"/>
          <w:sz w:val="18"/>
          <w:szCs w:val="18"/>
        </w:rPr>
        <w:t xml:space="preserve">prescriptions and symptoms can be managed in a day-today basis. </w:t>
      </w:r>
    </w:p>
    <w:p w:rsidR="00480C5E" w:rsidRDefault="00026D86" w:rsidP="00791164">
      <w:pPr>
        <w:shd w:val="clear" w:color="auto" w:fill="FFFFFF" w:themeFill="background1"/>
        <w:jc w:val="both"/>
        <w:rPr>
          <w:rFonts w:ascii="Arial" w:hAnsi="Arial" w:cs="Arial"/>
          <w:sz w:val="18"/>
          <w:szCs w:val="18"/>
        </w:rPr>
      </w:pPr>
      <w:r>
        <w:rPr>
          <w:rFonts w:ascii="Arial" w:hAnsi="Arial" w:cs="Arial"/>
          <w:sz w:val="18"/>
          <w:szCs w:val="18"/>
        </w:rPr>
        <w:t>The test fibres included in the study are guar gum, partially hydrolysed guar gum</w:t>
      </w:r>
      <w:r w:rsidR="00480C5E">
        <w:rPr>
          <w:rFonts w:ascii="Arial" w:hAnsi="Arial" w:cs="Arial"/>
          <w:sz w:val="18"/>
          <w:szCs w:val="18"/>
        </w:rPr>
        <w:t xml:space="preserve"> (PHGG)</w:t>
      </w:r>
      <w:r>
        <w:rPr>
          <w:rFonts w:ascii="Arial" w:hAnsi="Arial" w:cs="Arial"/>
          <w:sz w:val="18"/>
          <w:szCs w:val="18"/>
        </w:rPr>
        <w:t>, psyllium husk, oat bran and Arabica gum. These fibres have been commonly used in the treatment of delayed gastric emptying, constipation and irritable bowel syndrome (IBS)</w:t>
      </w:r>
      <w:r w:rsidR="00A4733C">
        <w:rPr>
          <w:rFonts w:ascii="Arial" w:hAnsi="Arial" w:cs="Arial"/>
          <w:sz w:val="18"/>
          <w:szCs w:val="18"/>
        </w:rPr>
        <w:t xml:space="preserve"> </w:t>
      </w:r>
      <w:r w:rsidR="009E3F8F" w:rsidRPr="009E3F8F">
        <w:rPr>
          <w:rFonts w:ascii="Arial" w:hAnsi="Arial" w:cs="Arial"/>
          <w:b/>
          <w:sz w:val="18"/>
          <w:szCs w:val="18"/>
          <w:vertAlign w:val="superscript"/>
        </w:rPr>
        <w:t>[3, 4, 5]</w:t>
      </w:r>
      <w:r>
        <w:rPr>
          <w:rFonts w:ascii="Arial" w:hAnsi="Arial" w:cs="Arial"/>
          <w:sz w:val="18"/>
          <w:szCs w:val="18"/>
        </w:rPr>
        <w:t>. Fibres such as oat bran and psyllium husk have been used in the treatment of hypercholesterolaemia through glycemic control</w:t>
      </w:r>
      <w:r w:rsidR="00A4733C">
        <w:rPr>
          <w:rFonts w:ascii="Arial" w:hAnsi="Arial" w:cs="Arial"/>
          <w:sz w:val="18"/>
          <w:szCs w:val="18"/>
        </w:rPr>
        <w:t xml:space="preserve"> </w:t>
      </w:r>
      <w:r w:rsidR="00D50AEA" w:rsidRPr="00D50AEA">
        <w:rPr>
          <w:rFonts w:ascii="Arial" w:hAnsi="Arial" w:cs="Arial"/>
          <w:b/>
          <w:sz w:val="18"/>
          <w:szCs w:val="18"/>
          <w:vertAlign w:val="superscript"/>
        </w:rPr>
        <w:t>[</w:t>
      </w:r>
      <w:r w:rsidR="004544A9">
        <w:rPr>
          <w:rFonts w:ascii="Arial" w:hAnsi="Arial" w:cs="Arial"/>
          <w:b/>
          <w:sz w:val="18"/>
          <w:szCs w:val="18"/>
          <w:vertAlign w:val="superscript"/>
        </w:rPr>
        <w:t>6</w:t>
      </w:r>
      <w:r w:rsidR="00D50AEA" w:rsidRPr="00D50AEA">
        <w:rPr>
          <w:rFonts w:ascii="Arial" w:hAnsi="Arial" w:cs="Arial"/>
          <w:b/>
          <w:sz w:val="18"/>
          <w:szCs w:val="18"/>
          <w:vertAlign w:val="superscript"/>
        </w:rPr>
        <w:t xml:space="preserve">, </w:t>
      </w:r>
      <w:r w:rsidR="004544A9">
        <w:rPr>
          <w:rFonts w:ascii="Arial" w:hAnsi="Arial" w:cs="Arial"/>
          <w:b/>
          <w:sz w:val="18"/>
          <w:szCs w:val="18"/>
          <w:vertAlign w:val="superscript"/>
        </w:rPr>
        <w:t>7</w:t>
      </w:r>
      <w:r w:rsidR="00D50AEA" w:rsidRPr="00D50AEA">
        <w:rPr>
          <w:rFonts w:ascii="Arial" w:hAnsi="Arial" w:cs="Arial"/>
          <w:b/>
          <w:sz w:val="18"/>
          <w:szCs w:val="18"/>
          <w:vertAlign w:val="superscript"/>
        </w:rPr>
        <w:t>]</w:t>
      </w:r>
      <w:r>
        <w:rPr>
          <w:rFonts w:ascii="Arial" w:hAnsi="Arial" w:cs="Arial"/>
          <w:sz w:val="18"/>
          <w:szCs w:val="18"/>
        </w:rPr>
        <w:t>.</w:t>
      </w:r>
      <w:r w:rsidR="00480C5E">
        <w:rPr>
          <w:rFonts w:ascii="Arial" w:hAnsi="Arial" w:cs="Arial"/>
          <w:sz w:val="18"/>
          <w:szCs w:val="18"/>
        </w:rPr>
        <w:t xml:space="preserve"> Guar gum and partially hydrolysed guar gum have been studie</w:t>
      </w:r>
      <w:r w:rsidR="006315FC">
        <w:rPr>
          <w:rFonts w:ascii="Arial" w:hAnsi="Arial" w:cs="Arial"/>
          <w:sz w:val="18"/>
          <w:szCs w:val="18"/>
        </w:rPr>
        <w:t>d in involving IBS</w:t>
      </w:r>
      <w:r w:rsidR="00480C5E">
        <w:rPr>
          <w:rFonts w:ascii="Arial" w:hAnsi="Arial" w:cs="Arial"/>
          <w:sz w:val="18"/>
          <w:szCs w:val="18"/>
        </w:rPr>
        <w:t xml:space="preserve"> and blood glucose levels in young men</w:t>
      </w:r>
      <w:r w:rsidR="00A4733C">
        <w:rPr>
          <w:rFonts w:ascii="Arial" w:hAnsi="Arial" w:cs="Arial"/>
          <w:sz w:val="18"/>
          <w:szCs w:val="18"/>
        </w:rPr>
        <w:t xml:space="preserve"> </w:t>
      </w:r>
      <w:r w:rsidR="006315FC" w:rsidRPr="006315FC">
        <w:rPr>
          <w:rFonts w:ascii="Arial" w:hAnsi="Arial" w:cs="Arial"/>
          <w:b/>
          <w:sz w:val="18"/>
          <w:szCs w:val="18"/>
          <w:vertAlign w:val="superscript"/>
        </w:rPr>
        <w:t>[8, 9]</w:t>
      </w:r>
      <w:r w:rsidR="00480C5E">
        <w:rPr>
          <w:rFonts w:ascii="Arial" w:hAnsi="Arial" w:cs="Arial"/>
          <w:sz w:val="18"/>
          <w:szCs w:val="18"/>
        </w:rPr>
        <w:t>. Arabica gum has been used in combination with psyllium husk in constipation and incontinence clinical trials with significant effect</w:t>
      </w:r>
      <w:r w:rsidR="00A4733C">
        <w:rPr>
          <w:rFonts w:ascii="Arial" w:hAnsi="Arial" w:cs="Arial"/>
          <w:sz w:val="18"/>
          <w:szCs w:val="18"/>
        </w:rPr>
        <w:t xml:space="preserve"> </w:t>
      </w:r>
      <w:r w:rsidR="006315FC" w:rsidRPr="006315FC">
        <w:rPr>
          <w:rFonts w:ascii="Arial" w:hAnsi="Arial" w:cs="Arial"/>
          <w:b/>
          <w:sz w:val="18"/>
          <w:szCs w:val="18"/>
          <w:vertAlign w:val="superscript"/>
        </w:rPr>
        <w:t>[10]</w:t>
      </w:r>
      <w:r w:rsidR="00480C5E">
        <w:rPr>
          <w:rFonts w:ascii="Arial" w:hAnsi="Arial" w:cs="Arial"/>
          <w:sz w:val="18"/>
          <w:szCs w:val="18"/>
        </w:rPr>
        <w:t>.</w:t>
      </w:r>
    </w:p>
    <w:p w:rsidR="00480C5E" w:rsidRDefault="00480C5E" w:rsidP="00791164">
      <w:pPr>
        <w:shd w:val="clear" w:color="auto" w:fill="FFFFFF" w:themeFill="background1"/>
        <w:jc w:val="both"/>
        <w:rPr>
          <w:rFonts w:ascii="Arial" w:hAnsi="Arial" w:cs="Arial"/>
          <w:sz w:val="18"/>
          <w:szCs w:val="18"/>
        </w:rPr>
      </w:pPr>
      <w:r>
        <w:rPr>
          <w:rFonts w:ascii="Arial" w:hAnsi="Arial" w:cs="Arial"/>
          <w:sz w:val="18"/>
          <w:szCs w:val="18"/>
        </w:rPr>
        <w:t xml:space="preserve">While the physiological effects of these dietary fibres are well understood, the chemical and physical properties of the fibres are not well known. The fibres are usually processed plant material and not well standardised. It is important that percentage composition of the sugar units in each fibre is listed in the commercial packaging if they are to be prescribed for gastroparesis patients. To this end, mass spectrometry using refractive index chromatography and Q-ToF </w:t>
      </w:r>
      <w:r w:rsidR="00A4733C">
        <w:rPr>
          <w:rFonts w:ascii="Arial" w:hAnsi="Arial" w:cs="Arial"/>
          <w:sz w:val="18"/>
          <w:szCs w:val="18"/>
        </w:rPr>
        <w:t xml:space="preserve">mass spectrometry </w:t>
      </w:r>
      <w:r>
        <w:rPr>
          <w:rFonts w:ascii="Arial" w:hAnsi="Arial" w:cs="Arial"/>
          <w:sz w:val="18"/>
          <w:szCs w:val="18"/>
        </w:rPr>
        <w:t xml:space="preserve">will be used for </w:t>
      </w:r>
      <w:r w:rsidR="00A4733C">
        <w:rPr>
          <w:rFonts w:ascii="Arial" w:hAnsi="Arial" w:cs="Arial"/>
          <w:sz w:val="18"/>
          <w:szCs w:val="18"/>
        </w:rPr>
        <w:t xml:space="preserve">the </w:t>
      </w:r>
      <w:r>
        <w:rPr>
          <w:rFonts w:ascii="Arial" w:hAnsi="Arial" w:cs="Arial"/>
          <w:sz w:val="18"/>
          <w:szCs w:val="18"/>
        </w:rPr>
        <w:t>standardisation</w:t>
      </w:r>
      <w:r w:rsidR="000D63CA">
        <w:rPr>
          <w:rFonts w:ascii="Arial" w:hAnsi="Arial" w:cs="Arial"/>
          <w:sz w:val="18"/>
          <w:szCs w:val="18"/>
        </w:rPr>
        <w:t xml:space="preserve"> of the fibre unit length in daltons</w:t>
      </w:r>
      <w:r>
        <w:rPr>
          <w:rFonts w:ascii="Arial" w:hAnsi="Arial" w:cs="Arial"/>
          <w:sz w:val="18"/>
          <w:szCs w:val="18"/>
        </w:rPr>
        <w:t xml:space="preserve"> and each method will be properly validated</w:t>
      </w:r>
      <w:r w:rsidR="00A4733C">
        <w:rPr>
          <w:rFonts w:ascii="Arial" w:hAnsi="Arial" w:cs="Arial"/>
          <w:sz w:val="18"/>
          <w:szCs w:val="18"/>
        </w:rPr>
        <w:t xml:space="preserve"> for future use</w:t>
      </w:r>
      <w:r>
        <w:rPr>
          <w:rFonts w:ascii="Arial" w:hAnsi="Arial" w:cs="Arial"/>
          <w:sz w:val="18"/>
          <w:szCs w:val="18"/>
        </w:rPr>
        <w:t xml:space="preserve">. </w:t>
      </w:r>
      <w:r w:rsidR="000D63CA">
        <w:rPr>
          <w:rFonts w:ascii="Arial" w:hAnsi="Arial" w:cs="Arial"/>
          <w:sz w:val="18"/>
          <w:szCs w:val="18"/>
        </w:rPr>
        <w:t xml:space="preserve">2D NMR will be used to elucidate and confirm the structure of each fibre. </w:t>
      </w:r>
    </w:p>
    <w:p w:rsidR="00927454" w:rsidRDefault="00480C5E" w:rsidP="00791164">
      <w:pPr>
        <w:shd w:val="clear" w:color="auto" w:fill="FFFFFF" w:themeFill="background1"/>
        <w:jc w:val="both"/>
        <w:rPr>
          <w:rFonts w:ascii="Arial" w:hAnsi="Arial" w:cs="Arial"/>
          <w:sz w:val="18"/>
          <w:szCs w:val="18"/>
        </w:rPr>
      </w:pPr>
      <w:r>
        <w:rPr>
          <w:rFonts w:ascii="Arial" w:hAnsi="Arial" w:cs="Arial"/>
          <w:sz w:val="18"/>
          <w:szCs w:val="18"/>
        </w:rPr>
        <w:t xml:space="preserve">The </w:t>
      </w:r>
      <w:r w:rsidR="000D63CA">
        <w:rPr>
          <w:rFonts w:ascii="Arial" w:hAnsi="Arial" w:cs="Arial"/>
          <w:sz w:val="18"/>
          <w:szCs w:val="18"/>
        </w:rPr>
        <w:t>rheological</w:t>
      </w:r>
      <w:r>
        <w:rPr>
          <w:rFonts w:ascii="Arial" w:hAnsi="Arial" w:cs="Arial"/>
          <w:sz w:val="18"/>
          <w:szCs w:val="18"/>
        </w:rPr>
        <w:t xml:space="preserve"> properties of the dietary fibres </w:t>
      </w:r>
      <w:r w:rsidR="000D63CA">
        <w:rPr>
          <w:rFonts w:ascii="Arial" w:hAnsi="Arial" w:cs="Arial"/>
          <w:sz w:val="18"/>
          <w:szCs w:val="18"/>
        </w:rPr>
        <w:t xml:space="preserve">will be characterised </w:t>
      </w:r>
      <w:r>
        <w:rPr>
          <w:rFonts w:ascii="Arial" w:hAnsi="Arial" w:cs="Arial"/>
          <w:sz w:val="18"/>
          <w:szCs w:val="18"/>
        </w:rPr>
        <w:t xml:space="preserve">under both normal and simulated gastric conditions </w:t>
      </w:r>
      <w:r w:rsidR="000D63CA">
        <w:rPr>
          <w:rFonts w:ascii="Arial" w:hAnsi="Arial" w:cs="Arial"/>
          <w:sz w:val="18"/>
          <w:szCs w:val="18"/>
        </w:rPr>
        <w:t>using a rheometer. The rheological properties of these fibres have been studied before, but have not been extensively characterised</w:t>
      </w:r>
      <w:r w:rsidR="00A4733C">
        <w:rPr>
          <w:rFonts w:ascii="Arial" w:hAnsi="Arial" w:cs="Arial"/>
          <w:sz w:val="18"/>
          <w:szCs w:val="18"/>
        </w:rPr>
        <w:t xml:space="preserve"> </w:t>
      </w:r>
      <w:r w:rsidR="002A62CD" w:rsidRPr="002A62CD">
        <w:rPr>
          <w:rFonts w:ascii="Arial" w:hAnsi="Arial" w:cs="Arial"/>
          <w:b/>
          <w:sz w:val="18"/>
          <w:szCs w:val="18"/>
          <w:vertAlign w:val="superscript"/>
        </w:rPr>
        <w:t>[1</w:t>
      </w:r>
      <w:r w:rsidR="009C3A1F">
        <w:rPr>
          <w:rFonts w:ascii="Arial" w:hAnsi="Arial" w:cs="Arial"/>
          <w:b/>
          <w:sz w:val="18"/>
          <w:szCs w:val="18"/>
          <w:vertAlign w:val="superscript"/>
        </w:rPr>
        <w:t>1</w:t>
      </w:r>
      <w:r w:rsidR="002A62CD" w:rsidRPr="002A62CD">
        <w:rPr>
          <w:rFonts w:ascii="Arial" w:hAnsi="Arial" w:cs="Arial"/>
          <w:b/>
          <w:sz w:val="18"/>
          <w:szCs w:val="18"/>
          <w:vertAlign w:val="superscript"/>
        </w:rPr>
        <w:t>]</w:t>
      </w:r>
      <w:r w:rsidR="000D63CA">
        <w:rPr>
          <w:rFonts w:ascii="Arial" w:hAnsi="Arial" w:cs="Arial"/>
          <w:sz w:val="18"/>
          <w:szCs w:val="18"/>
        </w:rPr>
        <w:t>. The objective of this study is to bring together information about the</w:t>
      </w:r>
      <w:r w:rsidR="00A4733C">
        <w:rPr>
          <w:rFonts w:ascii="Arial" w:hAnsi="Arial" w:cs="Arial"/>
          <w:sz w:val="18"/>
          <w:szCs w:val="18"/>
        </w:rPr>
        <w:t xml:space="preserve"> fibres using physical, </w:t>
      </w:r>
      <w:r w:rsidR="000D63CA">
        <w:rPr>
          <w:rFonts w:ascii="Arial" w:hAnsi="Arial" w:cs="Arial"/>
          <w:sz w:val="18"/>
          <w:szCs w:val="18"/>
        </w:rPr>
        <w:t>chemical</w:t>
      </w:r>
      <w:r w:rsidR="00A4733C">
        <w:rPr>
          <w:rFonts w:ascii="Arial" w:hAnsi="Arial" w:cs="Arial"/>
          <w:sz w:val="18"/>
          <w:szCs w:val="18"/>
        </w:rPr>
        <w:t xml:space="preserve"> and clinical</w:t>
      </w:r>
      <w:r w:rsidR="000D63CA">
        <w:rPr>
          <w:rFonts w:ascii="Arial" w:hAnsi="Arial" w:cs="Arial"/>
          <w:sz w:val="18"/>
          <w:szCs w:val="18"/>
        </w:rPr>
        <w:t xml:space="preserve"> techniques in order to provide the optimal amount of information for the clinical practitioner before they are prescribed for gastroparesis relief.  </w:t>
      </w:r>
      <w:r>
        <w:rPr>
          <w:rFonts w:ascii="Arial" w:hAnsi="Arial" w:cs="Arial"/>
          <w:sz w:val="18"/>
          <w:szCs w:val="18"/>
        </w:rPr>
        <w:t xml:space="preserve">   </w:t>
      </w:r>
      <w:r w:rsidR="00026D86">
        <w:rPr>
          <w:rFonts w:ascii="Arial" w:hAnsi="Arial" w:cs="Arial"/>
          <w:sz w:val="18"/>
          <w:szCs w:val="18"/>
        </w:rPr>
        <w:t xml:space="preserve">   </w:t>
      </w:r>
    </w:p>
    <w:p w:rsidR="00E977B8" w:rsidRPr="00B7071C" w:rsidRDefault="00EF4A24" w:rsidP="00791164">
      <w:pPr>
        <w:spacing w:after="0"/>
        <w:rPr>
          <w:rFonts w:ascii="Arial" w:hAnsi="Arial" w:cs="Arial"/>
          <w:b/>
          <w:sz w:val="18"/>
          <w:szCs w:val="18"/>
        </w:rPr>
      </w:pPr>
      <w:r>
        <w:rPr>
          <w:rFonts w:ascii="Arial" w:hAnsi="Arial" w:cs="Arial"/>
          <w:b/>
          <w:sz w:val="18"/>
          <w:szCs w:val="18"/>
        </w:rPr>
        <w:t>4. AIMS/OBJECTIVE/HYPOTHESIS</w:t>
      </w:r>
    </w:p>
    <w:p w:rsidR="00B7071C" w:rsidRPr="00B7071C" w:rsidRDefault="00B7071C" w:rsidP="00791164">
      <w:pPr>
        <w:spacing w:after="0"/>
        <w:rPr>
          <w:rFonts w:ascii="Arial" w:hAnsi="Arial" w:cs="Arial"/>
          <w:b/>
          <w:sz w:val="18"/>
          <w:szCs w:val="18"/>
        </w:rPr>
      </w:pPr>
    </w:p>
    <w:p w:rsidR="00E977B8" w:rsidRPr="00B7071C" w:rsidRDefault="00E977B8" w:rsidP="00791164">
      <w:pPr>
        <w:spacing w:after="0"/>
        <w:rPr>
          <w:rFonts w:ascii="Arial" w:hAnsi="Arial" w:cs="Arial"/>
          <w:b/>
          <w:sz w:val="18"/>
          <w:szCs w:val="18"/>
        </w:rPr>
      </w:pPr>
      <w:r w:rsidRPr="00B7071C">
        <w:rPr>
          <w:rFonts w:ascii="Arial" w:hAnsi="Arial" w:cs="Arial"/>
          <w:b/>
          <w:sz w:val="18"/>
          <w:szCs w:val="18"/>
        </w:rPr>
        <w:t xml:space="preserve">Aim: </w:t>
      </w:r>
    </w:p>
    <w:p w:rsidR="00E977B8" w:rsidRPr="00B7071C" w:rsidRDefault="000D63CA" w:rsidP="00791164">
      <w:pPr>
        <w:rPr>
          <w:rFonts w:ascii="Arial" w:hAnsi="Arial" w:cs="Arial"/>
          <w:sz w:val="18"/>
          <w:szCs w:val="18"/>
        </w:rPr>
      </w:pPr>
      <w:r>
        <w:rPr>
          <w:rFonts w:ascii="Arial" w:hAnsi="Arial" w:cs="Arial"/>
          <w:sz w:val="18"/>
          <w:szCs w:val="18"/>
        </w:rPr>
        <w:t>To relieve gastroparesis symptoms using dietary modification</w:t>
      </w:r>
    </w:p>
    <w:p w:rsidR="00E977B8" w:rsidRPr="00B7071C" w:rsidRDefault="00E977B8" w:rsidP="00791164">
      <w:pPr>
        <w:spacing w:after="0"/>
        <w:rPr>
          <w:rFonts w:ascii="Arial" w:hAnsi="Arial" w:cs="Arial"/>
          <w:b/>
          <w:sz w:val="18"/>
          <w:szCs w:val="18"/>
        </w:rPr>
      </w:pPr>
      <w:r w:rsidRPr="00B7071C">
        <w:rPr>
          <w:rFonts w:ascii="Arial" w:hAnsi="Arial" w:cs="Arial"/>
          <w:b/>
          <w:sz w:val="18"/>
          <w:szCs w:val="18"/>
        </w:rPr>
        <w:t xml:space="preserve">Hypothesis: </w:t>
      </w:r>
    </w:p>
    <w:p w:rsidR="00E977B8" w:rsidRPr="00B7071C" w:rsidRDefault="000D63CA" w:rsidP="00791164">
      <w:pPr>
        <w:autoSpaceDE w:val="0"/>
        <w:autoSpaceDN w:val="0"/>
        <w:adjustRightInd w:val="0"/>
        <w:spacing w:after="0"/>
        <w:rPr>
          <w:rFonts w:ascii="Arial" w:hAnsi="Arial" w:cs="Arial"/>
          <w:sz w:val="18"/>
          <w:szCs w:val="18"/>
        </w:rPr>
      </w:pPr>
      <w:r>
        <w:rPr>
          <w:rFonts w:ascii="Arial" w:hAnsi="Arial" w:cs="Arial"/>
          <w:sz w:val="18"/>
          <w:szCs w:val="18"/>
        </w:rPr>
        <w:t>Consumption of low-viscosity soluble dietary fibres before a test meal can reduce gastroparesis symptoms such as delayed gast</w:t>
      </w:r>
      <w:r w:rsidR="00A4733C">
        <w:rPr>
          <w:rFonts w:ascii="Arial" w:hAnsi="Arial" w:cs="Arial"/>
          <w:sz w:val="18"/>
          <w:szCs w:val="18"/>
        </w:rPr>
        <w:t>ric emptying and lead to symptom</w:t>
      </w:r>
      <w:r>
        <w:rPr>
          <w:rFonts w:ascii="Arial" w:hAnsi="Arial" w:cs="Arial"/>
          <w:sz w:val="18"/>
          <w:szCs w:val="18"/>
        </w:rPr>
        <w:t xml:space="preserve"> relief.  </w:t>
      </w:r>
    </w:p>
    <w:p w:rsidR="0044027F" w:rsidRDefault="0044027F" w:rsidP="00791164">
      <w:pPr>
        <w:autoSpaceDE w:val="0"/>
        <w:autoSpaceDN w:val="0"/>
        <w:adjustRightInd w:val="0"/>
        <w:spacing w:after="0"/>
        <w:rPr>
          <w:rFonts w:ascii="Arial" w:hAnsi="Arial" w:cs="Arial"/>
          <w:b/>
          <w:sz w:val="18"/>
          <w:szCs w:val="18"/>
        </w:rPr>
      </w:pPr>
    </w:p>
    <w:p w:rsidR="00E977B8" w:rsidRPr="00B7071C" w:rsidRDefault="00E977B8" w:rsidP="00791164">
      <w:pPr>
        <w:autoSpaceDE w:val="0"/>
        <w:autoSpaceDN w:val="0"/>
        <w:adjustRightInd w:val="0"/>
        <w:spacing w:after="0"/>
        <w:rPr>
          <w:rFonts w:ascii="Arial" w:hAnsi="Arial" w:cs="Arial"/>
          <w:b/>
          <w:sz w:val="18"/>
          <w:szCs w:val="18"/>
        </w:rPr>
      </w:pPr>
      <w:r w:rsidRPr="00B7071C">
        <w:rPr>
          <w:rFonts w:ascii="Arial" w:hAnsi="Arial" w:cs="Arial"/>
          <w:b/>
          <w:sz w:val="18"/>
          <w:szCs w:val="18"/>
        </w:rPr>
        <w:t xml:space="preserve">Objectives: </w:t>
      </w:r>
    </w:p>
    <w:p w:rsidR="00E977B8" w:rsidRPr="00B7071C" w:rsidRDefault="00CA2D35" w:rsidP="00791164">
      <w:pPr>
        <w:pStyle w:val="ListParagraph"/>
        <w:numPr>
          <w:ilvl w:val="0"/>
          <w:numId w:val="3"/>
        </w:numPr>
        <w:spacing w:after="0"/>
        <w:rPr>
          <w:rFonts w:ascii="Arial" w:hAnsi="Arial" w:cs="Arial"/>
          <w:sz w:val="18"/>
          <w:szCs w:val="18"/>
        </w:rPr>
      </w:pPr>
      <w:r>
        <w:rPr>
          <w:rFonts w:ascii="Arial" w:hAnsi="Arial" w:cs="Arial"/>
          <w:sz w:val="18"/>
          <w:szCs w:val="18"/>
        </w:rPr>
        <w:t>Select appropriate test low-viscosity soluble test fibres as candidates for the gastroparesis symptom relief clinical trial using rheometry.</w:t>
      </w:r>
    </w:p>
    <w:p w:rsidR="00E977B8" w:rsidRDefault="00CA2D35" w:rsidP="00791164">
      <w:pPr>
        <w:pStyle w:val="ListParagraph"/>
        <w:numPr>
          <w:ilvl w:val="0"/>
          <w:numId w:val="3"/>
        </w:numPr>
        <w:spacing w:after="0"/>
        <w:rPr>
          <w:rFonts w:ascii="Arial" w:hAnsi="Arial" w:cs="Arial"/>
          <w:sz w:val="18"/>
          <w:szCs w:val="18"/>
        </w:rPr>
      </w:pPr>
      <w:r>
        <w:rPr>
          <w:rFonts w:ascii="Arial" w:hAnsi="Arial" w:cs="Arial"/>
          <w:sz w:val="18"/>
          <w:szCs w:val="18"/>
        </w:rPr>
        <w:t>Monitoring</w:t>
      </w:r>
      <w:r w:rsidR="00E977B8" w:rsidRPr="00B7071C">
        <w:rPr>
          <w:rFonts w:ascii="Arial" w:hAnsi="Arial" w:cs="Arial"/>
          <w:sz w:val="18"/>
          <w:szCs w:val="18"/>
        </w:rPr>
        <w:t xml:space="preserve"> </w:t>
      </w:r>
      <w:r w:rsidR="00791164">
        <w:rPr>
          <w:rFonts w:ascii="Arial" w:hAnsi="Arial" w:cs="Arial"/>
          <w:sz w:val="18"/>
          <w:szCs w:val="18"/>
        </w:rPr>
        <w:t>the blood glucose level and mouth-to-caecum transit time</w:t>
      </w:r>
      <w:r>
        <w:rPr>
          <w:rFonts w:ascii="Arial" w:hAnsi="Arial" w:cs="Arial"/>
          <w:sz w:val="18"/>
          <w:szCs w:val="18"/>
        </w:rPr>
        <w:t xml:space="preserve"> </w:t>
      </w:r>
      <w:r w:rsidR="00E977B8" w:rsidRPr="00B7071C">
        <w:rPr>
          <w:rFonts w:ascii="Arial" w:hAnsi="Arial" w:cs="Arial"/>
          <w:sz w:val="18"/>
          <w:szCs w:val="18"/>
        </w:rPr>
        <w:t xml:space="preserve">the </w:t>
      </w:r>
      <w:r>
        <w:rPr>
          <w:rFonts w:ascii="Arial" w:hAnsi="Arial" w:cs="Arial"/>
          <w:sz w:val="18"/>
          <w:szCs w:val="18"/>
        </w:rPr>
        <w:t>patients participating in the tr</w:t>
      </w:r>
      <w:r w:rsidR="00A4733C">
        <w:rPr>
          <w:rFonts w:ascii="Arial" w:hAnsi="Arial" w:cs="Arial"/>
          <w:sz w:val="18"/>
          <w:szCs w:val="18"/>
        </w:rPr>
        <w:t>ial after they have been fed 10g</w:t>
      </w:r>
      <w:r>
        <w:rPr>
          <w:rFonts w:ascii="Arial" w:hAnsi="Arial" w:cs="Arial"/>
          <w:sz w:val="18"/>
          <w:szCs w:val="18"/>
        </w:rPr>
        <w:t xml:space="preserve"> </w:t>
      </w:r>
      <w:r w:rsidR="00A4733C">
        <w:rPr>
          <w:rFonts w:ascii="Arial" w:hAnsi="Arial" w:cs="Arial"/>
          <w:sz w:val="18"/>
          <w:szCs w:val="18"/>
        </w:rPr>
        <w:t xml:space="preserve">of </w:t>
      </w:r>
      <w:r>
        <w:rPr>
          <w:rFonts w:ascii="Arial" w:hAnsi="Arial" w:cs="Arial"/>
          <w:sz w:val="18"/>
          <w:szCs w:val="18"/>
        </w:rPr>
        <w:t xml:space="preserve">dietary fibre </w:t>
      </w:r>
      <w:r w:rsidR="00791164">
        <w:rPr>
          <w:rFonts w:ascii="Arial" w:hAnsi="Arial" w:cs="Arial"/>
          <w:sz w:val="18"/>
          <w:szCs w:val="18"/>
        </w:rPr>
        <w:t>along with</w:t>
      </w:r>
      <w:r w:rsidR="00A4733C">
        <w:rPr>
          <w:rFonts w:ascii="Arial" w:hAnsi="Arial" w:cs="Arial"/>
          <w:sz w:val="18"/>
          <w:szCs w:val="18"/>
        </w:rPr>
        <w:t xml:space="preserve"> a test meal of 50g sugar</w:t>
      </w:r>
      <w:r w:rsidR="00E977B8" w:rsidRPr="00B7071C">
        <w:rPr>
          <w:rFonts w:ascii="Arial" w:hAnsi="Arial" w:cs="Arial"/>
          <w:sz w:val="18"/>
          <w:szCs w:val="18"/>
        </w:rPr>
        <w:t>.</w:t>
      </w:r>
    </w:p>
    <w:p w:rsidR="00E56DD6" w:rsidRPr="00B7071C" w:rsidRDefault="00CA2D35" w:rsidP="00791164">
      <w:pPr>
        <w:pStyle w:val="ListParagraph"/>
        <w:numPr>
          <w:ilvl w:val="0"/>
          <w:numId w:val="3"/>
        </w:numPr>
        <w:spacing w:after="0"/>
        <w:rPr>
          <w:rFonts w:ascii="Arial" w:hAnsi="Arial" w:cs="Arial"/>
          <w:sz w:val="18"/>
          <w:szCs w:val="18"/>
        </w:rPr>
      </w:pPr>
      <w:r>
        <w:rPr>
          <w:rFonts w:ascii="Arial" w:hAnsi="Arial" w:cs="Arial"/>
          <w:sz w:val="18"/>
          <w:szCs w:val="18"/>
        </w:rPr>
        <w:t>Discover which test fibre is the most effective in relieving gastroparesis symptoms and whether this is due to physical and chemical properties that have been studied using the rheometry and mass spectrometry.</w:t>
      </w:r>
    </w:p>
    <w:p w:rsidR="00791164" w:rsidRDefault="00791164" w:rsidP="00791164">
      <w:pPr>
        <w:pStyle w:val="ListParagraph"/>
        <w:spacing w:after="0"/>
        <w:ind w:left="360"/>
        <w:rPr>
          <w:rFonts w:ascii="Arial" w:hAnsi="Arial" w:cs="Arial"/>
          <w:sz w:val="18"/>
          <w:szCs w:val="18"/>
        </w:rPr>
      </w:pPr>
    </w:p>
    <w:p w:rsidR="00791164" w:rsidRDefault="00791164" w:rsidP="00791164">
      <w:pPr>
        <w:pStyle w:val="ListParagraph"/>
        <w:spacing w:after="0"/>
        <w:ind w:left="360"/>
        <w:rPr>
          <w:rFonts w:ascii="Arial" w:hAnsi="Arial" w:cs="Arial"/>
          <w:sz w:val="18"/>
          <w:szCs w:val="18"/>
        </w:rPr>
      </w:pPr>
    </w:p>
    <w:p w:rsidR="006315FC" w:rsidRPr="00B7071C" w:rsidRDefault="006315FC" w:rsidP="00791164">
      <w:pPr>
        <w:pStyle w:val="ListParagraph"/>
        <w:spacing w:after="0"/>
        <w:ind w:left="360"/>
        <w:rPr>
          <w:rFonts w:ascii="Arial" w:hAnsi="Arial" w:cs="Arial"/>
          <w:sz w:val="18"/>
          <w:szCs w:val="18"/>
        </w:rPr>
      </w:pPr>
    </w:p>
    <w:p w:rsidR="00396318" w:rsidRPr="00791164" w:rsidRDefault="00E977B8" w:rsidP="00D47ED9">
      <w:pPr>
        <w:pStyle w:val="ListParagraph"/>
        <w:numPr>
          <w:ilvl w:val="0"/>
          <w:numId w:val="6"/>
        </w:numPr>
        <w:spacing w:after="0"/>
        <w:rPr>
          <w:rFonts w:ascii="Arial" w:hAnsi="Arial" w:cs="Arial"/>
          <w:b/>
          <w:sz w:val="18"/>
          <w:szCs w:val="18"/>
        </w:rPr>
      </w:pPr>
      <w:r w:rsidRPr="00791164">
        <w:rPr>
          <w:rFonts w:ascii="Arial" w:hAnsi="Arial" w:cs="Arial"/>
          <w:b/>
          <w:sz w:val="18"/>
          <w:szCs w:val="18"/>
        </w:rPr>
        <w:lastRenderedPageBreak/>
        <w:t>PARTICIPATING SITES</w:t>
      </w:r>
    </w:p>
    <w:p w:rsidR="00B7071C" w:rsidRPr="00B7071C" w:rsidRDefault="00B7071C" w:rsidP="00D47ED9">
      <w:pPr>
        <w:pStyle w:val="ListParagraph"/>
        <w:spacing w:after="0"/>
        <w:ind w:left="360"/>
        <w:rPr>
          <w:rFonts w:ascii="Arial" w:hAnsi="Arial" w:cs="Arial"/>
          <w:b/>
          <w:sz w:val="18"/>
          <w:szCs w:val="18"/>
        </w:rPr>
      </w:pPr>
    </w:p>
    <w:p w:rsidR="00E977B8" w:rsidRPr="00B7071C" w:rsidRDefault="00C00214" w:rsidP="00D47ED9">
      <w:pPr>
        <w:spacing w:after="0"/>
        <w:jc w:val="both"/>
        <w:rPr>
          <w:rFonts w:ascii="Arial" w:hAnsi="Arial" w:cs="Arial"/>
          <w:sz w:val="18"/>
          <w:szCs w:val="18"/>
        </w:rPr>
      </w:pPr>
      <w:r>
        <w:rPr>
          <w:rFonts w:ascii="Arial" w:hAnsi="Arial" w:cs="Arial"/>
          <w:sz w:val="18"/>
          <w:szCs w:val="18"/>
        </w:rPr>
        <w:t xml:space="preserve">Macarthur Clinical School - </w:t>
      </w:r>
      <w:r w:rsidR="00E977B8" w:rsidRPr="00B7071C">
        <w:rPr>
          <w:rFonts w:ascii="Arial" w:hAnsi="Arial" w:cs="Arial"/>
          <w:sz w:val="18"/>
          <w:szCs w:val="18"/>
        </w:rPr>
        <w:t>Western Sydney</w:t>
      </w:r>
      <w:r w:rsidR="00994DF8">
        <w:rPr>
          <w:rFonts w:ascii="Arial" w:hAnsi="Arial" w:cs="Arial"/>
          <w:sz w:val="18"/>
          <w:szCs w:val="18"/>
        </w:rPr>
        <w:t xml:space="preserve"> University</w:t>
      </w:r>
      <w:r w:rsidR="00E977B8" w:rsidRPr="00B7071C">
        <w:rPr>
          <w:rFonts w:ascii="Arial" w:hAnsi="Arial" w:cs="Arial"/>
          <w:sz w:val="18"/>
          <w:szCs w:val="18"/>
        </w:rPr>
        <w:t xml:space="preserve"> </w:t>
      </w:r>
    </w:p>
    <w:p w:rsidR="00B7071C" w:rsidRDefault="00B7071C" w:rsidP="00D47ED9">
      <w:pPr>
        <w:spacing w:after="0"/>
        <w:rPr>
          <w:rFonts w:ascii="Arial" w:hAnsi="Arial" w:cs="Arial"/>
          <w:b/>
          <w:sz w:val="18"/>
          <w:szCs w:val="18"/>
        </w:rPr>
      </w:pPr>
    </w:p>
    <w:p w:rsidR="00890EB6" w:rsidRPr="00B7071C" w:rsidRDefault="00E977B8" w:rsidP="00D47ED9">
      <w:pPr>
        <w:spacing w:after="0"/>
        <w:rPr>
          <w:rFonts w:ascii="Arial" w:hAnsi="Arial" w:cs="Arial"/>
          <w:b/>
          <w:sz w:val="18"/>
          <w:szCs w:val="18"/>
        </w:rPr>
      </w:pPr>
      <w:r w:rsidRPr="00B7071C">
        <w:rPr>
          <w:rFonts w:ascii="Arial" w:hAnsi="Arial" w:cs="Arial"/>
          <w:b/>
          <w:sz w:val="18"/>
          <w:szCs w:val="18"/>
        </w:rPr>
        <w:t>6. RESEARCH PLAN/STUDY DESIGN</w:t>
      </w:r>
    </w:p>
    <w:p w:rsidR="004C443C" w:rsidRDefault="004C443C" w:rsidP="00D47ED9">
      <w:pPr>
        <w:spacing w:after="0"/>
        <w:jc w:val="both"/>
        <w:rPr>
          <w:rFonts w:ascii="Arial" w:hAnsi="Arial" w:cs="Arial"/>
          <w:b/>
          <w:sz w:val="18"/>
          <w:szCs w:val="18"/>
        </w:rPr>
      </w:pPr>
    </w:p>
    <w:p w:rsidR="00E977B8" w:rsidRPr="00B7071C" w:rsidRDefault="00E977B8" w:rsidP="00D47ED9">
      <w:pPr>
        <w:spacing w:after="0"/>
        <w:jc w:val="both"/>
        <w:rPr>
          <w:rFonts w:ascii="Arial" w:hAnsi="Arial" w:cs="Arial"/>
          <w:b/>
          <w:sz w:val="18"/>
          <w:szCs w:val="18"/>
        </w:rPr>
      </w:pPr>
      <w:r w:rsidRPr="00B7071C">
        <w:rPr>
          <w:rFonts w:ascii="Arial" w:hAnsi="Arial" w:cs="Arial"/>
          <w:b/>
          <w:sz w:val="18"/>
          <w:szCs w:val="18"/>
        </w:rPr>
        <w:t>6.1 Type of study:</w:t>
      </w:r>
    </w:p>
    <w:p w:rsidR="00E977B8" w:rsidRPr="00B7071C" w:rsidRDefault="00E977B8" w:rsidP="00D47ED9">
      <w:pPr>
        <w:spacing w:after="0"/>
        <w:jc w:val="both"/>
        <w:rPr>
          <w:rFonts w:ascii="Arial" w:hAnsi="Arial" w:cs="Arial"/>
          <w:sz w:val="18"/>
          <w:szCs w:val="18"/>
        </w:rPr>
      </w:pPr>
      <w:r w:rsidRPr="00B7071C">
        <w:rPr>
          <w:rFonts w:ascii="Arial" w:hAnsi="Arial" w:cs="Arial"/>
          <w:sz w:val="18"/>
          <w:szCs w:val="18"/>
        </w:rPr>
        <w:t xml:space="preserve">Research involving the collection </w:t>
      </w:r>
      <w:r w:rsidR="000B09C7">
        <w:rPr>
          <w:rFonts w:ascii="Arial" w:hAnsi="Arial" w:cs="Arial"/>
          <w:sz w:val="18"/>
          <w:szCs w:val="18"/>
        </w:rPr>
        <w:t>and/or use of human blood for testing</w:t>
      </w:r>
    </w:p>
    <w:p w:rsidR="004C443C" w:rsidRDefault="004C443C" w:rsidP="00D47ED9">
      <w:pPr>
        <w:spacing w:after="0"/>
        <w:jc w:val="both"/>
        <w:rPr>
          <w:rFonts w:ascii="Arial" w:hAnsi="Arial" w:cs="Arial"/>
          <w:b/>
          <w:sz w:val="18"/>
          <w:szCs w:val="18"/>
        </w:rPr>
      </w:pPr>
    </w:p>
    <w:p w:rsidR="00FF7605" w:rsidRDefault="00FF7605" w:rsidP="00D47ED9">
      <w:pPr>
        <w:spacing w:after="0"/>
        <w:jc w:val="both"/>
        <w:rPr>
          <w:rFonts w:ascii="Arial" w:hAnsi="Arial" w:cs="Arial"/>
          <w:b/>
          <w:sz w:val="18"/>
          <w:szCs w:val="18"/>
        </w:rPr>
      </w:pPr>
      <w:r>
        <w:rPr>
          <w:rFonts w:ascii="Arial" w:hAnsi="Arial" w:cs="Arial"/>
          <w:b/>
          <w:sz w:val="18"/>
          <w:szCs w:val="18"/>
        </w:rPr>
        <w:t>6.2 Rheometry of samples</w:t>
      </w:r>
    </w:p>
    <w:p w:rsidR="00FF7605" w:rsidRPr="002049D3" w:rsidRDefault="002049D3" w:rsidP="00D47ED9">
      <w:pPr>
        <w:spacing w:after="0"/>
        <w:jc w:val="both"/>
        <w:rPr>
          <w:rFonts w:ascii="Arial" w:hAnsi="Arial" w:cs="Arial"/>
          <w:sz w:val="18"/>
          <w:szCs w:val="18"/>
        </w:rPr>
      </w:pPr>
      <w:r>
        <w:rPr>
          <w:rFonts w:ascii="Arial" w:hAnsi="Arial" w:cs="Arial"/>
          <w:sz w:val="18"/>
          <w:szCs w:val="18"/>
        </w:rPr>
        <w:t>The rheological (visco-elastic) properties for each test fibre will be determined using a Dynamic Stress Rheometer (NO.SR-200, Rheometric Scientific</w:t>
      </w:r>
      <w:r w:rsidRPr="002049D3">
        <w:rPr>
          <w:rFonts w:ascii="Arial" w:hAnsi="Arial" w:cs="Arial"/>
          <w:sz w:val="18"/>
          <w:szCs w:val="18"/>
          <w:vertAlign w:val="superscript"/>
        </w:rPr>
        <w:t>TM</w:t>
      </w:r>
      <w:r>
        <w:rPr>
          <w:rFonts w:ascii="Arial" w:hAnsi="Arial" w:cs="Arial"/>
          <w:sz w:val="18"/>
          <w:szCs w:val="18"/>
        </w:rPr>
        <w:t>). Fibres will be tested, at varying concentrations, under normal conditions (</w:t>
      </w:r>
      <w:r w:rsidR="004701F5">
        <w:rPr>
          <w:rFonts w:ascii="Arial" w:hAnsi="Arial" w:cs="Arial"/>
          <w:sz w:val="18"/>
          <w:szCs w:val="18"/>
        </w:rPr>
        <w:t>25</w:t>
      </w:r>
      <w:r w:rsidR="004701F5" w:rsidRPr="002049D3">
        <w:rPr>
          <w:rFonts w:ascii="Arial" w:hAnsi="Arial" w:cs="Arial"/>
          <w:sz w:val="18"/>
          <w:szCs w:val="18"/>
          <w:vertAlign w:val="superscript"/>
        </w:rPr>
        <w:t>o</w:t>
      </w:r>
      <w:r w:rsidR="004701F5">
        <w:rPr>
          <w:rFonts w:ascii="Arial" w:hAnsi="Arial" w:cs="Arial"/>
          <w:sz w:val="18"/>
          <w:szCs w:val="18"/>
        </w:rPr>
        <w:t>C</w:t>
      </w:r>
      <w:r>
        <w:rPr>
          <w:rFonts w:ascii="Arial" w:hAnsi="Arial" w:cs="Arial"/>
          <w:sz w:val="18"/>
          <w:szCs w:val="18"/>
        </w:rPr>
        <w:t xml:space="preserve">, soluble in </w:t>
      </w:r>
      <w:r w:rsidR="00D47ED9">
        <w:rPr>
          <w:rFonts w:ascii="Arial" w:hAnsi="Arial" w:cs="Arial"/>
          <w:sz w:val="18"/>
          <w:szCs w:val="18"/>
        </w:rPr>
        <w:t xml:space="preserve">de-ionized </w:t>
      </w:r>
      <w:r>
        <w:rPr>
          <w:rFonts w:ascii="Arial" w:hAnsi="Arial" w:cs="Arial"/>
          <w:sz w:val="18"/>
          <w:szCs w:val="18"/>
        </w:rPr>
        <w:t>water</w:t>
      </w:r>
      <w:r w:rsidR="004701F5">
        <w:rPr>
          <w:rFonts w:ascii="Arial" w:hAnsi="Arial" w:cs="Arial"/>
          <w:sz w:val="18"/>
          <w:szCs w:val="18"/>
        </w:rPr>
        <w:t>,</w:t>
      </w:r>
      <w:r>
        <w:rPr>
          <w:rFonts w:ascii="Arial" w:hAnsi="Arial" w:cs="Arial"/>
          <w:sz w:val="18"/>
          <w:szCs w:val="18"/>
        </w:rPr>
        <w:t xml:space="preserve"> pH 7) and simulated gastric conditions (37</w:t>
      </w:r>
      <w:r w:rsidRPr="002049D3">
        <w:rPr>
          <w:rFonts w:ascii="Arial" w:hAnsi="Arial" w:cs="Arial"/>
          <w:sz w:val="18"/>
          <w:szCs w:val="18"/>
          <w:vertAlign w:val="superscript"/>
        </w:rPr>
        <w:t>o</w:t>
      </w:r>
      <w:r>
        <w:rPr>
          <w:rFonts w:ascii="Arial" w:hAnsi="Arial" w:cs="Arial"/>
          <w:sz w:val="18"/>
          <w:szCs w:val="18"/>
        </w:rPr>
        <w:t xml:space="preserve">C, soluble in gastric fluid, pH 2). A dynamic stress sweep protocol will be implemented, applying </w:t>
      </w:r>
      <w:r w:rsidR="0074213B">
        <w:rPr>
          <w:rFonts w:ascii="Arial" w:hAnsi="Arial" w:cs="Arial"/>
          <w:sz w:val="18"/>
          <w:szCs w:val="18"/>
        </w:rPr>
        <w:t>linear rotational force (torque) over a set range. The visco-elastic yield and cross-over</w:t>
      </w:r>
      <w:r>
        <w:rPr>
          <w:rFonts w:ascii="Arial" w:hAnsi="Arial" w:cs="Arial"/>
          <w:sz w:val="18"/>
          <w:szCs w:val="18"/>
        </w:rPr>
        <w:t xml:space="preserve"> </w:t>
      </w:r>
      <w:r w:rsidR="0074213B">
        <w:rPr>
          <w:rFonts w:ascii="Arial" w:hAnsi="Arial" w:cs="Arial"/>
          <w:sz w:val="18"/>
          <w:szCs w:val="18"/>
        </w:rPr>
        <w:t xml:space="preserve">points, at which the fibre structure transitions from solid-like properties into liquid-like properties, will be determined. The amount of force required to reach the cross-over point will provide information about the viscosity and consistency of our test fibres, and how they may react in the stomach once ingested. </w:t>
      </w:r>
      <w:r w:rsidR="004C4AC8">
        <w:rPr>
          <w:rFonts w:ascii="Arial" w:hAnsi="Arial" w:cs="Arial"/>
          <w:sz w:val="18"/>
          <w:szCs w:val="18"/>
        </w:rPr>
        <w:t>Quantitative properties of our test fibres will allow us to predict and correlate fibres with physiological changes</w:t>
      </w:r>
      <w:r w:rsidR="0074213B">
        <w:rPr>
          <w:rFonts w:ascii="Arial" w:hAnsi="Arial" w:cs="Arial"/>
          <w:sz w:val="18"/>
          <w:szCs w:val="18"/>
        </w:rPr>
        <w:t xml:space="preserve"> </w:t>
      </w:r>
      <w:r w:rsidR="004C4AC8">
        <w:rPr>
          <w:rFonts w:ascii="Arial" w:hAnsi="Arial" w:cs="Arial"/>
          <w:sz w:val="18"/>
          <w:szCs w:val="18"/>
        </w:rPr>
        <w:t xml:space="preserve">in participants. Future work </w:t>
      </w:r>
      <w:r w:rsidR="004701F5">
        <w:rPr>
          <w:rFonts w:ascii="Arial" w:hAnsi="Arial" w:cs="Arial"/>
          <w:sz w:val="18"/>
          <w:szCs w:val="18"/>
        </w:rPr>
        <w:t>will aim</w:t>
      </w:r>
      <w:r w:rsidR="004C4AC8">
        <w:rPr>
          <w:rFonts w:ascii="Arial" w:hAnsi="Arial" w:cs="Arial"/>
          <w:sz w:val="18"/>
          <w:szCs w:val="18"/>
        </w:rPr>
        <w:t xml:space="preserve"> to tailor soluble fibre diets with severity of gastroparesis symptoms by combining </w:t>
      </w:r>
      <w:r w:rsidR="004701F5">
        <w:rPr>
          <w:rFonts w:ascii="Arial" w:hAnsi="Arial" w:cs="Arial"/>
          <w:sz w:val="18"/>
          <w:szCs w:val="18"/>
        </w:rPr>
        <w:t xml:space="preserve">test </w:t>
      </w:r>
      <w:r w:rsidR="004C4AC8">
        <w:rPr>
          <w:rFonts w:ascii="Arial" w:hAnsi="Arial" w:cs="Arial"/>
          <w:sz w:val="18"/>
          <w:szCs w:val="18"/>
        </w:rPr>
        <w:t xml:space="preserve">fibres to achieve desirable visco-elastic consistency. </w:t>
      </w:r>
      <w:r w:rsidR="0074213B">
        <w:rPr>
          <w:rFonts w:ascii="Arial" w:hAnsi="Arial" w:cs="Arial"/>
          <w:sz w:val="18"/>
          <w:szCs w:val="18"/>
        </w:rPr>
        <w:t xml:space="preserve">  </w:t>
      </w:r>
      <w:r>
        <w:rPr>
          <w:rFonts w:ascii="Arial" w:hAnsi="Arial" w:cs="Arial"/>
          <w:sz w:val="18"/>
          <w:szCs w:val="18"/>
        </w:rPr>
        <w:t xml:space="preserve">   </w:t>
      </w:r>
    </w:p>
    <w:p w:rsidR="00FF7605" w:rsidRDefault="00FF7605" w:rsidP="00D47ED9">
      <w:pPr>
        <w:spacing w:after="0"/>
        <w:jc w:val="both"/>
        <w:rPr>
          <w:rFonts w:ascii="Arial" w:hAnsi="Arial" w:cs="Arial"/>
          <w:b/>
          <w:sz w:val="18"/>
          <w:szCs w:val="18"/>
        </w:rPr>
      </w:pPr>
    </w:p>
    <w:p w:rsidR="00E11A96" w:rsidRDefault="00E977B8" w:rsidP="00D47ED9">
      <w:pPr>
        <w:spacing w:after="0"/>
        <w:jc w:val="both"/>
        <w:rPr>
          <w:rFonts w:ascii="Arial" w:hAnsi="Arial" w:cs="Arial"/>
          <w:b/>
          <w:sz w:val="18"/>
          <w:szCs w:val="18"/>
        </w:rPr>
      </w:pPr>
      <w:r w:rsidRPr="00B7071C">
        <w:rPr>
          <w:rFonts w:ascii="Arial" w:hAnsi="Arial" w:cs="Arial"/>
          <w:b/>
          <w:sz w:val="18"/>
          <w:szCs w:val="18"/>
        </w:rPr>
        <w:t>6.</w:t>
      </w:r>
      <w:r w:rsidR="00FF7605">
        <w:rPr>
          <w:rFonts w:ascii="Arial" w:hAnsi="Arial" w:cs="Arial"/>
          <w:b/>
          <w:sz w:val="18"/>
          <w:szCs w:val="18"/>
        </w:rPr>
        <w:t xml:space="preserve">3 </w:t>
      </w:r>
      <w:r w:rsidR="0074213B">
        <w:rPr>
          <w:rFonts w:ascii="Arial" w:hAnsi="Arial" w:cs="Arial"/>
          <w:b/>
          <w:sz w:val="18"/>
          <w:szCs w:val="18"/>
        </w:rPr>
        <w:t>Low viscosity fibre diet for gastroparesis patient</w:t>
      </w:r>
    </w:p>
    <w:p w:rsidR="000B09C7" w:rsidRDefault="000B09C7" w:rsidP="00D47ED9">
      <w:pPr>
        <w:spacing w:after="0"/>
        <w:jc w:val="both"/>
        <w:rPr>
          <w:rFonts w:ascii="Arial" w:hAnsi="Arial" w:cs="Arial"/>
          <w:b/>
          <w:sz w:val="18"/>
          <w:szCs w:val="18"/>
        </w:rPr>
      </w:pPr>
    </w:p>
    <w:p w:rsidR="00AF37F4" w:rsidRDefault="0074213B" w:rsidP="00D47ED9">
      <w:pPr>
        <w:jc w:val="both"/>
        <w:rPr>
          <w:rFonts w:ascii="Arial" w:hAnsi="Arial" w:cs="Arial"/>
          <w:sz w:val="18"/>
          <w:szCs w:val="18"/>
        </w:rPr>
      </w:pPr>
      <w:r w:rsidRPr="0074213B">
        <w:rPr>
          <w:rFonts w:ascii="Arial" w:hAnsi="Arial" w:cs="Arial"/>
          <w:sz w:val="18"/>
          <w:szCs w:val="18"/>
        </w:rPr>
        <w:t xml:space="preserve">The study </w:t>
      </w:r>
      <w:r>
        <w:rPr>
          <w:rFonts w:ascii="Arial" w:hAnsi="Arial" w:cs="Arial"/>
          <w:sz w:val="18"/>
          <w:szCs w:val="18"/>
        </w:rPr>
        <w:t xml:space="preserve">will be a prospective, randomised study.  A randomised sequence list of fibres will be provided to the tester on the day of </w:t>
      </w:r>
      <w:r w:rsidR="00AA25AA">
        <w:rPr>
          <w:rFonts w:ascii="Arial" w:hAnsi="Arial" w:cs="Arial"/>
          <w:sz w:val="18"/>
          <w:szCs w:val="18"/>
        </w:rPr>
        <w:t xml:space="preserve">the test, the participants will not know which fibre they are ingesting. Participants will need to fast overnight before conducting the test. During their first visit, a detailed history will be taken (GI disorders, diabetic history, food allergies), general characteristics (gender, height, weight) and general health (diet and exercise history). </w:t>
      </w:r>
      <w:r w:rsidR="00AF37F4">
        <w:rPr>
          <w:rFonts w:ascii="Arial" w:hAnsi="Arial" w:cs="Arial"/>
          <w:sz w:val="18"/>
          <w:szCs w:val="18"/>
        </w:rPr>
        <w:t xml:space="preserve">A base-line symptom (gastroparesis cardinal symptom index) and blood-glucose level (blood glucose meter) is established. </w:t>
      </w:r>
    </w:p>
    <w:p w:rsidR="00BA5B1E" w:rsidRDefault="00AF37F4" w:rsidP="00D47ED9">
      <w:pPr>
        <w:jc w:val="both"/>
        <w:rPr>
          <w:rFonts w:ascii="Arial" w:hAnsi="Arial" w:cs="Arial"/>
          <w:sz w:val="18"/>
          <w:szCs w:val="18"/>
        </w:rPr>
      </w:pPr>
      <w:r>
        <w:rPr>
          <w:rFonts w:ascii="Arial" w:hAnsi="Arial" w:cs="Arial"/>
          <w:sz w:val="18"/>
          <w:szCs w:val="18"/>
        </w:rPr>
        <w:t>Partici</w:t>
      </w:r>
      <w:r w:rsidR="00BA7315">
        <w:rPr>
          <w:rFonts w:ascii="Arial" w:hAnsi="Arial" w:cs="Arial"/>
          <w:sz w:val="18"/>
          <w:szCs w:val="18"/>
        </w:rPr>
        <w:t>pants are required to ingest 75</w:t>
      </w:r>
      <w:r>
        <w:rPr>
          <w:rFonts w:ascii="Arial" w:hAnsi="Arial" w:cs="Arial"/>
          <w:sz w:val="18"/>
          <w:szCs w:val="18"/>
        </w:rPr>
        <w:t xml:space="preserve">g of glucose and test fibre with water </w:t>
      </w:r>
      <w:r w:rsidRPr="00174D4A">
        <w:rPr>
          <w:rFonts w:ascii="Arial" w:hAnsi="Arial" w:cs="Arial"/>
          <w:b/>
          <w:sz w:val="18"/>
          <w:szCs w:val="18"/>
        </w:rPr>
        <w:t>(Figure 1)</w:t>
      </w:r>
      <w:r>
        <w:rPr>
          <w:rFonts w:ascii="Arial" w:hAnsi="Arial" w:cs="Arial"/>
          <w:sz w:val="18"/>
          <w:szCs w:val="18"/>
        </w:rPr>
        <w:t>. Blood glucose concentration an</w:t>
      </w:r>
      <w:r w:rsidR="00174D4A">
        <w:rPr>
          <w:rFonts w:ascii="Arial" w:hAnsi="Arial" w:cs="Arial"/>
          <w:sz w:val="18"/>
          <w:szCs w:val="18"/>
        </w:rPr>
        <w:t>d symptom index are taken at 30</w:t>
      </w:r>
      <w:r>
        <w:rPr>
          <w:rFonts w:ascii="Arial" w:hAnsi="Arial" w:cs="Arial"/>
          <w:sz w:val="18"/>
          <w:szCs w:val="18"/>
        </w:rPr>
        <w:t>min intervals over a 3 hour period. Traditionally, glucose concen</w:t>
      </w:r>
      <w:r w:rsidR="00174D4A">
        <w:rPr>
          <w:rFonts w:ascii="Arial" w:hAnsi="Arial" w:cs="Arial"/>
          <w:sz w:val="18"/>
          <w:szCs w:val="18"/>
        </w:rPr>
        <w:t>tration will peak around 30min</w:t>
      </w:r>
      <w:r>
        <w:rPr>
          <w:rFonts w:ascii="Arial" w:hAnsi="Arial" w:cs="Arial"/>
          <w:sz w:val="18"/>
          <w:szCs w:val="18"/>
        </w:rPr>
        <w:t xml:space="preserve"> and will subside in 2 hours, however, given the reduced gastric transit speed of gastroparesis patients we have increased the monitoring time to 3 hours.</w:t>
      </w:r>
      <w:r w:rsidR="00CD2A24">
        <w:rPr>
          <w:rFonts w:ascii="Arial" w:hAnsi="Arial" w:cs="Arial"/>
          <w:sz w:val="18"/>
          <w:szCs w:val="18"/>
        </w:rPr>
        <w:t xml:space="preserve"> We have chosen to avoid measuring insulin concentration as the participants will consist of </w:t>
      </w:r>
      <w:r w:rsidR="007D712D">
        <w:rPr>
          <w:rFonts w:ascii="Arial" w:hAnsi="Arial" w:cs="Arial"/>
          <w:sz w:val="18"/>
          <w:szCs w:val="18"/>
        </w:rPr>
        <w:t xml:space="preserve">insulin sensitive, type I and II diabetics, therefore insulin concentration changes cannot be compared between participants as they produce and react differently to insulin. This also avoids the need for more invasive blood sample collection in favour of </w:t>
      </w:r>
      <w:r w:rsidR="00BA5B1E">
        <w:rPr>
          <w:rFonts w:ascii="Arial" w:hAnsi="Arial" w:cs="Arial"/>
          <w:sz w:val="18"/>
          <w:szCs w:val="18"/>
        </w:rPr>
        <w:t>portable glucometers</w:t>
      </w:r>
      <w:r w:rsidR="007D712D">
        <w:rPr>
          <w:rFonts w:ascii="Arial" w:hAnsi="Arial" w:cs="Arial"/>
          <w:sz w:val="18"/>
          <w:szCs w:val="18"/>
        </w:rPr>
        <w:t xml:space="preserve">. </w:t>
      </w:r>
      <w:r>
        <w:rPr>
          <w:rFonts w:ascii="Arial" w:hAnsi="Arial" w:cs="Arial"/>
          <w:sz w:val="18"/>
          <w:szCs w:val="18"/>
        </w:rPr>
        <w:t xml:space="preserve">   </w:t>
      </w:r>
      <w:r w:rsidR="00AA25AA">
        <w:rPr>
          <w:rFonts w:ascii="Arial" w:hAnsi="Arial" w:cs="Arial"/>
          <w:sz w:val="18"/>
          <w:szCs w:val="18"/>
        </w:rPr>
        <w:t xml:space="preserve">  </w:t>
      </w:r>
    </w:p>
    <w:p w:rsidR="0074213B" w:rsidRDefault="008349E8" w:rsidP="00BA5B1E">
      <w:pPr>
        <w:jc w:val="center"/>
        <w:rPr>
          <w:rFonts w:ascii="Arial" w:hAnsi="Arial" w:cs="Arial"/>
          <w:sz w:val="18"/>
          <w:szCs w:val="18"/>
        </w:rPr>
      </w:pPr>
      <w:r>
        <w:rPr>
          <w:rFonts w:ascii="Arial" w:hAnsi="Arial" w:cs="Arial"/>
          <w:noProof/>
          <w:sz w:val="18"/>
          <w:szCs w:val="18"/>
          <w:lang w:val="en-US"/>
        </w:rPr>
        <w:drawing>
          <wp:inline distT="0" distB="0" distL="0" distR="0" wp14:anchorId="3B3D611B">
            <wp:extent cx="3650776" cy="2284099"/>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0385" cy="2283854"/>
                    </a:xfrm>
                    <a:prstGeom prst="rect">
                      <a:avLst/>
                    </a:prstGeom>
                    <a:noFill/>
                  </pic:spPr>
                </pic:pic>
              </a:graphicData>
            </a:graphic>
          </wp:inline>
        </w:drawing>
      </w:r>
    </w:p>
    <w:p w:rsidR="00AA25AA" w:rsidRDefault="00AA25AA" w:rsidP="00A41FC9">
      <w:pPr>
        <w:jc w:val="both"/>
        <w:rPr>
          <w:rFonts w:ascii="Arial" w:hAnsi="Arial" w:cs="Arial"/>
          <w:sz w:val="18"/>
          <w:szCs w:val="18"/>
        </w:rPr>
      </w:pPr>
      <w:r w:rsidRPr="00AA25AA">
        <w:rPr>
          <w:rFonts w:ascii="Arial" w:hAnsi="Arial" w:cs="Arial"/>
          <w:b/>
          <w:sz w:val="18"/>
          <w:szCs w:val="18"/>
        </w:rPr>
        <w:t>Figure 1:</w:t>
      </w:r>
      <w:r>
        <w:rPr>
          <w:rFonts w:ascii="Arial" w:hAnsi="Arial" w:cs="Arial"/>
          <w:sz w:val="18"/>
          <w:szCs w:val="18"/>
        </w:rPr>
        <w:t xml:space="preserve"> Participants will ingest a negative control (water), positive control (psyllium husk) and two low viscosity fibres (PHGG and acacia gum). </w:t>
      </w:r>
    </w:p>
    <w:p w:rsidR="007D712D" w:rsidRDefault="007D712D" w:rsidP="001B0AF6">
      <w:pPr>
        <w:jc w:val="both"/>
        <w:rPr>
          <w:rFonts w:ascii="Arial" w:hAnsi="Arial" w:cs="Arial"/>
          <w:sz w:val="18"/>
          <w:szCs w:val="18"/>
        </w:rPr>
      </w:pPr>
      <w:r>
        <w:rPr>
          <w:rFonts w:ascii="Arial" w:hAnsi="Arial" w:cs="Arial"/>
          <w:sz w:val="18"/>
          <w:szCs w:val="18"/>
        </w:rPr>
        <w:lastRenderedPageBreak/>
        <w:t xml:space="preserve">Following the test the participants will have a wash-out period of at least 3 days to remove all traces of test fibre from their system. </w:t>
      </w:r>
      <w:r w:rsidR="004C4AC8">
        <w:rPr>
          <w:rFonts w:ascii="Arial" w:hAnsi="Arial" w:cs="Arial"/>
          <w:sz w:val="18"/>
          <w:szCs w:val="18"/>
        </w:rPr>
        <w:t xml:space="preserve">Participants </w:t>
      </w:r>
      <w:r w:rsidR="004701F5">
        <w:rPr>
          <w:rFonts w:ascii="Arial" w:hAnsi="Arial" w:cs="Arial"/>
          <w:sz w:val="18"/>
          <w:szCs w:val="18"/>
        </w:rPr>
        <w:t>will be</w:t>
      </w:r>
      <w:r w:rsidR="004C4AC8">
        <w:rPr>
          <w:rFonts w:ascii="Arial" w:hAnsi="Arial" w:cs="Arial"/>
          <w:sz w:val="18"/>
          <w:szCs w:val="18"/>
        </w:rPr>
        <w:t xml:space="preserve"> recommended to perform each test in consecutive weeks over a 4 week period.</w:t>
      </w:r>
      <w:r w:rsidR="00D47ED9">
        <w:rPr>
          <w:rFonts w:ascii="Arial" w:hAnsi="Arial" w:cs="Arial"/>
          <w:sz w:val="18"/>
          <w:szCs w:val="18"/>
        </w:rPr>
        <w:t xml:space="preserve"> </w:t>
      </w:r>
      <w:r>
        <w:rPr>
          <w:rFonts w:ascii="Arial" w:hAnsi="Arial" w:cs="Arial"/>
          <w:sz w:val="18"/>
          <w:szCs w:val="18"/>
        </w:rPr>
        <w:t>The data obtained from the four treatments (negative/positive controls and two test fibres) will be compared for statistical significance by Friedman’s test (treatme</w:t>
      </w:r>
      <w:r w:rsidR="004701F5">
        <w:rPr>
          <w:rFonts w:ascii="Arial" w:hAnsi="Arial" w:cs="Arial"/>
          <w:sz w:val="18"/>
          <w:szCs w:val="18"/>
        </w:rPr>
        <w:t xml:space="preserve">nt and subject), at P&lt;0.05 </w:t>
      </w:r>
      <w:r>
        <w:rPr>
          <w:rFonts w:ascii="Arial" w:hAnsi="Arial" w:cs="Arial"/>
          <w:sz w:val="18"/>
          <w:szCs w:val="18"/>
        </w:rPr>
        <w:t>w</w:t>
      </w:r>
      <w:r w:rsidR="004701F5">
        <w:rPr>
          <w:rFonts w:ascii="Arial" w:hAnsi="Arial" w:cs="Arial"/>
          <w:sz w:val="18"/>
          <w:szCs w:val="18"/>
        </w:rPr>
        <w:t>hen the results are significant and</w:t>
      </w:r>
      <w:r>
        <w:rPr>
          <w:rFonts w:ascii="Arial" w:hAnsi="Arial" w:cs="Arial"/>
          <w:sz w:val="18"/>
          <w:szCs w:val="18"/>
        </w:rPr>
        <w:t xml:space="preserve"> Wilcoxon pairwise comparison (control vs PHGG and control vs </w:t>
      </w:r>
      <w:r w:rsidR="004701F5">
        <w:rPr>
          <w:rFonts w:ascii="Arial" w:hAnsi="Arial" w:cs="Arial"/>
          <w:sz w:val="18"/>
          <w:szCs w:val="18"/>
        </w:rPr>
        <w:t>gum arabica</w:t>
      </w:r>
      <w:r>
        <w:rPr>
          <w:rFonts w:ascii="Arial" w:hAnsi="Arial" w:cs="Arial"/>
          <w:sz w:val="18"/>
          <w:szCs w:val="18"/>
        </w:rPr>
        <w:t xml:space="preserve">) with Bonferroni correction applied if necessary.  </w:t>
      </w:r>
    </w:p>
    <w:p w:rsidR="00E11A96" w:rsidRDefault="00E977B8" w:rsidP="001B0AF6">
      <w:pPr>
        <w:jc w:val="both"/>
        <w:rPr>
          <w:rFonts w:ascii="Arial" w:hAnsi="Arial" w:cs="Arial"/>
          <w:b/>
          <w:sz w:val="18"/>
          <w:szCs w:val="18"/>
        </w:rPr>
      </w:pPr>
      <w:r w:rsidRPr="00242364">
        <w:rPr>
          <w:rFonts w:ascii="Arial" w:hAnsi="Arial" w:cs="Arial"/>
          <w:b/>
          <w:sz w:val="18"/>
          <w:szCs w:val="18"/>
        </w:rPr>
        <w:t>6.</w:t>
      </w:r>
      <w:r w:rsidR="000B09C7">
        <w:rPr>
          <w:rFonts w:ascii="Arial" w:hAnsi="Arial" w:cs="Arial"/>
          <w:b/>
          <w:sz w:val="18"/>
          <w:szCs w:val="18"/>
        </w:rPr>
        <w:t>3</w:t>
      </w:r>
      <w:r w:rsidR="00E11A96" w:rsidRPr="00242364">
        <w:rPr>
          <w:rFonts w:ascii="Arial" w:hAnsi="Arial" w:cs="Arial"/>
          <w:b/>
          <w:sz w:val="18"/>
          <w:szCs w:val="18"/>
        </w:rPr>
        <w:t xml:space="preserve"> Mass spectrometry</w:t>
      </w:r>
      <w:r w:rsidR="00FF7605">
        <w:rPr>
          <w:rFonts w:ascii="Arial" w:hAnsi="Arial" w:cs="Arial"/>
          <w:b/>
          <w:sz w:val="18"/>
          <w:szCs w:val="18"/>
        </w:rPr>
        <w:t xml:space="preserve"> and NMR </w:t>
      </w:r>
    </w:p>
    <w:p w:rsidR="00FF7605" w:rsidRDefault="004C4AC8" w:rsidP="001B0AF6">
      <w:pPr>
        <w:spacing w:after="0"/>
        <w:jc w:val="both"/>
        <w:rPr>
          <w:rFonts w:ascii="Arial" w:hAnsi="Arial" w:cs="Arial"/>
          <w:sz w:val="18"/>
          <w:szCs w:val="18"/>
        </w:rPr>
      </w:pPr>
      <w:r>
        <w:rPr>
          <w:rFonts w:ascii="Arial" w:hAnsi="Arial" w:cs="Arial"/>
          <w:sz w:val="18"/>
          <w:szCs w:val="18"/>
        </w:rPr>
        <w:t xml:space="preserve">Little is known about the chemical structures of these soluble fibres. Currently, there are only estimates on the polysaccharide length of some fibres. We plan to investigate the percentage composition </w:t>
      </w:r>
      <w:r w:rsidR="00D47ED9">
        <w:rPr>
          <w:rFonts w:ascii="Arial" w:hAnsi="Arial" w:cs="Arial"/>
          <w:sz w:val="18"/>
          <w:szCs w:val="18"/>
        </w:rPr>
        <w:t xml:space="preserve">and size </w:t>
      </w:r>
      <w:r>
        <w:rPr>
          <w:rFonts w:ascii="Arial" w:hAnsi="Arial" w:cs="Arial"/>
          <w:sz w:val="18"/>
          <w:szCs w:val="18"/>
        </w:rPr>
        <w:t xml:space="preserve">of the sugar units in each </w:t>
      </w:r>
      <w:r w:rsidR="00D47ED9">
        <w:rPr>
          <w:rFonts w:ascii="Arial" w:hAnsi="Arial" w:cs="Arial"/>
          <w:sz w:val="18"/>
          <w:szCs w:val="18"/>
        </w:rPr>
        <w:t xml:space="preserve">test </w:t>
      </w:r>
      <w:r>
        <w:rPr>
          <w:rFonts w:ascii="Arial" w:hAnsi="Arial" w:cs="Arial"/>
          <w:sz w:val="18"/>
          <w:szCs w:val="18"/>
        </w:rPr>
        <w:t>fibre such as mannose, dextrose and other fibre-specific sugars by using refractive-index chromatography and Q-ToF mass spectrometry. The structure</w:t>
      </w:r>
      <w:r w:rsidR="00D47ED9">
        <w:rPr>
          <w:rFonts w:ascii="Arial" w:hAnsi="Arial" w:cs="Arial"/>
          <w:sz w:val="18"/>
          <w:szCs w:val="18"/>
        </w:rPr>
        <w:t>s</w:t>
      </w:r>
      <w:r>
        <w:rPr>
          <w:rFonts w:ascii="Arial" w:hAnsi="Arial" w:cs="Arial"/>
          <w:sz w:val="18"/>
          <w:szCs w:val="18"/>
        </w:rPr>
        <w:t xml:space="preserve"> of </w:t>
      </w:r>
      <w:r w:rsidR="00D47ED9">
        <w:rPr>
          <w:rFonts w:ascii="Arial" w:hAnsi="Arial" w:cs="Arial"/>
          <w:sz w:val="18"/>
          <w:szCs w:val="18"/>
        </w:rPr>
        <w:t>each individual fibre unit</w:t>
      </w:r>
      <w:r>
        <w:rPr>
          <w:rFonts w:ascii="Arial" w:hAnsi="Arial" w:cs="Arial"/>
          <w:sz w:val="18"/>
          <w:szCs w:val="18"/>
        </w:rPr>
        <w:t xml:space="preserve"> and its constituent sugar units will be characterised using 2D NMR if possible. Using statistical analysis and </w:t>
      </w:r>
      <w:r w:rsidR="004701F5">
        <w:rPr>
          <w:rFonts w:ascii="Arial" w:hAnsi="Arial" w:cs="Arial"/>
          <w:sz w:val="18"/>
          <w:szCs w:val="18"/>
        </w:rPr>
        <w:t>data collation</w:t>
      </w:r>
      <w:r>
        <w:rPr>
          <w:rFonts w:ascii="Arial" w:hAnsi="Arial" w:cs="Arial"/>
          <w:sz w:val="18"/>
          <w:szCs w:val="18"/>
        </w:rPr>
        <w:t xml:space="preserve"> from all these approaches we hope to provide as much information as possible for clinical practitioners who wish to alleviate gastroparesis symptoms using dietary fibres.</w:t>
      </w:r>
      <w:r w:rsidRPr="00B7071C">
        <w:rPr>
          <w:rFonts w:ascii="Arial" w:hAnsi="Arial" w:cs="Arial"/>
          <w:sz w:val="18"/>
          <w:szCs w:val="18"/>
        </w:rPr>
        <w:t xml:space="preserve"> </w:t>
      </w:r>
      <w:r w:rsidR="00BC1E8B">
        <w:rPr>
          <w:rFonts w:ascii="Arial" w:hAnsi="Arial" w:cs="Arial"/>
          <w:sz w:val="18"/>
          <w:szCs w:val="18"/>
        </w:rPr>
        <w:t xml:space="preserve">In addition, </w:t>
      </w:r>
      <w:r w:rsidR="004701F5">
        <w:rPr>
          <w:rFonts w:ascii="Arial" w:hAnsi="Arial" w:cs="Arial"/>
          <w:sz w:val="18"/>
          <w:szCs w:val="18"/>
        </w:rPr>
        <w:t xml:space="preserve">these techniques may whether </w:t>
      </w:r>
      <w:r w:rsidR="00BC1E8B">
        <w:rPr>
          <w:rFonts w:ascii="Arial" w:hAnsi="Arial" w:cs="Arial"/>
          <w:sz w:val="18"/>
          <w:szCs w:val="18"/>
        </w:rPr>
        <w:t xml:space="preserve">reveal the </w:t>
      </w:r>
      <w:r w:rsidR="004701F5">
        <w:rPr>
          <w:rFonts w:ascii="Arial" w:hAnsi="Arial" w:cs="Arial"/>
          <w:sz w:val="18"/>
          <w:szCs w:val="18"/>
        </w:rPr>
        <w:t xml:space="preserve">structural characteristics </w:t>
      </w:r>
      <w:r w:rsidR="00BC1E8B">
        <w:rPr>
          <w:rFonts w:ascii="Arial" w:hAnsi="Arial" w:cs="Arial"/>
          <w:sz w:val="18"/>
          <w:szCs w:val="18"/>
        </w:rPr>
        <w:t>con</w:t>
      </w:r>
      <w:r w:rsidR="004701F5">
        <w:rPr>
          <w:rFonts w:ascii="Arial" w:hAnsi="Arial" w:cs="Arial"/>
          <w:sz w:val="18"/>
          <w:szCs w:val="18"/>
        </w:rPr>
        <w:t>tribute to a fibre’s</w:t>
      </w:r>
      <w:r w:rsidR="00BC1E8B">
        <w:rPr>
          <w:rFonts w:ascii="Arial" w:hAnsi="Arial" w:cs="Arial"/>
          <w:sz w:val="18"/>
          <w:szCs w:val="18"/>
        </w:rPr>
        <w:t xml:space="preserve"> beneficial effects. </w:t>
      </w:r>
      <w:r>
        <w:rPr>
          <w:rFonts w:ascii="Arial" w:hAnsi="Arial" w:cs="Arial"/>
          <w:sz w:val="18"/>
          <w:szCs w:val="18"/>
        </w:rPr>
        <w:t xml:space="preserve">We will not go into specific detail of the protocol as it is not relevant to this ethics application.  </w:t>
      </w:r>
      <w:r w:rsidRPr="00B7071C">
        <w:rPr>
          <w:rFonts w:ascii="Arial" w:hAnsi="Arial" w:cs="Arial"/>
          <w:sz w:val="18"/>
          <w:szCs w:val="18"/>
        </w:rPr>
        <w:t xml:space="preserve"> </w:t>
      </w:r>
    </w:p>
    <w:p w:rsidR="004C4AC8" w:rsidRDefault="004C4AC8" w:rsidP="001B0AF6">
      <w:pPr>
        <w:spacing w:after="0"/>
        <w:jc w:val="both"/>
        <w:rPr>
          <w:rFonts w:ascii="Arial" w:hAnsi="Arial" w:cs="Arial"/>
          <w:b/>
          <w:sz w:val="18"/>
          <w:szCs w:val="18"/>
        </w:rPr>
      </w:pPr>
    </w:p>
    <w:p w:rsidR="001833AE" w:rsidRPr="00242364" w:rsidRDefault="000B09C7" w:rsidP="001B0AF6">
      <w:pPr>
        <w:spacing w:after="0"/>
        <w:jc w:val="both"/>
        <w:rPr>
          <w:rFonts w:ascii="Arial" w:hAnsi="Arial" w:cs="Arial"/>
          <w:b/>
          <w:sz w:val="18"/>
          <w:szCs w:val="18"/>
        </w:rPr>
      </w:pPr>
      <w:r>
        <w:rPr>
          <w:rFonts w:ascii="Arial" w:hAnsi="Arial" w:cs="Arial"/>
          <w:b/>
          <w:sz w:val="18"/>
          <w:szCs w:val="18"/>
        </w:rPr>
        <w:t>6.5</w:t>
      </w:r>
      <w:r w:rsidR="00E977B8" w:rsidRPr="00242364">
        <w:rPr>
          <w:rFonts w:ascii="Arial" w:hAnsi="Arial" w:cs="Arial"/>
          <w:b/>
          <w:sz w:val="18"/>
          <w:szCs w:val="18"/>
        </w:rPr>
        <w:t xml:space="preserve"> Outcome measurements</w:t>
      </w:r>
    </w:p>
    <w:p w:rsidR="00FF7605" w:rsidRDefault="00FF7605" w:rsidP="001B0AF6">
      <w:pPr>
        <w:spacing w:after="0"/>
        <w:jc w:val="both"/>
        <w:rPr>
          <w:rFonts w:ascii="Arial" w:hAnsi="Arial" w:cs="Arial"/>
          <w:b/>
          <w:sz w:val="18"/>
          <w:szCs w:val="18"/>
        </w:rPr>
      </w:pPr>
    </w:p>
    <w:p w:rsidR="00E977B8" w:rsidRPr="00242364" w:rsidRDefault="004906E1" w:rsidP="001B0AF6">
      <w:pPr>
        <w:spacing w:after="0"/>
        <w:jc w:val="both"/>
        <w:rPr>
          <w:rFonts w:ascii="Arial" w:hAnsi="Arial" w:cs="Arial"/>
          <w:b/>
          <w:sz w:val="18"/>
          <w:szCs w:val="18"/>
        </w:rPr>
      </w:pPr>
      <w:r w:rsidRPr="00242364">
        <w:rPr>
          <w:rFonts w:ascii="Arial" w:hAnsi="Arial" w:cs="Arial"/>
          <w:b/>
          <w:sz w:val="18"/>
          <w:szCs w:val="18"/>
        </w:rPr>
        <w:t>Demographics and background history</w:t>
      </w:r>
    </w:p>
    <w:p w:rsidR="00C31A0C" w:rsidRDefault="00C31A0C" w:rsidP="001B0AF6">
      <w:pPr>
        <w:spacing w:after="0"/>
        <w:jc w:val="both"/>
        <w:rPr>
          <w:rFonts w:ascii="Arial" w:hAnsi="Arial" w:cs="Arial"/>
          <w:sz w:val="18"/>
          <w:szCs w:val="18"/>
        </w:rPr>
      </w:pPr>
      <w:r>
        <w:rPr>
          <w:rFonts w:ascii="Arial" w:hAnsi="Arial" w:cs="Arial"/>
          <w:sz w:val="18"/>
          <w:szCs w:val="18"/>
        </w:rPr>
        <w:t xml:space="preserve">Age, gender, </w:t>
      </w:r>
      <w:r w:rsidR="007D712D">
        <w:rPr>
          <w:rFonts w:ascii="Arial" w:hAnsi="Arial" w:cs="Arial"/>
          <w:sz w:val="18"/>
          <w:szCs w:val="18"/>
        </w:rPr>
        <w:t xml:space="preserve">BMI, </w:t>
      </w:r>
      <w:r>
        <w:rPr>
          <w:rFonts w:ascii="Arial" w:hAnsi="Arial" w:cs="Arial"/>
          <w:sz w:val="18"/>
          <w:szCs w:val="18"/>
        </w:rPr>
        <w:t>gastroparesis</w:t>
      </w:r>
      <w:r w:rsidR="004906E1" w:rsidRPr="00242364">
        <w:rPr>
          <w:rFonts w:ascii="Arial" w:hAnsi="Arial" w:cs="Arial"/>
          <w:sz w:val="18"/>
          <w:szCs w:val="18"/>
        </w:rPr>
        <w:t xml:space="preserve">, </w:t>
      </w:r>
      <w:r>
        <w:rPr>
          <w:rFonts w:ascii="Arial" w:hAnsi="Arial" w:cs="Arial"/>
          <w:sz w:val="18"/>
          <w:szCs w:val="18"/>
        </w:rPr>
        <w:t>delayed gastric emptying</w:t>
      </w:r>
      <w:r w:rsidR="004906E1" w:rsidRPr="00242364">
        <w:rPr>
          <w:rFonts w:ascii="Arial" w:hAnsi="Arial" w:cs="Arial"/>
          <w:sz w:val="18"/>
          <w:szCs w:val="18"/>
        </w:rPr>
        <w:t xml:space="preserve">, </w:t>
      </w:r>
      <w:r w:rsidR="007D712D">
        <w:rPr>
          <w:rFonts w:ascii="Arial" w:hAnsi="Arial" w:cs="Arial"/>
          <w:sz w:val="18"/>
          <w:szCs w:val="18"/>
        </w:rPr>
        <w:t xml:space="preserve">GI disorders, </w:t>
      </w:r>
      <w:r w:rsidR="00D47ED9">
        <w:rPr>
          <w:rFonts w:ascii="Arial" w:hAnsi="Arial" w:cs="Arial"/>
          <w:sz w:val="18"/>
          <w:szCs w:val="18"/>
        </w:rPr>
        <w:t>type 1 diabetes,</w:t>
      </w:r>
      <w:r>
        <w:rPr>
          <w:rFonts w:ascii="Arial" w:hAnsi="Arial" w:cs="Arial"/>
          <w:sz w:val="18"/>
          <w:szCs w:val="18"/>
        </w:rPr>
        <w:t xml:space="preserve"> type 2 diabetes</w:t>
      </w:r>
      <w:r w:rsidR="007D712D">
        <w:rPr>
          <w:rFonts w:ascii="Arial" w:hAnsi="Arial" w:cs="Arial"/>
          <w:sz w:val="18"/>
          <w:szCs w:val="18"/>
        </w:rPr>
        <w:t>, general diet and exercise</w:t>
      </w:r>
      <w:r w:rsidR="00D47ED9">
        <w:rPr>
          <w:rFonts w:ascii="Arial" w:hAnsi="Arial" w:cs="Arial"/>
          <w:sz w:val="18"/>
          <w:szCs w:val="18"/>
        </w:rPr>
        <w:t>.</w:t>
      </w:r>
      <w:r>
        <w:rPr>
          <w:rFonts w:ascii="Arial" w:hAnsi="Arial" w:cs="Arial"/>
          <w:sz w:val="18"/>
          <w:szCs w:val="18"/>
        </w:rPr>
        <w:t xml:space="preserve"> </w:t>
      </w:r>
    </w:p>
    <w:p w:rsidR="00FF7605" w:rsidRDefault="00FF7605" w:rsidP="001B0AF6">
      <w:pPr>
        <w:spacing w:after="0"/>
        <w:jc w:val="both"/>
        <w:rPr>
          <w:rFonts w:ascii="Arial" w:hAnsi="Arial" w:cs="Arial"/>
          <w:b/>
          <w:sz w:val="18"/>
          <w:szCs w:val="18"/>
        </w:rPr>
      </w:pPr>
    </w:p>
    <w:p w:rsidR="004906E1" w:rsidRPr="00242364" w:rsidRDefault="004906E1" w:rsidP="001B0AF6">
      <w:pPr>
        <w:spacing w:after="0"/>
        <w:jc w:val="both"/>
        <w:rPr>
          <w:rFonts w:ascii="Arial" w:hAnsi="Arial" w:cs="Arial"/>
          <w:b/>
          <w:sz w:val="18"/>
          <w:szCs w:val="18"/>
        </w:rPr>
      </w:pPr>
      <w:r w:rsidRPr="00242364">
        <w:rPr>
          <w:rFonts w:ascii="Arial" w:hAnsi="Arial" w:cs="Arial"/>
          <w:b/>
          <w:sz w:val="18"/>
          <w:szCs w:val="18"/>
        </w:rPr>
        <w:t>Sample collection</w:t>
      </w:r>
    </w:p>
    <w:p w:rsidR="004906E1" w:rsidRPr="00242364" w:rsidRDefault="007D712D" w:rsidP="001B0AF6">
      <w:pPr>
        <w:spacing w:after="0"/>
        <w:jc w:val="both"/>
        <w:rPr>
          <w:rFonts w:ascii="Arial" w:hAnsi="Arial" w:cs="Arial"/>
          <w:sz w:val="18"/>
          <w:szCs w:val="18"/>
        </w:rPr>
      </w:pPr>
      <w:r>
        <w:rPr>
          <w:rFonts w:ascii="Arial" w:hAnsi="Arial" w:cs="Arial"/>
          <w:sz w:val="18"/>
          <w:szCs w:val="18"/>
        </w:rPr>
        <w:t>B</w:t>
      </w:r>
      <w:r w:rsidR="000B09C7">
        <w:rPr>
          <w:rFonts w:ascii="Arial" w:hAnsi="Arial" w:cs="Arial"/>
          <w:sz w:val="18"/>
          <w:szCs w:val="18"/>
        </w:rPr>
        <w:t>lood glucose m</w:t>
      </w:r>
      <w:r>
        <w:rPr>
          <w:rFonts w:ascii="Arial" w:hAnsi="Arial" w:cs="Arial"/>
          <w:sz w:val="18"/>
          <w:szCs w:val="18"/>
        </w:rPr>
        <w:t>onitoring, Gastr</w:t>
      </w:r>
      <w:r w:rsidR="00D47ED9">
        <w:rPr>
          <w:rFonts w:ascii="Arial" w:hAnsi="Arial" w:cs="Arial"/>
          <w:sz w:val="18"/>
          <w:szCs w:val="18"/>
        </w:rPr>
        <w:t>oparesis cardinal symptom index</w:t>
      </w:r>
    </w:p>
    <w:p w:rsidR="00E977B8" w:rsidRPr="00242364" w:rsidRDefault="00E977B8" w:rsidP="001B0AF6">
      <w:pPr>
        <w:spacing w:after="0"/>
        <w:jc w:val="both"/>
        <w:rPr>
          <w:rFonts w:ascii="Arial" w:hAnsi="Arial" w:cs="Arial"/>
          <w:b/>
          <w:sz w:val="18"/>
          <w:szCs w:val="18"/>
        </w:rPr>
      </w:pPr>
    </w:p>
    <w:p w:rsidR="007A09E8" w:rsidRPr="00242364" w:rsidRDefault="007A09E8" w:rsidP="001B0AF6">
      <w:pPr>
        <w:spacing w:after="0"/>
        <w:jc w:val="both"/>
        <w:rPr>
          <w:rFonts w:ascii="Arial" w:hAnsi="Arial" w:cs="Arial"/>
          <w:b/>
          <w:sz w:val="18"/>
          <w:szCs w:val="18"/>
        </w:rPr>
      </w:pPr>
      <w:r w:rsidRPr="00242364">
        <w:rPr>
          <w:rFonts w:ascii="Arial" w:hAnsi="Arial" w:cs="Arial"/>
          <w:b/>
          <w:sz w:val="18"/>
          <w:szCs w:val="18"/>
        </w:rPr>
        <w:t>6.7</w:t>
      </w:r>
      <w:r w:rsidR="00FA529C" w:rsidRPr="00242364">
        <w:rPr>
          <w:rFonts w:ascii="Arial" w:hAnsi="Arial" w:cs="Arial"/>
          <w:b/>
          <w:sz w:val="18"/>
          <w:szCs w:val="18"/>
        </w:rPr>
        <w:t xml:space="preserve"> Population/Sample size</w:t>
      </w:r>
    </w:p>
    <w:p w:rsidR="007A09E8" w:rsidRPr="00242364" w:rsidRDefault="007A09E8" w:rsidP="001B0AF6">
      <w:pPr>
        <w:shd w:val="clear" w:color="auto" w:fill="FFFFFF" w:themeFill="background1"/>
        <w:spacing w:after="0"/>
        <w:jc w:val="both"/>
        <w:rPr>
          <w:rFonts w:ascii="Arial" w:hAnsi="Arial" w:cs="Arial"/>
          <w:sz w:val="18"/>
          <w:szCs w:val="18"/>
        </w:rPr>
      </w:pPr>
      <w:r w:rsidRPr="00242364">
        <w:rPr>
          <w:rFonts w:ascii="Arial" w:hAnsi="Arial" w:cs="Arial"/>
          <w:sz w:val="18"/>
          <w:szCs w:val="18"/>
        </w:rPr>
        <w:t xml:space="preserve">We wish to study </w:t>
      </w:r>
      <w:r w:rsidR="00EB2E97">
        <w:rPr>
          <w:rFonts w:ascii="Arial" w:hAnsi="Arial" w:cs="Arial"/>
          <w:sz w:val="18"/>
          <w:szCs w:val="18"/>
        </w:rPr>
        <w:t xml:space="preserve">30 </w:t>
      </w:r>
      <w:r w:rsidRPr="00242364">
        <w:rPr>
          <w:rFonts w:ascii="Arial" w:hAnsi="Arial" w:cs="Arial"/>
          <w:sz w:val="18"/>
          <w:szCs w:val="18"/>
        </w:rPr>
        <w:t xml:space="preserve">participants who are referred to the Campbelltown Hospital, </w:t>
      </w:r>
      <w:r w:rsidR="00EB2E97">
        <w:rPr>
          <w:rFonts w:ascii="Arial" w:hAnsi="Arial" w:cs="Arial"/>
          <w:sz w:val="18"/>
          <w:szCs w:val="18"/>
        </w:rPr>
        <w:t>Gastrointestinal Motility Unit for blood glucose measurements</w:t>
      </w:r>
      <w:r w:rsidRPr="00242364">
        <w:rPr>
          <w:rFonts w:ascii="Arial" w:hAnsi="Arial" w:cs="Arial"/>
          <w:sz w:val="18"/>
          <w:szCs w:val="18"/>
        </w:rPr>
        <w:t>. The typical patient population wi</w:t>
      </w:r>
      <w:r w:rsidR="00EB2E97">
        <w:rPr>
          <w:rFonts w:ascii="Arial" w:hAnsi="Arial" w:cs="Arial"/>
          <w:sz w:val="18"/>
          <w:szCs w:val="18"/>
        </w:rPr>
        <w:t>ll be an individual suffering from</w:t>
      </w:r>
      <w:r w:rsidRPr="00242364">
        <w:rPr>
          <w:rFonts w:ascii="Arial" w:hAnsi="Arial" w:cs="Arial"/>
          <w:sz w:val="18"/>
          <w:szCs w:val="18"/>
        </w:rPr>
        <w:t xml:space="preserve"> </w:t>
      </w:r>
      <w:r w:rsidR="00EB2E97">
        <w:rPr>
          <w:rFonts w:ascii="Arial" w:hAnsi="Arial" w:cs="Arial"/>
          <w:sz w:val="18"/>
          <w:szCs w:val="18"/>
        </w:rPr>
        <w:t>gastroparesis alone or in conjunction with type 1 or type 2 diabetes</w:t>
      </w:r>
      <w:r w:rsidR="00F96EE5">
        <w:rPr>
          <w:rFonts w:ascii="Arial" w:hAnsi="Arial" w:cs="Arial"/>
          <w:sz w:val="18"/>
          <w:szCs w:val="18"/>
        </w:rPr>
        <w:t>.</w:t>
      </w:r>
      <w:r w:rsidR="000B09C7">
        <w:rPr>
          <w:rFonts w:ascii="Arial" w:hAnsi="Arial" w:cs="Arial"/>
          <w:sz w:val="18"/>
          <w:szCs w:val="18"/>
        </w:rPr>
        <w:t xml:space="preserve"> Other studies involving fibres normally include between 60 to 120 patients, but the trial involve</w:t>
      </w:r>
      <w:r w:rsidR="00F465AE">
        <w:rPr>
          <w:rFonts w:ascii="Arial" w:hAnsi="Arial" w:cs="Arial"/>
          <w:sz w:val="18"/>
          <w:szCs w:val="18"/>
        </w:rPr>
        <w:t>d</w:t>
      </w:r>
      <w:r w:rsidR="000B09C7">
        <w:rPr>
          <w:rFonts w:ascii="Arial" w:hAnsi="Arial" w:cs="Arial"/>
          <w:sz w:val="18"/>
          <w:szCs w:val="18"/>
        </w:rPr>
        <w:t xml:space="preserve"> only one sample and control</w:t>
      </w:r>
      <w:r w:rsidR="00F465AE">
        <w:rPr>
          <w:rFonts w:ascii="Arial" w:hAnsi="Arial" w:cs="Arial"/>
          <w:sz w:val="18"/>
          <w:szCs w:val="18"/>
        </w:rPr>
        <w:t xml:space="preserve"> </w:t>
      </w:r>
      <w:r w:rsidR="006315FC" w:rsidRPr="006315FC">
        <w:rPr>
          <w:rFonts w:ascii="Arial" w:hAnsi="Arial" w:cs="Arial"/>
          <w:b/>
          <w:sz w:val="18"/>
          <w:szCs w:val="18"/>
          <w:vertAlign w:val="superscript"/>
        </w:rPr>
        <w:t>[1]</w:t>
      </w:r>
      <w:r w:rsidR="000B09C7">
        <w:rPr>
          <w:rFonts w:ascii="Arial" w:hAnsi="Arial" w:cs="Arial"/>
          <w:sz w:val="18"/>
          <w:szCs w:val="18"/>
        </w:rPr>
        <w:t>. In this study the participants will experience 4 tests, once for each fibre and one con</w:t>
      </w:r>
      <w:r w:rsidR="00FF7605">
        <w:rPr>
          <w:rFonts w:ascii="Arial" w:hAnsi="Arial" w:cs="Arial"/>
          <w:sz w:val="18"/>
          <w:szCs w:val="18"/>
        </w:rPr>
        <w:t>trol spread once week apart.</w:t>
      </w:r>
    </w:p>
    <w:p w:rsidR="007A09E8" w:rsidRPr="00242364" w:rsidRDefault="007A09E8" w:rsidP="001B0AF6">
      <w:pPr>
        <w:spacing w:after="0"/>
        <w:jc w:val="both"/>
        <w:rPr>
          <w:rFonts w:ascii="Arial" w:hAnsi="Arial" w:cs="Arial"/>
          <w:b/>
          <w:sz w:val="18"/>
          <w:szCs w:val="18"/>
        </w:rPr>
      </w:pPr>
    </w:p>
    <w:p w:rsidR="00FA529C" w:rsidRPr="00242364" w:rsidRDefault="00FA529C" w:rsidP="001B0AF6">
      <w:pPr>
        <w:spacing w:after="0"/>
        <w:jc w:val="both"/>
        <w:rPr>
          <w:rFonts w:ascii="Arial" w:hAnsi="Arial" w:cs="Arial"/>
          <w:b/>
          <w:sz w:val="18"/>
          <w:szCs w:val="18"/>
        </w:rPr>
      </w:pPr>
      <w:r w:rsidRPr="00242364">
        <w:rPr>
          <w:rFonts w:ascii="Arial" w:hAnsi="Arial" w:cs="Arial"/>
          <w:b/>
          <w:sz w:val="18"/>
          <w:szCs w:val="18"/>
        </w:rPr>
        <w:t>6.8 Expected duration of study and start times</w:t>
      </w:r>
    </w:p>
    <w:p w:rsidR="00FA529C" w:rsidRPr="00242364" w:rsidRDefault="00FA529C" w:rsidP="001B0AF6">
      <w:pPr>
        <w:spacing w:after="0"/>
        <w:jc w:val="both"/>
        <w:rPr>
          <w:rFonts w:ascii="Arial" w:hAnsi="Arial" w:cs="Arial"/>
          <w:sz w:val="18"/>
          <w:szCs w:val="18"/>
        </w:rPr>
      </w:pPr>
      <w:r w:rsidRPr="00242364">
        <w:rPr>
          <w:rFonts w:ascii="Arial" w:hAnsi="Arial" w:cs="Arial"/>
          <w:sz w:val="18"/>
          <w:szCs w:val="18"/>
        </w:rPr>
        <w:t>The st</w:t>
      </w:r>
      <w:r w:rsidR="00EB2E97">
        <w:rPr>
          <w:rFonts w:ascii="Arial" w:hAnsi="Arial" w:cs="Arial"/>
          <w:sz w:val="18"/>
          <w:szCs w:val="18"/>
        </w:rPr>
        <w:t xml:space="preserve">art time is anticipated to be 09 </w:t>
      </w:r>
      <w:r w:rsidR="00A8269B">
        <w:rPr>
          <w:rFonts w:ascii="Arial" w:hAnsi="Arial" w:cs="Arial"/>
          <w:sz w:val="18"/>
          <w:szCs w:val="18"/>
        </w:rPr>
        <w:t>August 2017</w:t>
      </w:r>
      <w:r w:rsidRPr="00242364">
        <w:rPr>
          <w:rFonts w:ascii="Arial" w:hAnsi="Arial" w:cs="Arial"/>
          <w:sz w:val="18"/>
          <w:szCs w:val="18"/>
        </w:rPr>
        <w:t xml:space="preserve"> with completion </w:t>
      </w:r>
      <w:r w:rsidR="00EB2E97">
        <w:rPr>
          <w:rFonts w:ascii="Arial" w:hAnsi="Arial" w:cs="Arial"/>
          <w:sz w:val="18"/>
          <w:szCs w:val="18"/>
        </w:rPr>
        <w:t xml:space="preserve">of the project expected to be 09 </w:t>
      </w:r>
      <w:r w:rsidR="00A8269B">
        <w:rPr>
          <w:rFonts w:ascii="Arial" w:hAnsi="Arial" w:cs="Arial"/>
          <w:sz w:val="18"/>
          <w:szCs w:val="18"/>
        </w:rPr>
        <w:t>August 2020</w:t>
      </w:r>
      <w:r w:rsidRPr="00242364">
        <w:rPr>
          <w:rFonts w:ascii="Arial" w:hAnsi="Arial" w:cs="Arial"/>
          <w:sz w:val="18"/>
          <w:szCs w:val="18"/>
        </w:rPr>
        <w:t xml:space="preserve">. The length of the study is expected to last for 3 years. </w:t>
      </w:r>
    </w:p>
    <w:p w:rsidR="00FA529C" w:rsidRPr="00242364" w:rsidRDefault="00FA529C" w:rsidP="001B0AF6">
      <w:pPr>
        <w:spacing w:after="0"/>
        <w:jc w:val="both"/>
        <w:rPr>
          <w:rFonts w:ascii="Arial" w:hAnsi="Arial" w:cs="Arial"/>
          <w:sz w:val="18"/>
          <w:szCs w:val="18"/>
        </w:rPr>
      </w:pPr>
    </w:p>
    <w:p w:rsidR="00FA529C" w:rsidRPr="00242364" w:rsidRDefault="00FA529C" w:rsidP="001B0AF6">
      <w:pPr>
        <w:spacing w:after="0"/>
        <w:jc w:val="both"/>
        <w:outlineLvl w:val="0"/>
        <w:rPr>
          <w:rFonts w:ascii="Arial" w:eastAsia="Times New Roman" w:hAnsi="Arial" w:cs="Arial"/>
          <w:b/>
          <w:sz w:val="18"/>
          <w:szCs w:val="18"/>
          <w:lang w:eastAsia="en-AU"/>
        </w:rPr>
      </w:pPr>
      <w:bookmarkStart w:id="12" w:name="_Toc229297242"/>
      <w:bookmarkStart w:id="13" w:name="_Toc229297349"/>
      <w:bookmarkStart w:id="14" w:name="_Toc229298372"/>
      <w:bookmarkStart w:id="15" w:name="_Toc229307339"/>
      <w:bookmarkStart w:id="16" w:name="_Toc229308159"/>
      <w:bookmarkStart w:id="17" w:name="_Toc235338633"/>
      <w:bookmarkStart w:id="18" w:name="_Toc236472635"/>
      <w:bookmarkStart w:id="19" w:name="_Toc236473755"/>
      <w:bookmarkStart w:id="20" w:name="_Toc237834110"/>
      <w:r w:rsidRPr="00242364">
        <w:rPr>
          <w:rFonts w:ascii="Arial" w:eastAsia="Times New Roman" w:hAnsi="Arial" w:cs="Arial"/>
          <w:b/>
          <w:sz w:val="18"/>
          <w:szCs w:val="18"/>
          <w:lang w:eastAsia="en-AU"/>
        </w:rPr>
        <w:t>7.  ETHICAL CONSIDERATIONS</w:t>
      </w:r>
      <w:bookmarkEnd w:id="12"/>
      <w:bookmarkEnd w:id="13"/>
      <w:bookmarkEnd w:id="14"/>
      <w:bookmarkEnd w:id="15"/>
      <w:bookmarkEnd w:id="16"/>
      <w:bookmarkEnd w:id="17"/>
      <w:bookmarkEnd w:id="18"/>
      <w:bookmarkEnd w:id="19"/>
      <w:bookmarkEnd w:id="20"/>
    </w:p>
    <w:p w:rsidR="00FA529C" w:rsidRPr="00242364" w:rsidRDefault="00FA529C" w:rsidP="001B0AF6">
      <w:pPr>
        <w:spacing w:after="0"/>
        <w:ind w:left="720"/>
        <w:jc w:val="both"/>
        <w:rPr>
          <w:rFonts w:ascii="Arial" w:eastAsia="Times New Roman" w:hAnsi="Arial" w:cs="Arial"/>
          <w:i/>
          <w:sz w:val="18"/>
          <w:szCs w:val="18"/>
          <w:lang w:eastAsia="en-AU"/>
        </w:rPr>
      </w:pPr>
    </w:p>
    <w:p w:rsidR="00FA529C" w:rsidRPr="00242364" w:rsidRDefault="00FA529C" w:rsidP="001B0AF6">
      <w:pPr>
        <w:spacing w:after="0"/>
        <w:jc w:val="both"/>
        <w:rPr>
          <w:rFonts w:ascii="Arial" w:eastAsia="Times New Roman" w:hAnsi="Arial" w:cs="Arial"/>
          <w:b/>
          <w:sz w:val="18"/>
          <w:szCs w:val="18"/>
          <w:lang w:eastAsia="en-AU"/>
        </w:rPr>
      </w:pPr>
      <w:bookmarkStart w:id="21" w:name="_Toc229298373"/>
      <w:bookmarkStart w:id="22" w:name="_Toc229307340"/>
      <w:bookmarkStart w:id="23" w:name="_Toc229308160"/>
      <w:bookmarkStart w:id="24" w:name="_Toc235338634"/>
      <w:bookmarkStart w:id="25" w:name="_Toc236472637"/>
      <w:bookmarkStart w:id="26" w:name="_Toc236473757"/>
      <w:bookmarkStart w:id="27" w:name="_Toc229297243"/>
      <w:bookmarkStart w:id="28" w:name="_Toc229297350"/>
      <w:r w:rsidRPr="00242364">
        <w:rPr>
          <w:rFonts w:ascii="Arial" w:eastAsia="Times New Roman" w:hAnsi="Arial" w:cs="Arial"/>
          <w:b/>
          <w:sz w:val="18"/>
          <w:szCs w:val="18"/>
          <w:lang w:eastAsia="en-AU"/>
        </w:rPr>
        <w:t>7.1 Recruitment and selection of participants</w:t>
      </w:r>
      <w:bookmarkEnd w:id="21"/>
      <w:bookmarkEnd w:id="22"/>
      <w:bookmarkEnd w:id="23"/>
      <w:bookmarkEnd w:id="24"/>
      <w:bookmarkEnd w:id="25"/>
      <w:bookmarkEnd w:id="26"/>
    </w:p>
    <w:p w:rsidR="00FA529C" w:rsidRPr="00242364" w:rsidRDefault="00C31A0C" w:rsidP="001B0AF6">
      <w:pPr>
        <w:spacing w:after="0"/>
        <w:jc w:val="both"/>
        <w:rPr>
          <w:rFonts w:ascii="Arial" w:hAnsi="Arial" w:cs="Arial"/>
          <w:sz w:val="18"/>
          <w:szCs w:val="18"/>
        </w:rPr>
      </w:pPr>
      <w:r w:rsidRPr="00EB2E97">
        <w:rPr>
          <w:rFonts w:ascii="Arial" w:hAnsi="Arial" w:cs="Arial"/>
          <w:color w:val="000000" w:themeColor="text1"/>
          <w:sz w:val="18"/>
          <w:szCs w:val="18"/>
          <w:shd w:val="clear" w:color="auto" w:fill="FFFFFF" w:themeFill="background1"/>
        </w:rPr>
        <w:t>Thirty</w:t>
      </w:r>
      <w:r w:rsidR="00FB4CFB" w:rsidRPr="00EB2E97">
        <w:rPr>
          <w:rFonts w:ascii="Arial" w:hAnsi="Arial" w:cs="Arial"/>
          <w:color w:val="000000" w:themeColor="text1"/>
          <w:sz w:val="18"/>
          <w:szCs w:val="18"/>
          <w:shd w:val="clear" w:color="auto" w:fill="FFFFFF" w:themeFill="background1"/>
        </w:rPr>
        <w:t xml:space="preserve"> </w:t>
      </w:r>
      <w:r w:rsidR="00FA529C" w:rsidRPr="00EB2E97">
        <w:rPr>
          <w:rFonts w:ascii="Arial" w:hAnsi="Arial" w:cs="Arial"/>
          <w:color w:val="000000" w:themeColor="text1"/>
          <w:sz w:val="18"/>
          <w:szCs w:val="18"/>
          <w:shd w:val="clear" w:color="auto" w:fill="FFFFFF" w:themeFill="background1"/>
        </w:rPr>
        <w:t>patients</w:t>
      </w:r>
      <w:r w:rsidR="00FA529C" w:rsidRPr="00EB2E97">
        <w:rPr>
          <w:rFonts w:ascii="Arial" w:hAnsi="Arial" w:cs="Arial"/>
          <w:color w:val="000000" w:themeColor="text1"/>
          <w:sz w:val="18"/>
          <w:szCs w:val="18"/>
        </w:rPr>
        <w:t xml:space="preserve"> </w:t>
      </w:r>
      <w:r w:rsidR="00FA529C" w:rsidRPr="00242364">
        <w:rPr>
          <w:rFonts w:ascii="Arial" w:hAnsi="Arial" w:cs="Arial"/>
          <w:sz w:val="18"/>
          <w:szCs w:val="18"/>
        </w:rPr>
        <w:t xml:space="preserve">referred for </w:t>
      </w:r>
      <w:r w:rsidR="003D043A">
        <w:rPr>
          <w:rFonts w:ascii="Arial" w:hAnsi="Arial" w:cs="Arial"/>
          <w:sz w:val="18"/>
          <w:szCs w:val="18"/>
        </w:rPr>
        <w:t>gastroparesis ailments</w:t>
      </w:r>
      <w:r w:rsidR="00FA529C" w:rsidRPr="00242364">
        <w:rPr>
          <w:rFonts w:ascii="Arial" w:hAnsi="Arial" w:cs="Arial"/>
          <w:sz w:val="18"/>
          <w:szCs w:val="18"/>
        </w:rPr>
        <w:t xml:space="preserve"> are </w:t>
      </w:r>
      <w:r w:rsidR="001A32DD" w:rsidRPr="00242364">
        <w:rPr>
          <w:rFonts w:ascii="Arial" w:hAnsi="Arial" w:cs="Arial"/>
          <w:sz w:val="18"/>
          <w:szCs w:val="18"/>
        </w:rPr>
        <w:t>selected for</w:t>
      </w:r>
      <w:r w:rsidR="003D043A">
        <w:rPr>
          <w:rFonts w:ascii="Arial" w:hAnsi="Arial" w:cs="Arial"/>
          <w:sz w:val="18"/>
          <w:szCs w:val="18"/>
        </w:rPr>
        <w:t xml:space="preserve"> dietary fibre pre-loading with water </w:t>
      </w:r>
      <w:r w:rsidR="00F465AE">
        <w:rPr>
          <w:rFonts w:ascii="Arial" w:hAnsi="Arial" w:cs="Arial"/>
          <w:sz w:val="18"/>
          <w:szCs w:val="18"/>
        </w:rPr>
        <w:t>after the consumption of 50g glucose dissolved in 125</w:t>
      </w:r>
      <w:r w:rsidR="00C00214">
        <w:rPr>
          <w:rFonts w:ascii="Arial" w:hAnsi="Arial" w:cs="Arial"/>
          <w:sz w:val="18"/>
          <w:szCs w:val="18"/>
        </w:rPr>
        <w:t>mL of water</w:t>
      </w:r>
      <w:r w:rsidR="001A32DD" w:rsidRPr="00242364">
        <w:rPr>
          <w:rFonts w:ascii="Arial" w:hAnsi="Arial" w:cs="Arial"/>
          <w:sz w:val="18"/>
          <w:szCs w:val="18"/>
        </w:rPr>
        <w:t xml:space="preserve">. </w:t>
      </w:r>
      <w:r>
        <w:rPr>
          <w:rFonts w:ascii="Arial" w:eastAsia="Times New Roman" w:hAnsi="Arial" w:cs="Arial"/>
          <w:sz w:val="18"/>
          <w:szCs w:val="18"/>
          <w:lang w:eastAsia="en-AU"/>
        </w:rPr>
        <w:t xml:space="preserve">Dr </w:t>
      </w:r>
      <w:r w:rsidR="001A32DD" w:rsidRPr="00242364">
        <w:rPr>
          <w:rFonts w:ascii="Arial" w:eastAsia="Times New Roman" w:hAnsi="Arial" w:cs="Arial"/>
          <w:sz w:val="18"/>
          <w:szCs w:val="18"/>
          <w:lang w:eastAsia="en-AU"/>
        </w:rPr>
        <w:t>Ho</w:t>
      </w:r>
      <w:r w:rsidR="00FA529C" w:rsidRPr="00242364">
        <w:rPr>
          <w:rFonts w:ascii="Arial" w:eastAsia="Times New Roman" w:hAnsi="Arial" w:cs="Arial"/>
          <w:sz w:val="18"/>
          <w:szCs w:val="18"/>
          <w:lang w:eastAsia="en-AU"/>
        </w:rPr>
        <w:t xml:space="preserve"> will initiate contact with the potential participants </w:t>
      </w:r>
      <w:r w:rsidR="00C00214">
        <w:rPr>
          <w:rFonts w:ascii="Arial" w:eastAsia="Times New Roman" w:hAnsi="Arial" w:cs="Arial"/>
          <w:sz w:val="18"/>
          <w:szCs w:val="18"/>
          <w:lang w:eastAsia="en-AU"/>
        </w:rPr>
        <w:t xml:space="preserve">through social media (The Inside Story: Gastroparesis support group) </w:t>
      </w:r>
      <w:r w:rsidR="00FA529C" w:rsidRPr="00242364">
        <w:rPr>
          <w:rFonts w:ascii="Arial" w:eastAsia="Times New Roman" w:hAnsi="Arial" w:cs="Arial"/>
          <w:sz w:val="18"/>
          <w:szCs w:val="18"/>
          <w:lang w:eastAsia="en-AU"/>
        </w:rPr>
        <w:t>by presenting them the patient information sheet</w:t>
      </w:r>
      <w:r w:rsidR="00FB4CFB">
        <w:rPr>
          <w:rFonts w:ascii="Arial" w:eastAsia="Times New Roman" w:hAnsi="Arial" w:cs="Arial"/>
          <w:sz w:val="18"/>
          <w:szCs w:val="18"/>
          <w:lang w:eastAsia="en-AU"/>
        </w:rPr>
        <w:t xml:space="preserve"> during their pre-admission clinic appointment</w:t>
      </w:r>
      <w:r w:rsidR="00FA529C" w:rsidRPr="00242364">
        <w:rPr>
          <w:rFonts w:ascii="Arial" w:eastAsia="Times New Roman" w:hAnsi="Arial" w:cs="Arial"/>
          <w:sz w:val="18"/>
          <w:szCs w:val="18"/>
          <w:lang w:eastAsia="en-AU"/>
        </w:rPr>
        <w:t xml:space="preserve">. </w:t>
      </w:r>
      <w:r w:rsidR="00FB4CFB">
        <w:rPr>
          <w:rFonts w:ascii="Arial" w:eastAsia="Times New Roman" w:hAnsi="Arial" w:cs="Arial"/>
          <w:sz w:val="18"/>
          <w:szCs w:val="18"/>
          <w:lang w:eastAsia="en-AU"/>
        </w:rPr>
        <w:t>Patients will have appro</w:t>
      </w:r>
      <w:r>
        <w:rPr>
          <w:rFonts w:ascii="Arial" w:eastAsia="Times New Roman" w:hAnsi="Arial" w:cs="Arial"/>
          <w:sz w:val="18"/>
          <w:szCs w:val="18"/>
          <w:lang w:eastAsia="en-AU"/>
        </w:rPr>
        <w:t>ximately one week to consider whether</w:t>
      </w:r>
      <w:r w:rsidR="00FB4CFB">
        <w:rPr>
          <w:rFonts w:ascii="Arial" w:eastAsia="Times New Roman" w:hAnsi="Arial" w:cs="Arial"/>
          <w:sz w:val="18"/>
          <w:szCs w:val="18"/>
          <w:lang w:eastAsia="en-AU"/>
        </w:rPr>
        <w:t xml:space="preserve"> they </w:t>
      </w:r>
      <w:r>
        <w:rPr>
          <w:rFonts w:ascii="Arial" w:eastAsia="Times New Roman" w:hAnsi="Arial" w:cs="Arial"/>
          <w:sz w:val="18"/>
          <w:szCs w:val="18"/>
          <w:lang w:eastAsia="en-AU"/>
        </w:rPr>
        <w:t>wish</w:t>
      </w:r>
      <w:r w:rsidR="00FB4CFB">
        <w:rPr>
          <w:rFonts w:ascii="Arial" w:eastAsia="Times New Roman" w:hAnsi="Arial" w:cs="Arial"/>
          <w:sz w:val="18"/>
          <w:szCs w:val="18"/>
          <w:lang w:eastAsia="en-AU"/>
        </w:rPr>
        <w:t xml:space="preserve"> to take part in the study. </w:t>
      </w:r>
      <w:r w:rsidR="00FA529C" w:rsidRPr="00242364">
        <w:rPr>
          <w:rFonts w:ascii="Arial" w:eastAsia="Times New Roman" w:hAnsi="Arial" w:cs="Arial"/>
          <w:sz w:val="18"/>
          <w:szCs w:val="18"/>
          <w:lang w:eastAsia="en-AU"/>
        </w:rPr>
        <w:t xml:space="preserve">If the patient </w:t>
      </w:r>
      <w:r>
        <w:rPr>
          <w:rFonts w:ascii="Arial" w:eastAsia="Times New Roman" w:hAnsi="Arial" w:cs="Arial"/>
          <w:sz w:val="18"/>
          <w:szCs w:val="18"/>
          <w:lang w:eastAsia="en-AU"/>
        </w:rPr>
        <w:t>consents to provide regular blood glucose measurements during the test</w:t>
      </w:r>
      <w:r w:rsidR="00FA529C" w:rsidRPr="00242364">
        <w:rPr>
          <w:rFonts w:ascii="Arial" w:eastAsia="Times New Roman" w:hAnsi="Arial" w:cs="Arial"/>
          <w:sz w:val="18"/>
          <w:szCs w:val="18"/>
          <w:lang w:eastAsia="en-AU"/>
        </w:rPr>
        <w:t xml:space="preserve">, </w:t>
      </w:r>
      <w:r w:rsidR="001B0AF6">
        <w:rPr>
          <w:rFonts w:ascii="Arial" w:eastAsia="Times New Roman" w:hAnsi="Arial" w:cs="Arial"/>
          <w:sz w:val="18"/>
          <w:szCs w:val="18"/>
          <w:lang w:eastAsia="en-AU"/>
        </w:rPr>
        <w:t>the investigators</w:t>
      </w:r>
      <w:r>
        <w:rPr>
          <w:rFonts w:ascii="Arial" w:eastAsia="Times New Roman" w:hAnsi="Arial" w:cs="Arial"/>
          <w:sz w:val="18"/>
          <w:szCs w:val="18"/>
          <w:lang w:eastAsia="en-AU"/>
        </w:rPr>
        <w:t xml:space="preserve"> will elaborate on</w:t>
      </w:r>
      <w:r w:rsidR="00FA529C" w:rsidRPr="00242364">
        <w:rPr>
          <w:rFonts w:ascii="Arial" w:eastAsia="Times New Roman" w:hAnsi="Arial" w:cs="Arial"/>
          <w:sz w:val="18"/>
          <w:szCs w:val="18"/>
          <w:lang w:eastAsia="en-AU"/>
        </w:rPr>
        <w:t xml:space="preserve"> the project and the participant’s involvement as well as answer any questions in detail. At the end of this meeting </w:t>
      </w:r>
      <w:r w:rsidR="001B0AF6">
        <w:rPr>
          <w:rFonts w:ascii="Arial" w:eastAsia="Times New Roman" w:hAnsi="Arial" w:cs="Arial"/>
          <w:sz w:val="18"/>
          <w:szCs w:val="18"/>
          <w:lang w:eastAsia="en-AU"/>
        </w:rPr>
        <w:t>investigators</w:t>
      </w:r>
      <w:r w:rsidR="00D64C7E" w:rsidRPr="00242364">
        <w:rPr>
          <w:rFonts w:ascii="Arial" w:eastAsia="Times New Roman" w:hAnsi="Arial" w:cs="Arial"/>
          <w:sz w:val="18"/>
          <w:szCs w:val="18"/>
          <w:lang w:eastAsia="en-AU"/>
        </w:rPr>
        <w:t xml:space="preserve"> </w:t>
      </w:r>
      <w:r w:rsidR="00FA529C" w:rsidRPr="00242364">
        <w:rPr>
          <w:rFonts w:ascii="Arial" w:eastAsia="Times New Roman" w:hAnsi="Arial" w:cs="Arial"/>
          <w:sz w:val="18"/>
          <w:szCs w:val="18"/>
          <w:lang w:eastAsia="en-AU"/>
        </w:rPr>
        <w:t>will</w:t>
      </w:r>
      <w:r>
        <w:rPr>
          <w:rFonts w:ascii="Arial" w:eastAsia="Times New Roman" w:hAnsi="Arial" w:cs="Arial"/>
          <w:sz w:val="18"/>
          <w:szCs w:val="18"/>
          <w:lang w:eastAsia="en-AU"/>
        </w:rPr>
        <w:t xml:space="preserve"> obtain informed consent by signature </w:t>
      </w:r>
      <w:r w:rsidR="00FA529C" w:rsidRPr="00242364">
        <w:rPr>
          <w:rFonts w:ascii="Arial" w:eastAsia="Times New Roman" w:hAnsi="Arial" w:cs="Arial"/>
          <w:sz w:val="18"/>
          <w:szCs w:val="18"/>
          <w:lang w:eastAsia="en-AU"/>
        </w:rPr>
        <w:t>of the patient consent form if the participant is willing to participate in the study.</w:t>
      </w:r>
    </w:p>
    <w:p w:rsidR="00FA529C" w:rsidRPr="00242364" w:rsidRDefault="00FA529C" w:rsidP="001B0AF6">
      <w:pPr>
        <w:spacing w:after="0"/>
        <w:jc w:val="both"/>
        <w:rPr>
          <w:rFonts w:ascii="Arial" w:eastAsia="Times New Roman" w:hAnsi="Arial" w:cs="Arial"/>
          <w:sz w:val="18"/>
          <w:szCs w:val="18"/>
          <w:highlight w:val="yellow"/>
          <w:lang w:eastAsia="en-AU"/>
        </w:rPr>
      </w:pPr>
      <w:bookmarkStart w:id="29" w:name="_Toc229307341"/>
      <w:bookmarkStart w:id="30" w:name="_Toc229308161"/>
      <w:bookmarkStart w:id="31" w:name="_Toc235338635"/>
      <w:bookmarkStart w:id="32" w:name="_Toc236472638"/>
      <w:bookmarkStart w:id="33" w:name="_Toc236473758"/>
    </w:p>
    <w:p w:rsidR="00FA529C" w:rsidRPr="00242364" w:rsidRDefault="0073344D" w:rsidP="001B0AF6">
      <w:pPr>
        <w:spacing w:after="0"/>
        <w:jc w:val="both"/>
        <w:rPr>
          <w:rFonts w:ascii="Arial" w:eastAsia="Times New Roman" w:hAnsi="Arial" w:cs="Arial"/>
          <w:b/>
          <w:sz w:val="18"/>
          <w:szCs w:val="18"/>
          <w:lang w:eastAsia="en-AU"/>
        </w:rPr>
      </w:pPr>
      <w:r>
        <w:rPr>
          <w:rFonts w:ascii="Arial" w:eastAsia="Times New Roman" w:hAnsi="Arial" w:cs="Arial"/>
          <w:b/>
          <w:sz w:val="18"/>
          <w:szCs w:val="18"/>
          <w:lang w:eastAsia="en-AU"/>
        </w:rPr>
        <w:t>7.2</w:t>
      </w:r>
      <w:r w:rsidR="00FA529C" w:rsidRPr="00242364">
        <w:rPr>
          <w:rFonts w:ascii="Arial" w:eastAsia="Times New Roman" w:hAnsi="Arial" w:cs="Arial"/>
          <w:b/>
          <w:sz w:val="18"/>
          <w:szCs w:val="18"/>
          <w:lang w:eastAsia="en-AU"/>
        </w:rPr>
        <w:t xml:space="preserve"> Inclusion and exclusion criteria</w:t>
      </w:r>
      <w:bookmarkEnd w:id="29"/>
      <w:bookmarkEnd w:id="30"/>
      <w:bookmarkEnd w:id="31"/>
      <w:bookmarkEnd w:id="32"/>
      <w:bookmarkEnd w:id="33"/>
    </w:p>
    <w:p w:rsidR="00FA529C" w:rsidRPr="00242364" w:rsidRDefault="00FA529C"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t>Inclusion criteria:</w:t>
      </w:r>
    </w:p>
    <w:p w:rsidR="00FA529C" w:rsidRPr="00242364" w:rsidRDefault="00FA529C" w:rsidP="001B0AF6">
      <w:pPr>
        <w:numPr>
          <w:ilvl w:val="0"/>
          <w:numId w:val="4"/>
        </w:numPr>
        <w:spacing w:after="0"/>
        <w:contextualSpacing/>
        <w:jc w:val="both"/>
        <w:rPr>
          <w:rFonts w:ascii="Arial" w:hAnsi="Arial" w:cs="Arial"/>
          <w:sz w:val="18"/>
          <w:szCs w:val="18"/>
        </w:rPr>
      </w:pPr>
      <w:r w:rsidRPr="00242364">
        <w:rPr>
          <w:rFonts w:ascii="Arial" w:hAnsi="Arial" w:cs="Arial"/>
          <w:sz w:val="18"/>
          <w:szCs w:val="18"/>
        </w:rPr>
        <w:t xml:space="preserve">Males and females 18 </w:t>
      </w:r>
      <w:r w:rsidR="0026697B">
        <w:rPr>
          <w:rFonts w:ascii="Arial" w:hAnsi="Arial" w:cs="Arial"/>
          <w:sz w:val="18"/>
          <w:szCs w:val="18"/>
        </w:rPr>
        <w:t>and over</w:t>
      </w:r>
    </w:p>
    <w:p w:rsidR="00FA529C" w:rsidRPr="00242364" w:rsidRDefault="00FA529C" w:rsidP="001B0AF6">
      <w:pPr>
        <w:numPr>
          <w:ilvl w:val="0"/>
          <w:numId w:val="4"/>
        </w:numPr>
        <w:spacing w:after="0"/>
        <w:contextualSpacing/>
        <w:jc w:val="both"/>
        <w:rPr>
          <w:rFonts w:ascii="Arial" w:hAnsi="Arial" w:cs="Arial"/>
          <w:sz w:val="18"/>
          <w:szCs w:val="18"/>
        </w:rPr>
      </w:pPr>
      <w:r w:rsidRPr="00242364">
        <w:rPr>
          <w:rFonts w:ascii="Arial" w:hAnsi="Arial" w:cs="Arial"/>
          <w:sz w:val="18"/>
          <w:szCs w:val="18"/>
        </w:rPr>
        <w:t>Able to provide verbal and written consent</w:t>
      </w:r>
    </w:p>
    <w:p w:rsidR="00FA529C" w:rsidRDefault="00FA529C" w:rsidP="001B0AF6">
      <w:pPr>
        <w:spacing w:after="0"/>
        <w:jc w:val="both"/>
        <w:rPr>
          <w:rFonts w:ascii="Arial" w:eastAsia="Times New Roman" w:hAnsi="Arial" w:cs="Arial"/>
          <w:sz w:val="18"/>
          <w:szCs w:val="18"/>
          <w:lang w:eastAsia="en-AU"/>
        </w:rPr>
      </w:pPr>
    </w:p>
    <w:p w:rsidR="001B0AF6" w:rsidRDefault="001B0AF6" w:rsidP="001B0AF6">
      <w:pPr>
        <w:spacing w:after="0"/>
        <w:jc w:val="both"/>
        <w:rPr>
          <w:rFonts w:ascii="Arial" w:eastAsia="Times New Roman" w:hAnsi="Arial" w:cs="Arial"/>
          <w:sz w:val="18"/>
          <w:szCs w:val="18"/>
          <w:lang w:eastAsia="en-AU"/>
        </w:rPr>
      </w:pPr>
    </w:p>
    <w:p w:rsidR="001B0AF6" w:rsidRPr="00242364" w:rsidRDefault="001B0AF6" w:rsidP="001B0AF6">
      <w:pPr>
        <w:spacing w:after="0"/>
        <w:jc w:val="both"/>
        <w:rPr>
          <w:rFonts w:ascii="Arial" w:eastAsia="Times New Roman" w:hAnsi="Arial" w:cs="Arial"/>
          <w:sz w:val="18"/>
          <w:szCs w:val="18"/>
          <w:lang w:eastAsia="en-AU"/>
        </w:rPr>
      </w:pPr>
    </w:p>
    <w:p w:rsidR="00FA529C" w:rsidRPr="00242364" w:rsidRDefault="00FA529C"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lastRenderedPageBreak/>
        <w:t>Exclusion Criteria:</w:t>
      </w:r>
    </w:p>
    <w:p w:rsidR="00FA529C" w:rsidRPr="00242364" w:rsidRDefault="00FA529C" w:rsidP="001B0AF6">
      <w:pPr>
        <w:numPr>
          <w:ilvl w:val="0"/>
          <w:numId w:val="5"/>
        </w:numPr>
        <w:spacing w:after="0"/>
        <w:contextualSpacing/>
        <w:jc w:val="both"/>
        <w:rPr>
          <w:rFonts w:ascii="Arial" w:hAnsi="Arial" w:cs="Arial"/>
          <w:sz w:val="18"/>
          <w:szCs w:val="18"/>
        </w:rPr>
      </w:pPr>
      <w:r w:rsidRPr="00242364">
        <w:rPr>
          <w:rFonts w:ascii="Arial" w:hAnsi="Arial" w:cs="Arial"/>
          <w:sz w:val="18"/>
          <w:szCs w:val="18"/>
        </w:rPr>
        <w:t>Pregnant women and the human foetus</w:t>
      </w:r>
    </w:p>
    <w:p w:rsidR="00FA529C" w:rsidRPr="00242364" w:rsidRDefault="00FA529C" w:rsidP="001B0AF6">
      <w:pPr>
        <w:numPr>
          <w:ilvl w:val="0"/>
          <w:numId w:val="5"/>
        </w:numPr>
        <w:spacing w:after="0"/>
        <w:contextualSpacing/>
        <w:jc w:val="both"/>
        <w:rPr>
          <w:rFonts w:ascii="Arial" w:hAnsi="Arial" w:cs="Arial"/>
          <w:sz w:val="18"/>
          <w:szCs w:val="18"/>
        </w:rPr>
      </w:pPr>
      <w:r w:rsidRPr="00242364">
        <w:rPr>
          <w:rFonts w:ascii="Arial" w:hAnsi="Arial" w:cs="Arial"/>
          <w:sz w:val="18"/>
          <w:szCs w:val="18"/>
        </w:rPr>
        <w:t>People under the age of 18</w:t>
      </w:r>
    </w:p>
    <w:p w:rsidR="00FA529C" w:rsidRPr="00242364" w:rsidRDefault="00FA529C" w:rsidP="001B0AF6">
      <w:pPr>
        <w:numPr>
          <w:ilvl w:val="0"/>
          <w:numId w:val="5"/>
        </w:numPr>
        <w:spacing w:after="0"/>
        <w:contextualSpacing/>
        <w:jc w:val="both"/>
        <w:rPr>
          <w:rFonts w:ascii="Arial" w:hAnsi="Arial" w:cs="Arial"/>
          <w:sz w:val="18"/>
          <w:szCs w:val="18"/>
        </w:rPr>
      </w:pPr>
      <w:r w:rsidRPr="00242364">
        <w:rPr>
          <w:rFonts w:ascii="Arial" w:hAnsi="Arial" w:cs="Arial"/>
          <w:sz w:val="18"/>
          <w:szCs w:val="18"/>
        </w:rPr>
        <w:t>People with a cognitive impairment, an intellectual disability or a mental illness</w:t>
      </w:r>
    </w:p>
    <w:p w:rsidR="0026697B" w:rsidRDefault="00FA529C" w:rsidP="001B0AF6">
      <w:pPr>
        <w:numPr>
          <w:ilvl w:val="0"/>
          <w:numId w:val="5"/>
        </w:numPr>
        <w:spacing w:after="0"/>
        <w:contextualSpacing/>
        <w:jc w:val="both"/>
        <w:rPr>
          <w:rFonts w:ascii="Arial" w:hAnsi="Arial" w:cs="Arial"/>
          <w:sz w:val="18"/>
          <w:szCs w:val="18"/>
        </w:rPr>
      </w:pPr>
      <w:r w:rsidRPr="00242364">
        <w:rPr>
          <w:rFonts w:ascii="Arial" w:hAnsi="Arial" w:cs="Arial"/>
          <w:sz w:val="18"/>
          <w:szCs w:val="18"/>
        </w:rPr>
        <w:t xml:space="preserve">Participants </w:t>
      </w:r>
      <w:r w:rsidR="0026697B">
        <w:rPr>
          <w:rFonts w:ascii="Arial" w:hAnsi="Arial" w:cs="Arial"/>
          <w:sz w:val="18"/>
          <w:szCs w:val="18"/>
        </w:rPr>
        <w:t>who suffer from celiac disease</w:t>
      </w:r>
      <w:r w:rsidR="001B0AF6">
        <w:rPr>
          <w:rFonts w:ascii="Arial" w:hAnsi="Arial" w:cs="Arial"/>
          <w:sz w:val="18"/>
          <w:szCs w:val="18"/>
        </w:rPr>
        <w:t xml:space="preserve"> and allergies</w:t>
      </w:r>
      <w:r w:rsidR="0026697B">
        <w:rPr>
          <w:rFonts w:ascii="Arial" w:hAnsi="Arial" w:cs="Arial"/>
          <w:sz w:val="18"/>
          <w:szCs w:val="18"/>
        </w:rPr>
        <w:t xml:space="preserve"> to wheat based dietary products</w:t>
      </w:r>
    </w:p>
    <w:p w:rsidR="00FA529C" w:rsidRPr="00242364" w:rsidRDefault="0026697B" w:rsidP="001B0AF6">
      <w:pPr>
        <w:numPr>
          <w:ilvl w:val="0"/>
          <w:numId w:val="5"/>
        </w:numPr>
        <w:spacing w:after="0"/>
        <w:contextualSpacing/>
        <w:jc w:val="both"/>
        <w:rPr>
          <w:rFonts w:ascii="Arial" w:hAnsi="Arial" w:cs="Arial"/>
          <w:sz w:val="18"/>
          <w:szCs w:val="18"/>
        </w:rPr>
      </w:pPr>
      <w:r>
        <w:rPr>
          <w:rFonts w:ascii="Arial" w:hAnsi="Arial" w:cs="Arial"/>
          <w:sz w:val="18"/>
          <w:szCs w:val="18"/>
        </w:rPr>
        <w:t xml:space="preserve">Participants who suffer from any </w:t>
      </w:r>
      <w:r w:rsidR="006025D3">
        <w:rPr>
          <w:rFonts w:ascii="Arial" w:hAnsi="Arial" w:cs="Arial"/>
          <w:sz w:val="18"/>
          <w:szCs w:val="18"/>
        </w:rPr>
        <w:t xml:space="preserve">severe </w:t>
      </w:r>
      <w:r>
        <w:rPr>
          <w:rFonts w:ascii="Arial" w:hAnsi="Arial" w:cs="Arial"/>
          <w:sz w:val="18"/>
          <w:szCs w:val="18"/>
        </w:rPr>
        <w:t>ailment other than gastroparesi</w:t>
      </w:r>
      <w:r w:rsidR="006025D3">
        <w:rPr>
          <w:rFonts w:ascii="Arial" w:hAnsi="Arial" w:cs="Arial"/>
          <w:sz w:val="18"/>
          <w:szCs w:val="18"/>
        </w:rPr>
        <w:t xml:space="preserve">s, </w:t>
      </w:r>
      <w:r>
        <w:rPr>
          <w:rFonts w:ascii="Arial" w:hAnsi="Arial" w:cs="Arial"/>
          <w:sz w:val="18"/>
          <w:szCs w:val="18"/>
        </w:rPr>
        <w:t>type 1 and type 2 diabetes</w:t>
      </w:r>
      <w:r w:rsidR="00FA529C" w:rsidRPr="00242364">
        <w:rPr>
          <w:rFonts w:ascii="Arial" w:hAnsi="Arial" w:cs="Arial"/>
          <w:sz w:val="18"/>
          <w:szCs w:val="18"/>
        </w:rPr>
        <w:t xml:space="preserve"> </w:t>
      </w:r>
    </w:p>
    <w:p w:rsidR="001A32DD" w:rsidRPr="00242364" w:rsidRDefault="001A32DD" w:rsidP="001B0AF6">
      <w:pPr>
        <w:spacing w:after="0"/>
        <w:jc w:val="both"/>
        <w:rPr>
          <w:rFonts w:ascii="Arial" w:eastAsia="Times New Roman" w:hAnsi="Arial" w:cs="Arial"/>
          <w:b/>
          <w:sz w:val="18"/>
          <w:szCs w:val="18"/>
          <w:lang w:eastAsia="en-AU"/>
        </w:rPr>
      </w:pPr>
      <w:bookmarkStart w:id="34" w:name="_Toc229307342"/>
      <w:bookmarkStart w:id="35" w:name="_Toc229308162"/>
      <w:bookmarkStart w:id="36" w:name="_Toc235338636"/>
      <w:bookmarkStart w:id="37" w:name="_Toc236472639"/>
      <w:bookmarkStart w:id="38" w:name="_Toc236473759"/>
      <w:bookmarkStart w:id="39" w:name="_Toc229298374"/>
    </w:p>
    <w:p w:rsidR="00FA529C" w:rsidRPr="00242364" w:rsidRDefault="0073344D" w:rsidP="001B0AF6">
      <w:pPr>
        <w:spacing w:after="0"/>
        <w:jc w:val="both"/>
        <w:rPr>
          <w:rFonts w:ascii="Arial" w:eastAsia="Times New Roman" w:hAnsi="Arial" w:cs="Arial"/>
          <w:b/>
          <w:sz w:val="18"/>
          <w:szCs w:val="18"/>
          <w:lang w:eastAsia="en-AU"/>
        </w:rPr>
      </w:pPr>
      <w:r>
        <w:rPr>
          <w:rFonts w:ascii="Arial" w:eastAsia="Times New Roman" w:hAnsi="Arial" w:cs="Arial"/>
          <w:b/>
          <w:sz w:val="18"/>
          <w:szCs w:val="18"/>
          <w:lang w:eastAsia="en-AU"/>
        </w:rPr>
        <w:t>7.3</w:t>
      </w:r>
      <w:r w:rsidR="00FA529C" w:rsidRPr="00242364">
        <w:rPr>
          <w:rFonts w:ascii="Arial" w:eastAsia="Times New Roman" w:hAnsi="Arial" w:cs="Arial"/>
          <w:b/>
          <w:sz w:val="18"/>
          <w:szCs w:val="18"/>
          <w:lang w:eastAsia="en-AU"/>
        </w:rPr>
        <w:t xml:space="preserve"> Informed consent</w:t>
      </w:r>
      <w:bookmarkEnd w:id="34"/>
      <w:bookmarkEnd w:id="35"/>
      <w:bookmarkEnd w:id="36"/>
      <w:bookmarkEnd w:id="37"/>
      <w:bookmarkEnd w:id="38"/>
      <w:r w:rsidR="00FA529C" w:rsidRPr="00242364">
        <w:rPr>
          <w:rFonts w:ascii="Arial" w:eastAsia="Times New Roman" w:hAnsi="Arial" w:cs="Arial"/>
          <w:b/>
          <w:sz w:val="18"/>
          <w:szCs w:val="18"/>
          <w:lang w:eastAsia="en-AU"/>
        </w:rPr>
        <w:t xml:space="preserve"> </w:t>
      </w:r>
      <w:bookmarkEnd w:id="27"/>
      <w:bookmarkEnd w:id="28"/>
      <w:bookmarkEnd w:id="39"/>
    </w:p>
    <w:p w:rsidR="00FA529C" w:rsidRPr="00242364" w:rsidRDefault="00FA529C"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t>Initial contact will be made</w:t>
      </w:r>
      <w:r w:rsidR="00FB4CFB">
        <w:rPr>
          <w:rFonts w:ascii="Arial" w:eastAsia="Times New Roman" w:hAnsi="Arial" w:cs="Arial"/>
          <w:sz w:val="18"/>
          <w:szCs w:val="18"/>
          <w:lang w:eastAsia="en-AU"/>
        </w:rPr>
        <w:t xml:space="preserve"> </w:t>
      </w:r>
      <w:r w:rsidR="00C00214">
        <w:rPr>
          <w:rFonts w:ascii="Arial" w:eastAsia="Times New Roman" w:hAnsi="Arial" w:cs="Arial"/>
          <w:sz w:val="18"/>
          <w:szCs w:val="18"/>
          <w:lang w:eastAsia="en-AU"/>
        </w:rPr>
        <w:t xml:space="preserve">through gastroparesis </w:t>
      </w:r>
      <w:r w:rsidR="001B0AF6">
        <w:rPr>
          <w:rFonts w:ascii="Arial" w:eastAsia="Times New Roman" w:hAnsi="Arial" w:cs="Arial"/>
          <w:sz w:val="18"/>
          <w:szCs w:val="18"/>
          <w:lang w:eastAsia="en-AU"/>
        </w:rPr>
        <w:t>support group and</w:t>
      </w:r>
      <w:r w:rsidRPr="00242364">
        <w:rPr>
          <w:rFonts w:ascii="Arial" w:eastAsia="Times New Roman" w:hAnsi="Arial" w:cs="Arial"/>
          <w:sz w:val="18"/>
          <w:szCs w:val="18"/>
          <w:lang w:eastAsia="en-AU"/>
        </w:rPr>
        <w:t xml:space="preserve"> </w:t>
      </w:r>
      <w:r w:rsidR="001B0AF6">
        <w:rPr>
          <w:rFonts w:ascii="Arial" w:eastAsia="Times New Roman" w:hAnsi="Arial" w:cs="Arial"/>
          <w:sz w:val="18"/>
          <w:szCs w:val="18"/>
          <w:lang w:eastAsia="en-AU"/>
        </w:rPr>
        <w:t xml:space="preserve">the investigators </w:t>
      </w:r>
      <w:r w:rsidRPr="00242364">
        <w:rPr>
          <w:rFonts w:ascii="Arial" w:eastAsia="Times New Roman" w:hAnsi="Arial" w:cs="Arial"/>
          <w:sz w:val="18"/>
          <w:szCs w:val="18"/>
          <w:lang w:eastAsia="en-AU"/>
        </w:rPr>
        <w:t>will give an overview of the project's aims and methods as outlined in the information sheet that will be provided to them</w:t>
      </w:r>
      <w:r w:rsidR="007F5E94">
        <w:rPr>
          <w:rFonts w:ascii="Arial" w:eastAsia="Times New Roman" w:hAnsi="Arial" w:cs="Arial"/>
          <w:sz w:val="18"/>
          <w:szCs w:val="18"/>
          <w:lang w:eastAsia="en-AU"/>
        </w:rPr>
        <w:t xml:space="preserve"> on site</w:t>
      </w:r>
      <w:r w:rsidRPr="00242364">
        <w:rPr>
          <w:rFonts w:ascii="Arial" w:eastAsia="Times New Roman" w:hAnsi="Arial" w:cs="Arial"/>
          <w:sz w:val="18"/>
          <w:szCs w:val="18"/>
          <w:lang w:eastAsia="en-AU"/>
        </w:rPr>
        <w:t>. If the patient is interested</w:t>
      </w:r>
      <w:r w:rsidR="007F5E94">
        <w:rPr>
          <w:rFonts w:ascii="Arial" w:eastAsia="Times New Roman" w:hAnsi="Arial" w:cs="Arial"/>
          <w:sz w:val="18"/>
          <w:szCs w:val="18"/>
          <w:lang w:eastAsia="en-AU"/>
        </w:rPr>
        <w:t xml:space="preserve"> in the clinical trial</w:t>
      </w:r>
      <w:r w:rsidRPr="00242364">
        <w:rPr>
          <w:rFonts w:ascii="Arial" w:eastAsia="Times New Roman" w:hAnsi="Arial" w:cs="Arial"/>
          <w:sz w:val="18"/>
          <w:szCs w:val="18"/>
          <w:lang w:eastAsia="en-AU"/>
        </w:rPr>
        <w:t xml:space="preserve">, the details of the participant's involvement will be explained in </w:t>
      </w:r>
      <w:r w:rsidR="007F5E94">
        <w:rPr>
          <w:rFonts w:ascii="Arial" w:eastAsia="Times New Roman" w:hAnsi="Arial" w:cs="Arial"/>
          <w:sz w:val="18"/>
          <w:szCs w:val="18"/>
          <w:lang w:eastAsia="en-AU"/>
        </w:rPr>
        <w:t xml:space="preserve">full </w:t>
      </w:r>
      <w:r w:rsidRPr="00242364">
        <w:rPr>
          <w:rFonts w:ascii="Arial" w:eastAsia="Times New Roman" w:hAnsi="Arial" w:cs="Arial"/>
          <w:sz w:val="18"/>
          <w:szCs w:val="18"/>
          <w:lang w:eastAsia="en-AU"/>
        </w:rPr>
        <w:t>detail as well as the potential risks</w:t>
      </w:r>
      <w:r w:rsidR="007F5E94">
        <w:rPr>
          <w:rFonts w:ascii="Arial" w:eastAsia="Times New Roman" w:hAnsi="Arial" w:cs="Arial"/>
          <w:sz w:val="18"/>
          <w:szCs w:val="18"/>
          <w:lang w:eastAsia="en-AU"/>
        </w:rPr>
        <w:t xml:space="preserve"> to being involved in the study</w:t>
      </w:r>
      <w:r w:rsidRPr="00242364">
        <w:rPr>
          <w:rFonts w:ascii="Arial" w:eastAsia="Times New Roman" w:hAnsi="Arial" w:cs="Arial"/>
          <w:sz w:val="18"/>
          <w:szCs w:val="18"/>
          <w:lang w:eastAsia="en-AU"/>
        </w:rPr>
        <w:t xml:space="preserve">. It will be </w:t>
      </w:r>
      <w:r w:rsidR="007F5E94">
        <w:rPr>
          <w:rFonts w:ascii="Arial" w:eastAsia="Times New Roman" w:hAnsi="Arial" w:cs="Arial"/>
          <w:sz w:val="18"/>
          <w:szCs w:val="18"/>
          <w:lang w:eastAsia="en-AU"/>
        </w:rPr>
        <w:t xml:space="preserve">made clear that participation in the study is </w:t>
      </w:r>
      <w:r w:rsidR="007F5E94" w:rsidRPr="00242364">
        <w:rPr>
          <w:rFonts w:ascii="Arial" w:eastAsia="Times New Roman" w:hAnsi="Arial" w:cs="Arial"/>
          <w:sz w:val="18"/>
          <w:szCs w:val="18"/>
          <w:lang w:eastAsia="en-AU"/>
        </w:rPr>
        <w:t>voluntary</w:t>
      </w:r>
      <w:r w:rsidRPr="00242364">
        <w:rPr>
          <w:rFonts w:ascii="Arial" w:eastAsia="Times New Roman" w:hAnsi="Arial" w:cs="Arial"/>
          <w:sz w:val="18"/>
          <w:szCs w:val="18"/>
          <w:lang w:eastAsia="en-AU"/>
        </w:rPr>
        <w:t xml:space="preserve"> and that the participant may withdraw at any stage with no detriment to their health care. </w:t>
      </w:r>
      <w:r w:rsidR="001B0AF6">
        <w:rPr>
          <w:rFonts w:ascii="Arial" w:eastAsia="Times New Roman" w:hAnsi="Arial" w:cs="Arial"/>
          <w:sz w:val="18"/>
          <w:szCs w:val="18"/>
          <w:lang w:eastAsia="en-AU"/>
        </w:rPr>
        <w:t>The investigators</w:t>
      </w:r>
      <w:r w:rsidR="00D64C7E" w:rsidRPr="00242364">
        <w:rPr>
          <w:rFonts w:ascii="Arial" w:eastAsia="Times New Roman" w:hAnsi="Arial" w:cs="Arial"/>
          <w:sz w:val="18"/>
          <w:szCs w:val="18"/>
          <w:lang w:eastAsia="en-AU"/>
        </w:rPr>
        <w:t xml:space="preserve"> </w:t>
      </w:r>
      <w:r w:rsidR="00FB43AD">
        <w:rPr>
          <w:rFonts w:ascii="Arial" w:eastAsia="Times New Roman" w:hAnsi="Arial" w:cs="Arial"/>
          <w:sz w:val="18"/>
          <w:szCs w:val="18"/>
          <w:lang w:eastAsia="en-AU"/>
        </w:rPr>
        <w:t xml:space="preserve">will discern the understanding of the </w:t>
      </w:r>
      <w:r w:rsidRPr="00242364">
        <w:rPr>
          <w:rFonts w:ascii="Arial" w:eastAsia="Times New Roman" w:hAnsi="Arial" w:cs="Arial"/>
          <w:sz w:val="18"/>
          <w:szCs w:val="18"/>
          <w:lang w:eastAsia="en-AU"/>
        </w:rPr>
        <w:t>potential participants</w:t>
      </w:r>
      <w:r w:rsidR="00FB43AD">
        <w:rPr>
          <w:rFonts w:ascii="Arial" w:eastAsia="Times New Roman" w:hAnsi="Arial" w:cs="Arial"/>
          <w:sz w:val="18"/>
          <w:szCs w:val="18"/>
          <w:lang w:eastAsia="en-AU"/>
        </w:rPr>
        <w:t xml:space="preserve"> by asking them</w:t>
      </w:r>
      <w:r w:rsidRPr="00242364">
        <w:rPr>
          <w:rFonts w:ascii="Arial" w:eastAsia="Times New Roman" w:hAnsi="Arial" w:cs="Arial"/>
          <w:sz w:val="18"/>
          <w:szCs w:val="18"/>
          <w:lang w:eastAsia="en-AU"/>
        </w:rPr>
        <w:t xml:space="preserve"> what they be</w:t>
      </w:r>
      <w:r w:rsidR="00FB43AD">
        <w:rPr>
          <w:rFonts w:ascii="Arial" w:eastAsia="Times New Roman" w:hAnsi="Arial" w:cs="Arial"/>
          <w:sz w:val="18"/>
          <w:szCs w:val="18"/>
          <w:lang w:eastAsia="en-AU"/>
        </w:rPr>
        <w:t>lieve they are being asked to participate in</w:t>
      </w:r>
      <w:r w:rsidRPr="00242364">
        <w:rPr>
          <w:rFonts w:ascii="Arial" w:eastAsia="Times New Roman" w:hAnsi="Arial" w:cs="Arial"/>
          <w:sz w:val="18"/>
          <w:szCs w:val="18"/>
          <w:lang w:eastAsia="en-AU"/>
        </w:rPr>
        <w:t xml:space="preserve">. </w:t>
      </w:r>
      <w:r w:rsidR="001B0AF6">
        <w:rPr>
          <w:rFonts w:ascii="Arial" w:eastAsia="Times New Roman" w:hAnsi="Arial" w:cs="Arial"/>
          <w:sz w:val="18"/>
          <w:szCs w:val="18"/>
          <w:lang w:eastAsia="en-AU"/>
        </w:rPr>
        <w:t>The investigators</w:t>
      </w:r>
      <w:r w:rsidR="00D64C7E" w:rsidRPr="00242364">
        <w:rPr>
          <w:rFonts w:ascii="Arial" w:eastAsia="Times New Roman" w:hAnsi="Arial" w:cs="Arial"/>
          <w:sz w:val="18"/>
          <w:szCs w:val="18"/>
          <w:lang w:eastAsia="en-AU"/>
        </w:rPr>
        <w:t xml:space="preserve"> </w:t>
      </w:r>
      <w:r w:rsidRPr="00242364">
        <w:rPr>
          <w:rFonts w:ascii="Arial" w:eastAsia="Times New Roman" w:hAnsi="Arial" w:cs="Arial"/>
          <w:sz w:val="18"/>
          <w:szCs w:val="18"/>
          <w:lang w:eastAsia="en-AU"/>
        </w:rPr>
        <w:t>will also address any questions tha</w:t>
      </w:r>
      <w:r w:rsidR="00FB43AD">
        <w:rPr>
          <w:rFonts w:ascii="Arial" w:eastAsia="Times New Roman" w:hAnsi="Arial" w:cs="Arial"/>
          <w:sz w:val="18"/>
          <w:szCs w:val="18"/>
          <w:lang w:eastAsia="en-AU"/>
        </w:rPr>
        <w:t xml:space="preserve">t arise </w:t>
      </w:r>
      <w:r w:rsidR="001B0AF6">
        <w:rPr>
          <w:rFonts w:ascii="Arial" w:eastAsia="Times New Roman" w:hAnsi="Arial" w:cs="Arial"/>
          <w:sz w:val="18"/>
          <w:szCs w:val="18"/>
          <w:lang w:eastAsia="en-AU"/>
        </w:rPr>
        <w:t>regarding</w:t>
      </w:r>
      <w:r w:rsidRPr="00242364">
        <w:rPr>
          <w:rFonts w:ascii="Arial" w:eastAsia="Times New Roman" w:hAnsi="Arial" w:cs="Arial"/>
          <w:sz w:val="18"/>
          <w:szCs w:val="18"/>
          <w:lang w:eastAsia="en-AU"/>
        </w:rPr>
        <w:t xml:space="preserve"> to the study. If the participants have any concerns or questions that arise at any stage in the future, they may contact </w:t>
      </w:r>
      <w:r w:rsidR="001B0AF6">
        <w:rPr>
          <w:rFonts w:ascii="Arial" w:eastAsia="Times New Roman" w:hAnsi="Arial" w:cs="Arial"/>
          <w:sz w:val="18"/>
          <w:szCs w:val="18"/>
          <w:lang w:eastAsia="en-AU"/>
        </w:rPr>
        <w:t xml:space="preserve">the investigators to </w:t>
      </w:r>
      <w:r w:rsidR="00FB43AD">
        <w:rPr>
          <w:rFonts w:ascii="Arial" w:eastAsia="Times New Roman" w:hAnsi="Arial" w:cs="Arial"/>
          <w:sz w:val="18"/>
          <w:szCs w:val="18"/>
          <w:lang w:eastAsia="en-AU"/>
        </w:rPr>
        <w:t>discuss those issues further</w:t>
      </w:r>
      <w:r w:rsidRPr="00242364">
        <w:rPr>
          <w:rFonts w:ascii="Arial" w:eastAsia="Times New Roman" w:hAnsi="Arial" w:cs="Arial"/>
          <w:sz w:val="18"/>
          <w:szCs w:val="18"/>
          <w:lang w:eastAsia="en-AU"/>
        </w:rPr>
        <w:t>.</w:t>
      </w:r>
    </w:p>
    <w:p w:rsidR="00FA529C" w:rsidRPr="00242364" w:rsidRDefault="00FA529C" w:rsidP="001B0AF6">
      <w:pPr>
        <w:spacing w:after="0"/>
        <w:jc w:val="both"/>
        <w:rPr>
          <w:rFonts w:ascii="Arial" w:eastAsia="Times New Roman" w:hAnsi="Arial" w:cs="Arial"/>
          <w:sz w:val="18"/>
          <w:szCs w:val="18"/>
          <w:lang w:eastAsia="en-AU"/>
        </w:rPr>
      </w:pPr>
    </w:p>
    <w:p w:rsidR="00FA529C" w:rsidRPr="00242364" w:rsidRDefault="00FA529C"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t xml:space="preserve">Formal consent will be obtained </w:t>
      </w:r>
      <w:r w:rsidR="00FB43AD">
        <w:rPr>
          <w:rFonts w:ascii="Arial" w:eastAsia="Times New Roman" w:hAnsi="Arial" w:cs="Arial"/>
          <w:sz w:val="18"/>
          <w:szCs w:val="18"/>
          <w:lang w:eastAsia="en-AU"/>
        </w:rPr>
        <w:t>on the day of the first dietary fibre test</w:t>
      </w:r>
      <w:r w:rsidR="00FB4CFB">
        <w:rPr>
          <w:rFonts w:ascii="Arial" w:eastAsia="Times New Roman" w:hAnsi="Arial" w:cs="Arial"/>
          <w:sz w:val="18"/>
          <w:szCs w:val="18"/>
          <w:lang w:eastAsia="en-AU"/>
        </w:rPr>
        <w:t xml:space="preserve">. </w:t>
      </w:r>
      <w:r w:rsidR="00FB43AD">
        <w:rPr>
          <w:rFonts w:ascii="Arial" w:eastAsia="Times New Roman" w:hAnsi="Arial" w:cs="Arial"/>
          <w:sz w:val="18"/>
          <w:szCs w:val="18"/>
          <w:lang w:eastAsia="en-AU"/>
        </w:rPr>
        <w:t>Suitable</w:t>
      </w:r>
      <w:r w:rsidR="00FB4CFB">
        <w:rPr>
          <w:rFonts w:ascii="Arial" w:eastAsia="Times New Roman" w:hAnsi="Arial" w:cs="Arial"/>
          <w:sz w:val="18"/>
          <w:szCs w:val="18"/>
          <w:lang w:eastAsia="en-AU"/>
        </w:rPr>
        <w:t xml:space="preserve"> </w:t>
      </w:r>
      <w:r w:rsidR="00FB43AD">
        <w:rPr>
          <w:rFonts w:ascii="Arial" w:eastAsia="Times New Roman" w:hAnsi="Arial" w:cs="Arial"/>
          <w:sz w:val="18"/>
          <w:szCs w:val="18"/>
          <w:lang w:eastAsia="en-AU"/>
        </w:rPr>
        <w:t xml:space="preserve">amount of </w:t>
      </w:r>
      <w:r w:rsidR="00FB4CFB">
        <w:rPr>
          <w:rFonts w:ascii="Arial" w:eastAsia="Times New Roman" w:hAnsi="Arial" w:cs="Arial"/>
          <w:sz w:val="18"/>
          <w:szCs w:val="18"/>
          <w:lang w:eastAsia="en-AU"/>
        </w:rPr>
        <w:t xml:space="preserve">time is given to </w:t>
      </w:r>
      <w:r w:rsidR="00FB43AD">
        <w:rPr>
          <w:rFonts w:ascii="Arial" w:eastAsia="Times New Roman" w:hAnsi="Arial" w:cs="Arial"/>
          <w:sz w:val="18"/>
          <w:szCs w:val="18"/>
          <w:lang w:eastAsia="en-AU"/>
        </w:rPr>
        <w:t xml:space="preserve">each participant to </w:t>
      </w:r>
      <w:r w:rsidR="00FB4CFB">
        <w:rPr>
          <w:rFonts w:ascii="Arial" w:eastAsia="Times New Roman" w:hAnsi="Arial" w:cs="Arial"/>
          <w:sz w:val="18"/>
          <w:szCs w:val="18"/>
          <w:lang w:eastAsia="en-AU"/>
        </w:rPr>
        <w:t>ensure</w:t>
      </w:r>
      <w:r w:rsidR="00FB4CFB" w:rsidRPr="00242364">
        <w:rPr>
          <w:rFonts w:ascii="Arial" w:eastAsia="Times New Roman" w:hAnsi="Arial" w:cs="Arial"/>
          <w:sz w:val="18"/>
          <w:szCs w:val="18"/>
          <w:lang w:eastAsia="en-AU"/>
        </w:rPr>
        <w:t xml:space="preserve"> </w:t>
      </w:r>
      <w:r w:rsidR="00FB43AD">
        <w:rPr>
          <w:rFonts w:ascii="Arial" w:eastAsia="Times New Roman" w:hAnsi="Arial" w:cs="Arial"/>
          <w:sz w:val="18"/>
          <w:szCs w:val="18"/>
          <w:lang w:eastAsia="en-AU"/>
        </w:rPr>
        <w:t xml:space="preserve">that the </w:t>
      </w:r>
      <w:r w:rsidRPr="00242364">
        <w:rPr>
          <w:rFonts w:ascii="Arial" w:eastAsia="Times New Roman" w:hAnsi="Arial" w:cs="Arial"/>
          <w:sz w:val="18"/>
          <w:szCs w:val="18"/>
          <w:lang w:eastAsia="en-AU"/>
        </w:rPr>
        <w:t>information sheet and consent form is rea</w:t>
      </w:r>
      <w:r w:rsidR="00FB43AD">
        <w:rPr>
          <w:rFonts w:ascii="Arial" w:eastAsia="Times New Roman" w:hAnsi="Arial" w:cs="Arial"/>
          <w:sz w:val="18"/>
          <w:szCs w:val="18"/>
          <w:lang w:eastAsia="en-AU"/>
        </w:rPr>
        <w:t>d by/to the participant, who may</w:t>
      </w:r>
      <w:r w:rsidRPr="00242364">
        <w:rPr>
          <w:rFonts w:ascii="Arial" w:eastAsia="Times New Roman" w:hAnsi="Arial" w:cs="Arial"/>
          <w:sz w:val="18"/>
          <w:szCs w:val="18"/>
          <w:lang w:eastAsia="en-AU"/>
        </w:rPr>
        <w:t xml:space="preserve"> then indicate their voluntary participation by signing the consent form. The participant may choose to have a health care worker or family member present during the consent process.</w:t>
      </w:r>
    </w:p>
    <w:p w:rsidR="00FA529C" w:rsidRPr="00242364" w:rsidRDefault="00FA529C" w:rsidP="001B0AF6">
      <w:pPr>
        <w:spacing w:after="0"/>
        <w:jc w:val="both"/>
        <w:rPr>
          <w:rFonts w:ascii="Arial" w:eastAsia="Times New Roman" w:hAnsi="Arial" w:cs="Arial"/>
          <w:sz w:val="18"/>
          <w:szCs w:val="18"/>
          <w:lang w:eastAsia="en-AU"/>
        </w:rPr>
      </w:pPr>
    </w:p>
    <w:p w:rsidR="00FA529C" w:rsidRPr="00242364" w:rsidRDefault="00FA529C" w:rsidP="001B0AF6">
      <w:pPr>
        <w:spacing w:after="0"/>
        <w:jc w:val="both"/>
        <w:rPr>
          <w:rFonts w:ascii="Arial" w:eastAsia="Times New Roman" w:hAnsi="Arial" w:cs="Arial"/>
          <w:b/>
          <w:sz w:val="18"/>
          <w:szCs w:val="18"/>
          <w:lang w:eastAsia="en-AU"/>
        </w:rPr>
      </w:pPr>
      <w:bookmarkStart w:id="40" w:name="_Toc229297244"/>
      <w:bookmarkStart w:id="41" w:name="_Toc229297351"/>
      <w:bookmarkStart w:id="42" w:name="_Toc229298375"/>
      <w:bookmarkStart w:id="43" w:name="_Toc229307343"/>
      <w:bookmarkStart w:id="44" w:name="_Toc229308163"/>
      <w:bookmarkStart w:id="45" w:name="_Toc235338637"/>
      <w:bookmarkStart w:id="46" w:name="_Toc236472640"/>
      <w:bookmarkStart w:id="47" w:name="_Toc236473760"/>
      <w:r w:rsidRPr="00242364">
        <w:rPr>
          <w:rFonts w:ascii="Arial" w:eastAsia="Times New Roman" w:hAnsi="Arial" w:cs="Arial"/>
          <w:b/>
          <w:sz w:val="18"/>
          <w:szCs w:val="18"/>
          <w:lang w:eastAsia="en-AU"/>
        </w:rPr>
        <w:t>7.3 Confidentiality</w:t>
      </w:r>
      <w:bookmarkEnd w:id="40"/>
      <w:bookmarkEnd w:id="41"/>
      <w:bookmarkEnd w:id="42"/>
      <w:r w:rsidRPr="00242364">
        <w:rPr>
          <w:rFonts w:ascii="Arial" w:eastAsia="Times New Roman" w:hAnsi="Arial" w:cs="Arial"/>
          <w:b/>
          <w:sz w:val="18"/>
          <w:szCs w:val="18"/>
          <w:lang w:eastAsia="en-AU"/>
        </w:rPr>
        <w:t xml:space="preserve"> and Privacy</w:t>
      </w:r>
      <w:bookmarkEnd w:id="43"/>
      <w:bookmarkEnd w:id="44"/>
      <w:bookmarkEnd w:id="45"/>
      <w:bookmarkEnd w:id="46"/>
      <w:bookmarkEnd w:id="47"/>
    </w:p>
    <w:p w:rsidR="00FA529C" w:rsidRPr="00242364" w:rsidRDefault="00FA529C"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t>The information needs to be individually identifiable, so as to compare the results</w:t>
      </w:r>
      <w:r w:rsidR="006025D3">
        <w:rPr>
          <w:rFonts w:ascii="Arial" w:eastAsia="Times New Roman" w:hAnsi="Arial" w:cs="Arial"/>
          <w:sz w:val="18"/>
          <w:szCs w:val="18"/>
          <w:lang w:eastAsia="en-AU"/>
        </w:rPr>
        <w:t xml:space="preserve"> of each test fibre and assign population groups in statistical meta-analysis. </w:t>
      </w:r>
      <w:r w:rsidRPr="00242364">
        <w:rPr>
          <w:rFonts w:ascii="Arial" w:eastAsia="Times New Roman" w:hAnsi="Arial" w:cs="Arial"/>
          <w:sz w:val="18"/>
          <w:szCs w:val="18"/>
          <w:lang w:eastAsia="en-AU"/>
        </w:rPr>
        <w:t xml:space="preserve">Confidentiality and privacy of this information will be </w:t>
      </w:r>
      <w:r w:rsidR="006025D3">
        <w:rPr>
          <w:rFonts w:ascii="Arial" w:eastAsia="Times New Roman" w:hAnsi="Arial" w:cs="Arial"/>
          <w:sz w:val="18"/>
          <w:szCs w:val="18"/>
          <w:lang w:eastAsia="en-AU"/>
        </w:rPr>
        <w:t xml:space="preserve">strictly </w:t>
      </w:r>
      <w:r w:rsidRPr="00242364">
        <w:rPr>
          <w:rFonts w:ascii="Arial" w:eastAsia="Times New Roman" w:hAnsi="Arial" w:cs="Arial"/>
          <w:sz w:val="18"/>
          <w:szCs w:val="18"/>
          <w:lang w:eastAsia="en-AU"/>
        </w:rPr>
        <w:t xml:space="preserve">maintained </w:t>
      </w:r>
      <w:r w:rsidR="006025D3">
        <w:rPr>
          <w:rFonts w:ascii="Arial" w:eastAsia="Times New Roman" w:hAnsi="Arial" w:cs="Arial"/>
          <w:sz w:val="18"/>
          <w:szCs w:val="18"/>
          <w:lang w:eastAsia="en-AU"/>
        </w:rPr>
        <w:t>using</w:t>
      </w:r>
      <w:r w:rsidRPr="00242364">
        <w:rPr>
          <w:rFonts w:ascii="Arial" w:eastAsia="Times New Roman" w:hAnsi="Arial" w:cs="Arial"/>
          <w:sz w:val="18"/>
          <w:szCs w:val="18"/>
          <w:lang w:eastAsia="en-AU"/>
        </w:rPr>
        <w:t xml:space="preserve"> the measures outlined in </w:t>
      </w:r>
      <w:r w:rsidR="001B0AF6">
        <w:rPr>
          <w:rFonts w:ascii="Arial" w:eastAsia="Times New Roman" w:hAnsi="Arial" w:cs="Arial"/>
          <w:sz w:val="18"/>
          <w:szCs w:val="18"/>
          <w:lang w:eastAsia="en-AU"/>
        </w:rPr>
        <w:t xml:space="preserve">section </w:t>
      </w:r>
      <w:r w:rsidRPr="00242364">
        <w:rPr>
          <w:rFonts w:ascii="Arial" w:eastAsia="Times New Roman" w:hAnsi="Arial" w:cs="Arial"/>
          <w:sz w:val="18"/>
          <w:szCs w:val="18"/>
          <w:lang w:eastAsia="en-AU"/>
        </w:rPr>
        <w:t xml:space="preserve">7.4 </w:t>
      </w:r>
      <w:r w:rsidR="001B0AF6">
        <w:rPr>
          <w:rFonts w:ascii="Arial" w:eastAsia="Times New Roman" w:hAnsi="Arial" w:cs="Arial"/>
          <w:sz w:val="18"/>
          <w:szCs w:val="18"/>
          <w:lang w:eastAsia="en-AU"/>
        </w:rPr>
        <w:t xml:space="preserve">for data storage and </w:t>
      </w:r>
      <w:r w:rsidR="006025D3">
        <w:rPr>
          <w:rFonts w:ascii="Arial" w:eastAsia="Times New Roman" w:hAnsi="Arial" w:cs="Arial"/>
          <w:sz w:val="18"/>
          <w:szCs w:val="18"/>
          <w:lang w:eastAsia="en-AU"/>
        </w:rPr>
        <w:t>r</w:t>
      </w:r>
      <w:r w:rsidRPr="00242364">
        <w:rPr>
          <w:rFonts w:ascii="Arial" w:eastAsia="Times New Roman" w:hAnsi="Arial" w:cs="Arial"/>
          <w:sz w:val="18"/>
          <w:szCs w:val="18"/>
          <w:lang w:eastAsia="en-AU"/>
        </w:rPr>
        <w:t>etention.</w:t>
      </w:r>
    </w:p>
    <w:p w:rsidR="00FA529C" w:rsidRPr="00242364" w:rsidRDefault="00FA529C" w:rsidP="001B0AF6">
      <w:pPr>
        <w:spacing w:after="0"/>
        <w:jc w:val="both"/>
        <w:rPr>
          <w:rFonts w:ascii="Arial" w:eastAsia="Times New Roman" w:hAnsi="Arial" w:cs="Arial"/>
          <w:sz w:val="18"/>
          <w:szCs w:val="18"/>
          <w:lang w:eastAsia="en-AU"/>
        </w:rPr>
      </w:pPr>
    </w:p>
    <w:p w:rsidR="00FA529C" w:rsidRPr="00242364" w:rsidRDefault="00FA529C" w:rsidP="001B0AF6">
      <w:pPr>
        <w:spacing w:after="0"/>
        <w:rPr>
          <w:rFonts w:ascii="Arial" w:eastAsia="Times New Roman" w:hAnsi="Arial" w:cs="Arial"/>
          <w:sz w:val="18"/>
          <w:szCs w:val="18"/>
          <w:lang w:eastAsia="en-AU"/>
        </w:rPr>
      </w:pPr>
      <w:bookmarkStart w:id="48" w:name="_Toc229297245"/>
      <w:bookmarkStart w:id="49" w:name="_Toc229297352"/>
      <w:bookmarkStart w:id="50" w:name="_Toc229298376"/>
      <w:bookmarkStart w:id="51" w:name="_Toc229307344"/>
      <w:bookmarkStart w:id="52" w:name="_Toc229308164"/>
      <w:bookmarkStart w:id="53" w:name="_Toc235338638"/>
      <w:bookmarkStart w:id="54" w:name="_Toc236472641"/>
      <w:bookmarkStart w:id="55" w:name="_Toc236473761"/>
      <w:r w:rsidRPr="00242364">
        <w:rPr>
          <w:rFonts w:ascii="Arial" w:eastAsia="Times New Roman" w:hAnsi="Arial" w:cs="Arial"/>
          <w:b/>
          <w:sz w:val="18"/>
          <w:szCs w:val="18"/>
          <w:lang w:eastAsia="en-AU"/>
        </w:rPr>
        <w:t>7.4 Data storage and Record retention</w:t>
      </w:r>
      <w:bookmarkEnd w:id="48"/>
      <w:bookmarkEnd w:id="49"/>
      <w:bookmarkEnd w:id="50"/>
      <w:bookmarkEnd w:id="51"/>
      <w:bookmarkEnd w:id="52"/>
      <w:bookmarkEnd w:id="53"/>
      <w:bookmarkEnd w:id="54"/>
      <w:bookmarkEnd w:id="55"/>
    </w:p>
    <w:p w:rsidR="00FA529C" w:rsidRPr="00242364" w:rsidRDefault="00FA529C"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t xml:space="preserve">The information collected on paper </w:t>
      </w:r>
      <w:r w:rsidR="00D357BA">
        <w:rPr>
          <w:rFonts w:ascii="Arial" w:eastAsia="Times New Roman" w:hAnsi="Arial" w:cs="Arial"/>
          <w:sz w:val="18"/>
          <w:szCs w:val="18"/>
          <w:lang w:eastAsia="en-AU"/>
        </w:rPr>
        <w:t xml:space="preserve">survey </w:t>
      </w:r>
      <w:r w:rsidRPr="00242364">
        <w:rPr>
          <w:rFonts w:ascii="Arial" w:eastAsia="Times New Roman" w:hAnsi="Arial" w:cs="Arial"/>
          <w:sz w:val="18"/>
          <w:szCs w:val="18"/>
          <w:lang w:eastAsia="en-AU"/>
        </w:rPr>
        <w:t xml:space="preserve">copies of participant information will be physically locked up in </w:t>
      </w:r>
      <w:r w:rsidR="00D357BA">
        <w:rPr>
          <w:rFonts w:ascii="Arial" w:eastAsia="Times New Roman" w:hAnsi="Arial" w:cs="Arial"/>
          <w:sz w:val="18"/>
          <w:szCs w:val="18"/>
          <w:lang w:eastAsia="en-AU"/>
        </w:rPr>
        <w:t xml:space="preserve">a </w:t>
      </w:r>
      <w:r w:rsidR="004D0B95">
        <w:rPr>
          <w:rFonts w:ascii="Arial" w:eastAsia="Times New Roman" w:hAnsi="Arial" w:cs="Arial"/>
          <w:sz w:val="18"/>
          <w:szCs w:val="18"/>
          <w:lang w:eastAsia="en-AU"/>
        </w:rPr>
        <w:t xml:space="preserve">physical </w:t>
      </w:r>
      <w:r w:rsidR="00D357BA">
        <w:rPr>
          <w:rFonts w:ascii="Arial" w:eastAsia="Times New Roman" w:hAnsi="Arial" w:cs="Arial"/>
          <w:sz w:val="18"/>
          <w:szCs w:val="18"/>
          <w:lang w:eastAsia="en-AU"/>
        </w:rPr>
        <w:t>cabinet located in the office</w:t>
      </w:r>
      <w:r w:rsidRPr="00242364">
        <w:rPr>
          <w:rFonts w:ascii="Arial" w:eastAsia="Times New Roman" w:hAnsi="Arial" w:cs="Arial"/>
          <w:sz w:val="18"/>
          <w:szCs w:val="18"/>
          <w:lang w:eastAsia="en-AU"/>
        </w:rPr>
        <w:t xml:space="preserve"> of the </w:t>
      </w:r>
      <w:r w:rsidR="00C00214">
        <w:rPr>
          <w:rFonts w:ascii="Arial" w:eastAsia="Times New Roman" w:hAnsi="Arial" w:cs="Arial"/>
          <w:sz w:val="18"/>
          <w:szCs w:val="18"/>
          <w:lang w:eastAsia="en-AU"/>
        </w:rPr>
        <w:t>Macarthur Clinical School, Western Sydney University</w:t>
      </w:r>
      <w:r w:rsidR="00D357BA">
        <w:rPr>
          <w:rFonts w:ascii="Arial" w:eastAsia="Times New Roman" w:hAnsi="Arial" w:cs="Arial"/>
          <w:sz w:val="18"/>
          <w:szCs w:val="18"/>
          <w:lang w:eastAsia="en-AU"/>
        </w:rPr>
        <w:t>. The</w:t>
      </w:r>
      <w:r w:rsidRPr="00242364">
        <w:rPr>
          <w:rFonts w:ascii="Arial" w:eastAsia="Times New Roman" w:hAnsi="Arial" w:cs="Arial"/>
          <w:sz w:val="18"/>
          <w:szCs w:val="18"/>
          <w:lang w:eastAsia="en-AU"/>
        </w:rPr>
        <w:t xml:space="preserve"> electronic records wil</w:t>
      </w:r>
      <w:r w:rsidR="00D357BA">
        <w:rPr>
          <w:rFonts w:ascii="Arial" w:eastAsia="Times New Roman" w:hAnsi="Arial" w:cs="Arial"/>
          <w:sz w:val="18"/>
          <w:szCs w:val="18"/>
          <w:lang w:eastAsia="en-AU"/>
        </w:rPr>
        <w:t>l be secured under password protection and encryption</w:t>
      </w:r>
      <w:r w:rsidRPr="00242364">
        <w:rPr>
          <w:rFonts w:ascii="Arial" w:eastAsia="Times New Roman" w:hAnsi="Arial" w:cs="Arial"/>
          <w:sz w:val="18"/>
          <w:szCs w:val="18"/>
          <w:lang w:eastAsia="en-AU"/>
        </w:rPr>
        <w:t xml:space="preserve"> on computers stored at and belonging to the School of Medicine, Western Sydney</w:t>
      </w:r>
      <w:r w:rsidR="00E91FAC">
        <w:rPr>
          <w:rFonts w:ascii="Arial" w:eastAsia="Times New Roman" w:hAnsi="Arial" w:cs="Arial"/>
          <w:sz w:val="18"/>
          <w:szCs w:val="18"/>
          <w:lang w:eastAsia="en-AU"/>
        </w:rPr>
        <w:t xml:space="preserve"> University</w:t>
      </w:r>
      <w:r w:rsidR="00D357BA">
        <w:rPr>
          <w:rFonts w:ascii="Arial" w:eastAsia="Times New Roman" w:hAnsi="Arial" w:cs="Arial"/>
          <w:sz w:val="18"/>
          <w:szCs w:val="18"/>
          <w:lang w:eastAsia="en-AU"/>
        </w:rPr>
        <w:t>. O</w:t>
      </w:r>
      <w:r w:rsidRPr="00242364">
        <w:rPr>
          <w:rFonts w:ascii="Arial" w:eastAsia="Times New Roman" w:hAnsi="Arial" w:cs="Arial"/>
          <w:sz w:val="18"/>
          <w:szCs w:val="18"/>
          <w:lang w:eastAsia="en-AU"/>
        </w:rPr>
        <w:t>nly the inv</w:t>
      </w:r>
      <w:r w:rsidR="00D357BA">
        <w:rPr>
          <w:rFonts w:ascii="Arial" w:eastAsia="Times New Roman" w:hAnsi="Arial" w:cs="Arial"/>
          <w:sz w:val="18"/>
          <w:szCs w:val="18"/>
          <w:lang w:eastAsia="en-AU"/>
        </w:rPr>
        <w:t>estigators will be able to</w:t>
      </w:r>
      <w:r w:rsidRPr="00242364">
        <w:rPr>
          <w:rFonts w:ascii="Arial" w:eastAsia="Times New Roman" w:hAnsi="Arial" w:cs="Arial"/>
          <w:sz w:val="18"/>
          <w:szCs w:val="18"/>
          <w:lang w:eastAsia="en-AU"/>
        </w:rPr>
        <w:t xml:space="preserve"> access to this information</w:t>
      </w:r>
      <w:r w:rsidR="00D357BA">
        <w:rPr>
          <w:rFonts w:ascii="Arial" w:eastAsia="Times New Roman" w:hAnsi="Arial" w:cs="Arial"/>
          <w:sz w:val="18"/>
          <w:szCs w:val="18"/>
          <w:lang w:eastAsia="en-AU"/>
        </w:rPr>
        <w:t xml:space="preserve"> on site in order to ensure confidentiality and privacy for</w:t>
      </w:r>
      <w:r w:rsidRPr="00242364">
        <w:rPr>
          <w:rFonts w:ascii="Arial" w:eastAsia="Times New Roman" w:hAnsi="Arial" w:cs="Arial"/>
          <w:sz w:val="18"/>
          <w:szCs w:val="18"/>
          <w:lang w:eastAsia="en-AU"/>
        </w:rPr>
        <w:t xml:space="preserve"> the participants.</w:t>
      </w:r>
    </w:p>
    <w:p w:rsidR="00FA529C" w:rsidRPr="00242364" w:rsidRDefault="00FA529C" w:rsidP="001B0AF6">
      <w:pPr>
        <w:spacing w:after="0"/>
        <w:jc w:val="both"/>
        <w:rPr>
          <w:rFonts w:ascii="Arial" w:eastAsia="Times New Roman" w:hAnsi="Arial" w:cs="Arial"/>
          <w:sz w:val="18"/>
          <w:szCs w:val="18"/>
          <w:lang w:eastAsia="en-AU"/>
        </w:rPr>
      </w:pPr>
    </w:p>
    <w:p w:rsidR="00FA529C" w:rsidRPr="00242364" w:rsidRDefault="004D0B95" w:rsidP="001B0AF6">
      <w:pPr>
        <w:spacing w:after="0"/>
        <w:jc w:val="both"/>
        <w:rPr>
          <w:rFonts w:ascii="Arial" w:eastAsia="Times New Roman" w:hAnsi="Arial" w:cs="Arial"/>
          <w:sz w:val="18"/>
          <w:szCs w:val="18"/>
          <w:lang w:eastAsia="en-AU"/>
        </w:rPr>
      </w:pPr>
      <w:r>
        <w:rPr>
          <w:rFonts w:ascii="Arial" w:eastAsia="Times New Roman" w:hAnsi="Arial" w:cs="Arial"/>
          <w:sz w:val="18"/>
          <w:szCs w:val="18"/>
          <w:lang w:eastAsia="en-AU"/>
        </w:rPr>
        <w:t xml:space="preserve">The </w:t>
      </w:r>
      <w:r w:rsidR="00FA529C" w:rsidRPr="00242364">
        <w:rPr>
          <w:rFonts w:ascii="Arial" w:eastAsia="Times New Roman" w:hAnsi="Arial" w:cs="Arial"/>
          <w:sz w:val="18"/>
          <w:szCs w:val="18"/>
          <w:lang w:eastAsia="en-AU"/>
        </w:rPr>
        <w:t xml:space="preserve">information will be closely monitored by the principal investigators/researchers. If the confidentiality of participants is violated it will be immediately reported to </w:t>
      </w:r>
      <w:r w:rsidR="001B0AF6">
        <w:rPr>
          <w:rFonts w:ascii="Arial" w:eastAsia="Times New Roman" w:hAnsi="Arial" w:cs="Arial"/>
          <w:sz w:val="18"/>
          <w:szCs w:val="18"/>
          <w:lang w:eastAsia="en-AU"/>
        </w:rPr>
        <w:t>the</w:t>
      </w:r>
      <w:r>
        <w:rPr>
          <w:rFonts w:ascii="Arial" w:eastAsia="Times New Roman" w:hAnsi="Arial" w:cs="Arial"/>
          <w:sz w:val="18"/>
          <w:szCs w:val="18"/>
          <w:lang w:eastAsia="en-AU"/>
        </w:rPr>
        <w:t xml:space="preserve"> central monitoring committee. </w:t>
      </w:r>
      <w:r w:rsidR="00FA529C" w:rsidRPr="00242364">
        <w:rPr>
          <w:rFonts w:ascii="Arial" w:eastAsia="Times New Roman" w:hAnsi="Arial" w:cs="Arial"/>
          <w:sz w:val="18"/>
          <w:szCs w:val="18"/>
          <w:lang w:eastAsia="en-AU"/>
        </w:rPr>
        <w:t>The information collected will be retained for 15 years after the completion of t</w:t>
      </w:r>
      <w:r w:rsidR="0026697B">
        <w:rPr>
          <w:rFonts w:ascii="Arial" w:eastAsia="Times New Roman" w:hAnsi="Arial" w:cs="Arial"/>
          <w:sz w:val="18"/>
          <w:szCs w:val="18"/>
          <w:lang w:eastAsia="en-AU"/>
        </w:rPr>
        <w:t xml:space="preserve">he project. At the end of </w:t>
      </w:r>
      <w:r w:rsidR="00FA529C" w:rsidRPr="00242364">
        <w:rPr>
          <w:rFonts w:ascii="Arial" w:eastAsia="Times New Roman" w:hAnsi="Arial" w:cs="Arial"/>
          <w:sz w:val="18"/>
          <w:szCs w:val="18"/>
          <w:lang w:eastAsia="en-AU"/>
        </w:rPr>
        <w:t>15 years</w:t>
      </w:r>
      <w:r w:rsidR="0026697B">
        <w:rPr>
          <w:rFonts w:ascii="Arial" w:eastAsia="Times New Roman" w:hAnsi="Arial" w:cs="Arial"/>
          <w:sz w:val="18"/>
          <w:szCs w:val="18"/>
          <w:lang w:eastAsia="en-AU"/>
        </w:rPr>
        <w:t xml:space="preserve"> the</w:t>
      </w:r>
      <w:r w:rsidR="00FA529C" w:rsidRPr="00242364">
        <w:rPr>
          <w:rFonts w:ascii="Arial" w:eastAsia="Times New Roman" w:hAnsi="Arial" w:cs="Arial"/>
          <w:sz w:val="18"/>
          <w:szCs w:val="18"/>
          <w:lang w:eastAsia="en-AU"/>
        </w:rPr>
        <w:t xml:space="preserve"> paper copies will be sh</w:t>
      </w:r>
      <w:r w:rsidR="0026697B">
        <w:rPr>
          <w:rFonts w:ascii="Arial" w:eastAsia="Times New Roman" w:hAnsi="Arial" w:cs="Arial"/>
          <w:sz w:val="18"/>
          <w:szCs w:val="18"/>
          <w:lang w:eastAsia="en-AU"/>
        </w:rPr>
        <w:t xml:space="preserve">redded and </w:t>
      </w:r>
      <w:r w:rsidR="00FA529C" w:rsidRPr="00242364">
        <w:rPr>
          <w:rFonts w:ascii="Arial" w:eastAsia="Times New Roman" w:hAnsi="Arial" w:cs="Arial"/>
          <w:sz w:val="18"/>
          <w:szCs w:val="18"/>
          <w:lang w:eastAsia="en-AU"/>
        </w:rPr>
        <w:t>disposed while electronic data will be deleted.</w:t>
      </w:r>
    </w:p>
    <w:p w:rsidR="00D64C7E" w:rsidRPr="00242364" w:rsidRDefault="00D64C7E" w:rsidP="001B0AF6">
      <w:pPr>
        <w:spacing w:after="0"/>
        <w:jc w:val="both"/>
        <w:outlineLvl w:val="0"/>
        <w:rPr>
          <w:rFonts w:ascii="Arial" w:eastAsia="Times New Roman" w:hAnsi="Arial" w:cs="Arial"/>
          <w:b/>
          <w:sz w:val="18"/>
          <w:szCs w:val="18"/>
          <w:lang w:eastAsia="en-AU"/>
        </w:rPr>
      </w:pPr>
      <w:bookmarkStart w:id="56" w:name="_Toc224114242"/>
      <w:bookmarkStart w:id="57" w:name="_Toc224114367"/>
      <w:bookmarkStart w:id="58" w:name="_Toc229297246"/>
      <w:bookmarkStart w:id="59" w:name="_Toc229297353"/>
      <w:bookmarkStart w:id="60" w:name="_Toc229298377"/>
      <w:bookmarkStart w:id="61" w:name="_Toc229307345"/>
      <w:bookmarkStart w:id="62" w:name="_Toc229308165"/>
      <w:bookmarkStart w:id="63" w:name="_Toc235338639"/>
      <w:bookmarkStart w:id="64" w:name="_Toc236472642"/>
      <w:bookmarkStart w:id="65" w:name="_Toc236473762"/>
      <w:bookmarkStart w:id="66" w:name="_Toc237834111"/>
    </w:p>
    <w:p w:rsidR="00D64C7E" w:rsidRPr="00242364" w:rsidRDefault="00D64C7E" w:rsidP="001B0AF6">
      <w:pPr>
        <w:spacing w:after="0"/>
        <w:jc w:val="both"/>
        <w:outlineLvl w:val="0"/>
        <w:rPr>
          <w:rFonts w:ascii="Arial" w:eastAsia="Times New Roman" w:hAnsi="Arial" w:cs="Arial"/>
          <w:b/>
          <w:sz w:val="18"/>
          <w:szCs w:val="18"/>
          <w:lang w:eastAsia="en-AU"/>
        </w:rPr>
      </w:pPr>
      <w:r w:rsidRPr="00242364">
        <w:rPr>
          <w:rFonts w:ascii="Arial" w:eastAsia="Times New Roman" w:hAnsi="Arial" w:cs="Arial"/>
          <w:b/>
          <w:sz w:val="18"/>
          <w:szCs w:val="18"/>
          <w:lang w:eastAsia="en-AU"/>
        </w:rPr>
        <w:t>8.  OUTCOMES AND SIGNIFICANCE</w:t>
      </w:r>
      <w:bookmarkEnd w:id="56"/>
      <w:bookmarkEnd w:id="57"/>
      <w:bookmarkEnd w:id="58"/>
      <w:bookmarkEnd w:id="59"/>
      <w:bookmarkEnd w:id="60"/>
      <w:bookmarkEnd w:id="61"/>
      <w:bookmarkEnd w:id="62"/>
      <w:bookmarkEnd w:id="63"/>
      <w:bookmarkEnd w:id="64"/>
      <w:bookmarkEnd w:id="65"/>
      <w:bookmarkEnd w:id="66"/>
    </w:p>
    <w:p w:rsidR="00D64C7E" w:rsidRPr="00242364" w:rsidRDefault="00D64C7E" w:rsidP="001B0AF6">
      <w:pPr>
        <w:spacing w:after="0"/>
        <w:jc w:val="both"/>
        <w:outlineLvl w:val="0"/>
        <w:rPr>
          <w:rFonts w:ascii="Arial" w:eastAsia="Times New Roman" w:hAnsi="Arial" w:cs="Arial"/>
          <w:b/>
          <w:sz w:val="18"/>
          <w:szCs w:val="18"/>
          <w:lang w:eastAsia="en-AU"/>
        </w:rPr>
      </w:pPr>
    </w:p>
    <w:p w:rsidR="00D64C7E" w:rsidRDefault="00D64C7E" w:rsidP="001B0AF6">
      <w:pPr>
        <w:spacing w:after="0"/>
        <w:jc w:val="both"/>
        <w:rPr>
          <w:rFonts w:ascii="Arial" w:eastAsia="Times New Roman" w:hAnsi="Arial" w:cs="Arial"/>
          <w:sz w:val="18"/>
          <w:szCs w:val="18"/>
          <w:lang w:eastAsia="en-AU"/>
        </w:rPr>
      </w:pPr>
      <w:r w:rsidRPr="00242364">
        <w:rPr>
          <w:rFonts w:ascii="Arial" w:eastAsia="Times New Roman" w:hAnsi="Arial" w:cs="Arial"/>
          <w:sz w:val="18"/>
          <w:szCs w:val="18"/>
          <w:lang w:eastAsia="en-AU"/>
        </w:rPr>
        <w:t>The results of this study wi</w:t>
      </w:r>
      <w:r w:rsidR="006025D3">
        <w:rPr>
          <w:rFonts w:ascii="Arial" w:eastAsia="Times New Roman" w:hAnsi="Arial" w:cs="Arial"/>
          <w:sz w:val="18"/>
          <w:szCs w:val="18"/>
          <w:lang w:eastAsia="en-AU"/>
        </w:rPr>
        <w:t xml:space="preserve">ll potentially characterise whether routine consumption of low-viscosity soluble dietary fibres provide patients suffering from gastroparesis symptom relief. The rheological properties of these dietary fibres will </w:t>
      </w:r>
      <w:r w:rsidR="004217B5">
        <w:rPr>
          <w:rFonts w:ascii="Arial" w:eastAsia="Times New Roman" w:hAnsi="Arial" w:cs="Arial"/>
          <w:sz w:val="18"/>
          <w:szCs w:val="18"/>
          <w:lang w:eastAsia="en-AU"/>
        </w:rPr>
        <w:t>be measured</w:t>
      </w:r>
      <w:r w:rsidR="006025D3">
        <w:rPr>
          <w:rFonts w:ascii="Arial" w:eastAsia="Times New Roman" w:hAnsi="Arial" w:cs="Arial"/>
          <w:sz w:val="18"/>
          <w:szCs w:val="18"/>
          <w:lang w:eastAsia="en-AU"/>
        </w:rPr>
        <w:t xml:space="preserve"> </w:t>
      </w:r>
      <w:r w:rsidR="004217B5">
        <w:rPr>
          <w:rFonts w:ascii="Arial" w:eastAsia="Times New Roman" w:hAnsi="Arial" w:cs="Arial"/>
          <w:sz w:val="18"/>
          <w:szCs w:val="18"/>
          <w:lang w:eastAsia="en-AU"/>
        </w:rPr>
        <w:t xml:space="preserve">and percentage composition of their sugar units will also be determined using mass spectrometry. The structures of the dietary fibres will also be determined using 2D NMR </w:t>
      </w:r>
      <w:r w:rsidR="001B0AF6">
        <w:rPr>
          <w:rFonts w:ascii="Arial" w:eastAsia="Times New Roman" w:hAnsi="Arial" w:cs="Arial"/>
          <w:sz w:val="18"/>
          <w:szCs w:val="18"/>
          <w:lang w:eastAsia="en-AU"/>
        </w:rPr>
        <w:t>if possible.</w:t>
      </w:r>
    </w:p>
    <w:p w:rsidR="004217B5" w:rsidRPr="00242364" w:rsidRDefault="004217B5" w:rsidP="001B0AF6">
      <w:pPr>
        <w:spacing w:after="0"/>
        <w:jc w:val="both"/>
        <w:rPr>
          <w:rFonts w:ascii="Arial" w:eastAsia="Times New Roman" w:hAnsi="Arial" w:cs="Arial"/>
          <w:sz w:val="18"/>
          <w:szCs w:val="18"/>
          <w:lang w:eastAsia="en-AU"/>
        </w:rPr>
      </w:pPr>
    </w:p>
    <w:p w:rsidR="0044027F" w:rsidRDefault="0044027F" w:rsidP="001B0AF6">
      <w:pPr>
        <w:spacing w:after="0"/>
        <w:jc w:val="both"/>
        <w:outlineLvl w:val="0"/>
        <w:rPr>
          <w:rFonts w:ascii="Arial" w:eastAsia="Times New Roman" w:hAnsi="Arial" w:cs="Arial"/>
          <w:b/>
          <w:sz w:val="18"/>
          <w:szCs w:val="18"/>
          <w:lang w:eastAsia="en-AU"/>
        </w:rPr>
      </w:pPr>
      <w:r w:rsidRPr="0044027F">
        <w:rPr>
          <w:rFonts w:ascii="Arial" w:eastAsia="Times New Roman" w:hAnsi="Arial" w:cs="Arial"/>
          <w:b/>
          <w:sz w:val="18"/>
          <w:szCs w:val="18"/>
          <w:lang w:eastAsia="en-AU"/>
        </w:rPr>
        <w:t>9.  TIMELINES</w:t>
      </w:r>
    </w:p>
    <w:p w:rsidR="0044027F" w:rsidRPr="0044027F" w:rsidRDefault="0044027F" w:rsidP="001B0AF6">
      <w:pPr>
        <w:spacing w:after="0"/>
        <w:jc w:val="both"/>
        <w:outlineLvl w:val="0"/>
        <w:rPr>
          <w:rFonts w:ascii="Arial" w:eastAsia="Times New Roman" w:hAnsi="Arial" w:cs="Arial"/>
          <w:b/>
          <w:sz w:val="18"/>
          <w:szCs w:val="18"/>
          <w:lang w:eastAsia="en-AU"/>
        </w:rPr>
      </w:pPr>
    </w:p>
    <w:tbl>
      <w:tblPr>
        <w:tblStyle w:val="TableGrid1"/>
        <w:tblW w:w="8785" w:type="dxa"/>
        <w:tblLook w:val="04A0" w:firstRow="1" w:lastRow="0" w:firstColumn="1" w:lastColumn="0" w:noHBand="0" w:noVBand="1"/>
      </w:tblPr>
      <w:tblGrid>
        <w:gridCol w:w="4025"/>
        <w:gridCol w:w="680"/>
        <w:gridCol w:w="680"/>
        <w:gridCol w:w="680"/>
        <w:gridCol w:w="680"/>
        <w:gridCol w:w="680"/>
        <w:gridCol w:w="680"/>
        <w:gridCol w:w="680"/>
      </w:tblGrid>
      <w:tr w:rsidR="0044027F" w:rsidRPr="0069342D" w:rsidTr="00940B0F">
        <w:tc>
          <w:tcPr>
            <w:tcW w:w="4025" w:type="dxa"/>
          </w:tcPr>
          <w:p w:rsidR="0044027F" w:rsidRPr="0069342D" w:rsidRDefault="0044027F" w:rsidP="001B0AF6">
            <w:pPr>
              <w:spacing w:line="276" w:lineRule="auto"/>
              <w:jc w:val="center"/>
              <w:outlineLvl w:val="0"/>
              <w:rPr>
                <w:rFonts w:ascii="Arial" w:hAnsi="Arial" w:cs="Arial"/>
                <w:sz w:val="18"/>
                <w:szCs w:val="18"/>
              </w:rPr>
            </w:pPr>
            <w:r w:rsidRPr="0069342D">
              <w:rPr>
                <w:rFonts w:ascii="Arial" w:hAnsi="Arial" w:cs="Arial"/>
                <w:sz w:val="18"/>
                <w:szCs w:val="18"/>
              </w:rPr>
              <w:t>Month</w:t>
            </w:r>
          </w:p>
        </w:tc>
        <w:tc>
          <w:tcPr>
            <w:tcW w:w="680" w:type="dxa"/>
          </w:tcPr>
          <w:p w:rsidR="0044027F" w:rsidRPr="0069342D" w:rsidRDefault="00F36E4E" w:rsidP="001B0AF6">
            <w:pPr>
              <w:spacing w:line="276" w:lineRule="auto"/>
              <w:outlineLvl w:val="0"/>
              <w:rPr>
                <w:rFonts w:ascii="Arial" w:hAnsi="Arial" w:cs="Arial"/>
                <w:sz w:val="16"/>
                <w:szCs w:val="18"/>
              </w:rPr>
            </w:pPr>
            <w:r>
              <w:rPr>
                <w:rFonts w:ascii="Arial" w:hAnsi="Arial" w:cs="Arial"/>
                <w:sz w:val="16"/>
                <w:szCs w:val="18"/>
              </w:rPr>
              <w:t>1-9</w:t>
            </w:r>
          </w:p>
        </w:tc>
        <w:tc>
          <w:tcPr>
            <w:tcW w:w="680" w:type="dxa"/>
          </w:tcPr>
          <w:p w:rsidR="0044027F" w:rsidRPr="0069342D" w:rsidRDefault="00D357BA" w:rsidP="001B0AF6">
            <w:pPr>
              <w:spacing w:line="276" w:lineRule="auto"/>
              <w:jc w:val="center"/>
              <w:outlineLvl w:val="0"/>
              <w:rPr>
                <w:rFonts w:ascii="Arial" w:hAnsi="Arial" w:cs="Arial"/>
                <w:sz w:val="16"/>
                <w:szCs w:val="18"/>
              </w:rPr>
            </w:pPr>
            <w:r>
              <w:rPr>
                <w:rFonts w:ascii="Arial" w:hAnsi="Arial" w:cs="Arial"/>
                <w:sz w:val="16"/>
                <w:szCs w:val="18"/>
              </w:rPr>
              <w:t>9-12</w:t>
            </w:r>
          </w:p>
        </w:tc>
        <w:tc>
          <w:tcPr>
            <w:tcW w:w="680" w:type="dxa"/>
          </w:tcPr>
          <w:p w:rsidR="0044027F" w:rsidRPr="0069342D" w:rsidRDefault="00D357BA" w:rsidP="001B0AF6">
            <w:pPr>
              <w:spacing w:line="276" w:lineRule="auto"/>
              <w:jc w:val="center"/>
              <w:outlineLvl w:val="0"/>
              <w:rPr>
                <w:rFonts w:ascii="Arial" w:hAnsi="Arial" w:cs="Arial"/>
                <w:sz w:val="16"/>
                <w:szCs w:val="18"/>
              </w:rPr>
            </w:pPr>
            <w:r>
              <w:rPr>
                <w:rFonts w:ascii="Arial" w:hAnsi="Arial" w:cs="Arial"/>
                <w:sz w:val="16"/>
                <w:szCs w:val="18"/>
              </w:rPr>
              <w:t>12-18</w:t>
            </w:r>
          </w:p>
        </w:tc>
        <w:tc>
          <w:tcPr>
            <w:tcW w:w="680" w:type="dxa"/>
          </w:tcPr>
          <w:p w:rsidR="0044027F" w:rsidRPr="0069342D" w:rsidRDefault="00D357BA" w:rsidP="001B0AF6">
            <w:pPr>
              <w:spacing w:line="276" w:lineRule="auto"/>
              <w:jc w:val="center"/>
              <w:outlineLvl w:val="0"/>
              <w:rPr>
                <w:rFonts w:ascii="Arial" w:hAnsi="Arial" w:cs="Arial"/>
                <w:sz w:val="16"/>
                <w:szCs w:val="18"/>
              </w:rPr>
            </w:pPr>
            <w:r>
              <w:rPr>
                <w:rFonts w:ascii="Arial" w:hAnsi="Arial" w:cs="Arial"/>
                <w:sz w:val="16"/>
                <w:szCs w:val="18"/>
              </w:rPr>
              <w:t>18-24</w:t>
            </w:r>
          </w:p>
        </w:tc>
        <w:tc>
          <w:tcPr>
            <w:tcW w:w="680" w:type="dxa"/>
          </w:tcPr>
          <w:p w:rsidR="0044027F" w:rsidRPr="0069342D" w:rsidRDefault="00D357BA" w:rsidP="001B0AF6">
            <w:pPr>
              <w:spacing w:line="276" w:lineRule="auto"/>
              <w:jc w:val="center"/>
              <w:outlineLvl w:val="0"/>
              <w:rPr>
                <w:rFonts w:ascii="Arial" w:hAnsi="Arial" w:cs="Arial"/>
                <w:sz w:val="16"/>
                <w:szCs w:val="18"/>
              </w:rPr>
            </w:pPr>
            <w:r>
              <w:rPr>
                <w:rFonts w:ascii="Arial" w:hAnsi="Arial" w:cs="Arial"/>
                <w:sz w:val="16"/>
                <w:szCs w:val="18"/>
              </w:rPr>
              <w:t>24-30</w:t>
            </w:r>
          </w:p>
        </w:tc>
        <w:tc>
          <w:tcPr>
            <w:tcW w:w="680" w:type="dxa"/>
          </w:tcPr>
          <w:p w:rsidR="0044027F" w:rsidRPr="0069342D" w:rsidRDefault="0044027F" w:rsidP="001B0AF6">
            <w:pPr>
              <w:spacing w:line="276" w:lineRule="auto"/>
              <w:jc w:val="center"/>
              <w:outlineLvl w:val="0"/>
              <w:rPr>
                <w:rFonts w:ascii="Arial" w:hAnsi="Arial" w:cs="Arial"/>
                <w:sz w:val="16"/>
                <w:szCs w:val="18"/>
              </w:rPr>
            </w:pPr>
            <w:r>
              <w:rPr>
                <w:rFonts w:ascii="Arial" w:hAnsi="Arial" w:cs="Arial"/>
                <w:sz w:val="16"/>
                <w:szCs w:val="18"/>
              </w:rPr>
              <w:t>30-33</w:t>
            </w:r>
          </w:p>
        </w:tc>
        <w:tc>
          <w:tcPr>
            <w:tcW w:w="680" w:type="dxa"/>
          </w:tcPr>
          <w:p w:rsidR="0044027F" w:rsidRPr="0069342D" w:rsidRDefault="0044027F" w:rsidP="001B0AF6">
            <w:pPr>
              <w:spacing w:line="276" w:lineRule="auto"/>
              <w:jc w:val="center"/>
              <w:outlineLvl w:val="0"/>
              <w:rPr>
                <w:rFonts w:ascii="Arial" w:hAnsi="Arial" w:cs="Arial"/>
                <w:sz w:val="16"/>
                <w:szCs w:val="18"/>
              </w:rPr>
            </w:pPr>
            <w:r>
              <w:rPr>
                <w:rFonts w:ascii="Arial" w:hAnsi="Arial" w:cs="Arial"/>
                <w:sz w:val="16"/>
                <w:szCs w:val="18"/>
              </w:rPr>
              <w:t>34-36</w:t>
            </w:r>
          </w:p>
        </w:tc>
      </w:tr>
      <w:tr w:rsidR="0044027F" w:rsidRPr="0069342D" w:rsidTr="00940B0F">
        <w:tc>
          <w:tcPr>
            <w:tcW w:w="4025" w:type="dxa"/>
          </w:tcPr>
          <w:p w:rsidR="0044027F" w:rsidRPr="0069342D" w:rsidRDefault="00F36E4E" w:rsidP="001B0AF6">
            <w:pPr>
              <w:spacing w:line="276" w:lineRule="auto"/>
              <w:outlineLvl w:val="0"/>
              <w:rPr>
                <w:rFonts w:ascii="Arial" w:hAnsi="Arial" w:cs="Arial"/>
                <w:sz w:val="18"/>
                <w:szCs w:val="18"/>
              </w:rPr>
            </w:pPr>
            <w:r>
              <w:rPr>
                <w:rFonts w:ascii="Arial" w:hAnsi="Arial" w:cs="Arial"/>
                <w:sz w:val="18"/>
                <w:szCs w:val="18"/>
              </w:rPr>
              <w:t xml:space="preserve">Dietary fibre selection and </w:t>
            </w:r>
            <w:r w:rsidR="00D357BA">
              <w:rPr>
                <w:rFonts w:ascii="Arial" w:hAnsi="Arial" w:cs="Arial"/>
                <w:sz w:val="18"/>
                <w:szCs w:val="18"/>
              </w:rPr>
              <w:t xml:space="preserve">initial </w:t>
            </w:r>
            <w:r>
              <w:rPr>
                <w:rFonts w:ascii="Arial" w:hAnsi="Arial" w:cs="Arial"/>
                <w:sz w:val="18"/>
                <w:szCs w:val="18"/>
              </w:rPr>
              <w:t>rheometry</w:t>
            </w: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highlight w:val="black"/>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r>
      <w:tr w:rsidR="0044027F" w:rsidRPr="0069342D" w:rsidTr="00F36E4E">
        <w:tc>
          <w:tcPr>
            <w:tcW w:w="4025" w:type="dxa"/>
          </w:tcPr>
          <w:p w:rsidR="0044027F" w:rsidRPr="0069342D" w:rsidRDefault="00F36E4E" w:rsidP="001B0AF6">
            <w:pPr>
              <w:spacing w:line="276" w:lineRule="auto"/>
              <w:outlineLvl w:val="0"/>
              <w:rPr>
                <w:rFonts w:ascii="Arial" w:hAnsi="Arial" w:cs="Arial"/>
                <w:sz w:val="18"/>
                <w:szCs w:val="18"/>
              </w:rPr>
            </w:pPr>
            <w:r>
              <w:rPr>
                <w:rFonts w:ascii="Arial" w:hAnsi="Arial" w:cs="Arial"/>
                <w:sz w:val="18"/>
                <w:szCs w:val="18"/>
              </w:rPr>
              <w:t>Rheometry under simulated gastric conditions</w:t>
            </w:r>
          </w:p>
        </w:tc>
        <w:tc>
          <w:tcPr>
            <w:tcW w:w="680" w:type="dxa"/>
            <w:shd w:val="clear" w:color="auto" w:fill="auto"/>
          </w:tcPr>
          <w:p w:rsidR="0044027F" w:rsidRPr="0069342D" w:rsidRDefault="0044027F" w:rsidP="001B0AF6">
            <w:pPr>
              <w:spacing w:line="276" w:lineRule="auto"/>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r>
      <w:tr w:rsidR="0044027F" w:rsidRPr="0069342D" w:rsidTr="00D357BA">
        <w:tc>
          <w:tcPr>
            <w:tcW w:w="4025" w:type="dxa"/>
          </w:tcPr>
          <w:p w:rsidR="0044027F" w:rsidRPr="0069342D" w:rsidRDefault="00D357BA" w:rsidP="001B0AF6">
            <w:pPr>
              <w:spacing w:line="276" w:lineRule="auto"/>
              <w:outlineLvl w:val="0"/>
              <w:rPr>
                <w:rFonts w:ascii="Arial" w:hAnsi="Arial" w:cs="Arial"/>
                <w:sz w:val="18"/>
                <w:szCs w:val="18"/>
              </w:rPr>
            </w:pPr>
            <w:r>
              <w:rPr>
                <w:rFonts w:ascii="Arial" w:hAnsi="Arial" w:cs="Arial"/>
                <w:sz w:val="18"/>
                <w:szCs w:val="18"/>
              </w:rPr>
              <w:t>Patient recruitment and clinical data collection</w:t>
            </w: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FFFFFF" w:themeFill="background1"/>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auto"/>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auto"/>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r>
      <w:tr w:rsidR="0044027F" w:rsidRPr="0069342D" w:rsidTr="00D357BA">
        <w:tc>
          <w:tcPr>
            <w:tcW w:w="4025" w:type="dxa"/>
          </w:tcPr>
          <w:p w:rsidR="0044027F" w:rsidRPr="0069342D" w:rsidRDefault="00D357BA" w:rsidP="001B0AF6">
            <w:pPr>
              <w:spacing w:line="276" w:lineRule="auto"/>
              <w:outlineLvl w:val="0"/>
              <w:rPr>
                <w:rFonts w:ascii="Arial" w:hAnsi="Arial" w:cs="Arial"/>
                <w:sz w:val="18"/>
                <w:szCs w:val="18"/>
              </w:rPr>
            </w:pPr>
            <w:r>
              <w:rPr>
                <w:rFonts w:ascii="Arial" w:hAnsi="Arial" w:cs="Arial"/>
                <w:sz w:val="18"/>
                <w:szCs w:val="18"/>
              </w:rPr>
              <w:t>Mass spectrometry and 2D NMR</w:t>
            </w: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FFFFFF" w:themeFill="background1"/>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auto"/>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auto"/>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r>
      <w:tr w:rsidR="0044027F" w:rsidRPr="0069342D" w:rsidTr="00940B0F">
        <w:tc>
          <w:tcPr>
            <w:tcW w:w="4025" w:type="dxa"/>
          </w:tcPr>
          <w:p w:rsidR="0044027F" w:rsidRPr="0069342D" w:rsidRDefault="0044027F" w:rsidP="001B0AF6">
            <w:pPr>
              <w:spacing w:line="276" w:lineRule="auto"/>
              <w:outlineLvl w:val="0"/>
              <w:rPr>
                <w:rFonts w:ascii="Arial" w:hAnsi="Arial" w:cs="Arial"/>
                <w:sz w:val="18"/>
                <w:szCs w:val="18"/>
              </w:rPr>
            </w:pPr>
            <w:r w:rsidRPr="0069342D">
              <w:rPr>
                <w:rFonts w:ascii="Arial" w:hAnsi="Arial" w:cs="Arial"/>
                <w:sz w:val="18"/>
                <w:szCs w:val="18"/>
              </w:rPr>
              <w:t>Data analysis</w:t>
            </w: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r>
      <w:tr w:rsidR="0044027F" w:rsidRPr="0069342D" w:rsidTr="00940B0F">
        <w:tc>
          <w:tcPr>
            <w:tcW w:w="4025" w:type="dxa"/>
          </w:tcPr>
          <w:p w:rsidR="0044027F" w:rsidRPr="0069342D" w:rsidRDefault="0044027F" w:rsidP="001B0AF6">
            <w:pPr>
              <w:spacing w:line="276" w:lineRule="auto"/>
              <w:outlineLvl w:val="0"/>
              <w:rPr>
                <w:rFonts w:ascii="Arial" w:hAnsi="Arial" w:cs="Arial"/>
                <w:sz w:val="18"/>
                <w:szCs w:val="18"/>
              </w:rPr>
            </w:pPr>
            <w:r w:rsidRPr="0069342D">
              <w:rPr>
                <w:rFonts w:ascii="Arial" w:hAnsi="Arial" w:cs="Arial"/>
                <w:sz w:val="18"/>
                <w:szCs w:val="18"/>
              </w:rPr>
              <w:t>Write up</w:t>
            </w: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tcPr>
          <w:p w:rsidR="0044027F" w:rsidRPr="0069342D" w:rsidRDefault="0044027F" w:rsidP="001B0AF6">
            <w:pPr>
              <w:spacing w:line="276" w:lineRule="auto"/>
              <w:jc w:val="center"/>
              <w:outlineLvl w:val="0"/>
              <w:rPr>
                <w:rFonts w:ascii="Arial" w:hAnsi="Arial" w:cs="Arial"/>
                <w:sz w:val="18"/>
                <w:szCs w:val="18"/>
              </w:rPr>
            </w:pPr>
          </w:p>
        </w:tc>
        <w:tc>
          <w:tcPr>
            <w:tcW w:w="680" w:type="dxa"/>
            <w:shd w:val="clear" w:color="auto" w:fill="7F7F7F" w:themeFill="text1" w:themeFillTint="80"/>
          </w:tcPr>
          <w:p w:rsidR="0044027F" w:rsidRPr="0069342D" w:rsidRDefault="0044027F" w:rsidP="001B0AF6">
            <w:pPr>
              <w:spacing w:line="276" w:lineRule="auto"/>
              <w:jc w:val="center"/>
              <w:outlineLvl w:val="0"/>
              <w:rPr>
                <w:rFonts w:ascii="Arial" w:hAnsi="Arial" w:cs="Arial"/>
                <w:sz w:val="18"/>
                <w:szCs w:val="18"/>
              </w:rPr>
            </w:pPr>
          </w:p>
        </w:tc>
      </w:tr>
    </w:tbl>
    <w:p w:rsidR="0044027F" w:rsidRPr="0069342D" w:rsidRDefault="0044027F" w:rsidP="001B0AF6">
      <w:pPr>
        <w:spacing w:after="0"/>
        <w:jc w:val="both"/>
        <w:outlineLvl w:val="0"/>
        <w:rPr>
          <w:rFonts w:ascii="Arial" w:eastAsia="Times New Roman" w:hAnsi="Arial" w:cs="Arial"/>
          <w:b/>
          <w:lang w:eastAsia="en-AU"/>
        </w:rPr>
      </w:pPr>
    </w:p>
    <w:p w:rsidR="0044027F" w:rsidRPr="0044027F" w:rsidRDefault="0044027F" w:rsidP="001B0AF6">
      <w:pPr>
        <w:spacing w:after="0"/>
        <w:ind w:left="720" w:hanging="720"/>
        <w:jc w:val="both"/>
        <w:outlineLvl w:val="0"/>
        <w:rPr>
          <w:rFonts w:ascii="Arial" w:eastAsia="Times New Roman" w:hAnsi="Arial" w:cs="Arial"/>
          <w:b/>
          <w:sz w:val="18"/>
          <w:szCs w:val="18"/>
          <w:lang w:eastAsia="en-AU"/>
        </w:rPr>
      </w:pPr>
      <w:bookmarkStart w:id="67" w:name="_Toc229297248"/>
      <w:bookmarkStart w:id="68" w:name="_Toc229297355"/>
      <w:bookmarkStart w:id="69" w:name="_Toc229298379"/>
      <w:bookmarkStart w:id="70" w:name="_Toc229307347"/>
      <w:bookmarkStart w:id="71" w:name="_Toc229308167"/>
      <w:bookmarkStart w:id="72" w:name="_Toc235338641"/>
      <w:bookmarkStart w:id="73" w:name="_Toc236472644"/>
      <w:bookmarkStart w:id="74" w:name="_Toc236473764"/>
      <w:bookmarkStart w:id="75" w:name="_Toc237834113"/>
      <w:r w:rsidRPr="0044027F">
        <w:rPr>
          <w:rFonts w:ascii="Arial" w:eastAsia="Times New Roman" w:hAnsi="Arial" w:cs="Arial"/>
          <w:b/>
          <w:sz w:val="18"/>
          <w:szCs w:val="18"/>
          <w:lang w:eastAsia="en-AU"/>
        </w:rPr>
        <w:lastRenderedPageBreak/>
        <w:t>10. PUBLICATION POLICY</w:t>
      </w:r>
      <w:bookmarkEnd w:id="67"/>
      <w:bookmarkEnd w:id="68"/>
      <w:bookmarkEnd w:id="69"/>
      <w:bookmarkEnd w:id="70"/>
      <w:bookmarkEnd w:id="71"/>
      <w:bookmarkEnd w:id="72"/>
      <w:bookmarkEnd w:id="73"/>
      <w:bookmarkEnd w:id="74"/>
      <w:bookmarkEnd w:id="75"/>
    </w:p>
    <w:p w:rsidR="0044027F" w:rsidRPr="0044027F" w:rsidRDefault="0044027F" w:rsidP="001B0AF6">
      <w:pPr>
        <w:spacing w:after="0"/>
        <w:ind w:left="720" w:hanging="720"/>
        <w:jc w:val="both"/>
        <w:outlineLvl w:val="0"/>
        <w:rPr>
          <w:rFonts w:ascii="Arial" w:eastAsia="Times New Roman" w:hAnsi="Arial" w:cs="Arial"/>
          <w:b/>
          <w:sz w:val="18"/>
          <w:szCs w:val="18"/>
          <w:lang w:eastAsia="en-AU"/>
        </w:rPr>
      </w:pPr>
    </w:p>
    <w:p w:rsidR="0044027F" w:rsidRPr="0044027F" w:rsidRDefault="0044027F" w:rsidP="001B0AF6">
      <w:pPr>
        <w:spacing w:after="0"/>
        <w:jc w:val="both"/>
        <w:outlineLvl w:val="0"/>
        <w:rPr>
          <w:rFonts w:ascii="Arial" w:eastAsia="Times New Roman" w:hAnsi="Arial" w:cs="Arial"/>
          <w:sz w:val="18"/>
          <w:szCs w:val="18"/>
          <w:lang w:eastAsia="en-AU"/>
        </w:rPr>
      </w:pPr>
      <w:r w:rsidRPr="0044027F">
        <w:rPr>
          <w:rFonts w:ascii="Arial" w:eastAsia="Times New Roman" w:hAnsi="Arial" w:cs="Arial"/>
          <w:sz w:val="18"/>
          <w:szCs w:val="18"/>
          <w:lang w:eastAsia="en-AU"/>
        </w:rPr>
        <w:t>It is anticipated that the results of this research project will be published and/or presented in a variety of forums. In any publication and/or presentation, information will be provided in such a way that the par</w:t>
      </w:r>
      <w:r w:rsidR="00EF4A24">
        <w:rPr>
          <w:rFonts w:ascii="Arial" w:eastAsia="Times New Roman" w:hAnsi="Arial" w:cs="Arial"/>
          <w:sz w:val="18"/>
          <w:szCs w:val="18"/>
          <w:lang w:eastAsia="en-AU"/>
        </w:rPr>
        <w:t xml:space="preserve">ticipants cannot be identified. </w:t>
      </w:r>
      <w:r w:rsidRPr="0044027F">
        <w:rPr>
          <w:rFonts w:ascii="Arial" w:eastAsia="Times New Roman" w:hAnsi="Arial" w:cs="Arial"/>
          <w:sz w:val="18"/>
          <w:szCs w:val="18"/>
          <w:lang w:eastAsia="en-AU"/>
        </w:rPr>
        <w:t xml:space="preserve">It is anticipated that the results of the research project will be presented at local and international conferences, published as a research article in a </w:t>
      </w:r>
      <w:r w:rsidR="00EF4A24">
        <w:rPr>
          <w:rFonts w:ascii="Arial" w:eastAsia="Times New Roman" w:hAnsi="Arial" w:cs="Arial"/>
          <w:sz w:val="18"/>
          <w:szCs w:val="18"/>
          <w:lang w:eastAsia="en-AU"/>
        </w:rPr>
        <w:t>gastric research or food science</w:t>
      </w:r>
      <w:r w:rsidRPr="0044027F">
        <w:rPr>
          <w:rFonts w:ascii="Arial" w:eastAsia="Times New Roman" w:hAnsi="Arial" w:cs="Arial"/>
          <w:sz w:val="18"/>
          <w:szCs w:val="18"/>
          <w:lang w:eastAsia="en-AU"/>
        </w:rPr>
        <w:t xml:space="preserve"> journal. A copy of this will be made available to participants on request.</w:t>
      </w:r>
    </w:p>
    <w:p w:rsidR="00FA529C" w:rsidRPr="00242364" w:rsidRDefault="00FA529C" w:rsidP="004906E1">
      <w:pPr>
        <w:spacing w:after="0"/>
        <w:jc w:val="both"/>
        <w:rPr>
          <w:rFonts w:ascii="Arial" w:hAnsi="Arial" w:cs="Arial"/>
          <w:sz w:val="18"/>
          <w:szCs w:val="18"/>
        </w:rPr>
      </w:pPr>
    </w:p>
    <w:p w:rsidR="00E93FDC" w:rsidRPr="00E93FDC" w:rsidRDefault="0044027F" w:rsidP="00E93FDC">
      <w:pPr>
        <w:tabs>
          <w:tab w:val="left" w:pos="7737"/>
        </w:tabs>
        <w:rPr>
          <w:rFonts w:ascii="Arial" w:hAnsi="Arial" w:cs="Arial"/>
          <w:b/>
          <w:sz w:val="18"/>
          <w:szCs w:val="18"/>
        </w:rPr>
      </w:pPr>
      <w:r>
        <w:rPr>
          <w:rFonts w:ascii="Arial" w:hAnsi="Arial" w:cs="Arial"/>
          <w:b/>
          <w:sz w:val="18"/>
          <w:szCs w:val="18"/>
        </w:rPr>
        <w:t>11.</w:t>
      </w:r>
      <w:r w:rsidR="00023F6D" w:rsidRPr="00242364">
        <w:rPr>
          <w:rFonts w:ascii="Arial" w:hAnsi="Arial" w:cs="Arial"/>
          <w:b/>
          <w:sz w:val="18"/>
          <w:szCs w:val="18"/>
        </w:rPr>
        <w:t xml:space="preserve"> </w:t>
      </w:r>
      <w:r>
        <w:rPr>
          <w:rFonts w:ascii="Arial" w:hAnsi="Arial" w:cs="Arial"/>
          <w:b/>
          <w:sz w:val="18"/>
          <w:szCs w:val="18"/>
        </w:rPr>
        <w:t>REFERENCES</w:t>
      </w:r>
      <w:r w:rsidR="00E93FDC" w:rsidRPr="00242364">
        <w:rPr>
          <w:rFonts w:ascii="Arial" w:hAnsi="Arial" w:cs="Arial"/>
          <w:noProof/>
          <w:sz w:val="18"/>
          <w:szCs w:val="18"/>
        </w:rPr>
        <w:t xml:space="preserve"> </w:t>
      </w:r>
    </w:p>
    <w:p w:rsidR="00654115" w:rsidRPr="009C3A1F" w:rsidRDefault="00654115"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Camilleri, S.D., et al., </w:t>
      </w:r>
      <w:r w:rsidRPr="009C3A1F">
        <w:rPr>
          <w:rFonts w:ascii="Arial" w:hAnsi="Arial" w:cs="Arial"/>
          <w:i/>
          <w:noProof/>
          <w:sz w:val="18"/>
          <w:szCs w:val="18"/>
        </w:rPr>
        <w:t>Clinical Guideline: Management of Gastroparesis.</w:t>
      </w:r>
      <w:r w:rsidRPr="009C3A1F">
        <w:rPr>
          <w:rFonts w:ascii="Arial" w:hAnsi="Arial" w:cs="Arial"/>
          <w:noProof/>
          <w:sz w:val="18"/>
          <w:szCs w:val="18"/>
        </w:rPr>
        <w:t xml:space="preserve"> The American Journal of Gastroenterology, 2012. 108: p.15-37. </w:t>
      </w:r>
    </w:p>
    <w:p w:rsidR="00654115" w:rsidRPr="009C3A1F" w:rsidRDefault="00654115"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Revicki, D.A., et al., </w:t>
      </w:r>
      <w:r w:rsidRPr="009C3A1F">
        <w:rPr>
          <w:rFonts w:ascii="Arial" w:hAnsi="Arial" w:cs="Arial"/>
          <w:i/>
          <w:noProof/>
          <w:sz w:val="18"/>
          <w:szCs w:val="18"/>
        </w:rPr>
        <w:t>Development and content validity of a gastroparesis cardinal symptom index daily diary.</w:t>
      </w:r>
      <w:r w:rsidRPr="009C3A1F">
        <w:rPr>
          <w:rFonts w:ascii="Arial" w:hAnsi="Arial" w:cs="Arial"/>
          <w:noProof/>
          <w:sz w:val="18"/>
          <w:szCs w:val="18"/>
        </w:rPr>
        <w:t xml:space="preserve"> Alimentary Pharmacology &amp; Therapeutics</w:t>
      </w:r>
      <w:r w:rsidR="00966B88" w:rsidRPr="009C3A1F">
        <w:rPr>
          <w:rFonts w:ascii="Arial" w:hAnsi="Arial" w:cs="Arial"/>
          <w:noProof/>
          <w:sz w:val="18"/>
          <w:szCs w:val="18"/>
        </w:rPr>
        <w:t>, 2009. 30: p. 670-680.</w:t>
      </w:r>
    </w:p>
    <w:p w:rsidR="00966B88" w:rsidRPr="009C3A1F" w:rsidRDefault="00966B88"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Yu, Y., et al., </w:t>
      </w:r>
      <w:r w:rsidRPr="009C3A1F">
        <w:rPr>
          <w:rFonts w:ascii="Arial" w:hAnsi="Arial" w:cs="Arial"/>
          <w:i/>
          <w:noProof/>
          <w:sz w:val="18"/>
          <w:szCs w:val="18"/>
        </w:rPr>
        <w:t>The impact of soluble dietary fibre on gastric emptying, postprandial glucose and insulin in patients with type 2 diabetes.</w:t>
      </w:r>
      <w:r w:rsidRPr="009C3A1F">
        <w:rPr>
          <w:rFonts w:ascii="Arial" w:hAnsi="Arial" w:cs="Arial"/>
          <w:noProof/>
          <w:sz w:val="18"/>
          <w:szCs w:val="18"/>
        </w:rPr>
        <w:t xml:space="preserve"> Asia Pacific Journal of Clinical Nutrition, 2014. 23(2): p. 210-218. </w:t>
      </w:r>
    </w:p>
    <w:p w:rsidR="001C71A6" w:rsidRPr="009C3A1F" w:rsidRDefault="009E3F8F"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Erdogan, A., et al., </w:t>
      </w:r>
      <w:r w:rsidRPr="009C3A1F">
        <w:rPr>
          <w:rFonts w:ascii="Arial" w:hAnsi="Arial" w:cs="Arial"/>
          <w:i/>
          <w:noProof/>
          <w:sz w:val="18"/>
          <w:szCs w:val="18"/>
        </w:rPr>
        <w:t>Randomised control trial: mixed soluble/insoluble fibre vs. psyllium for chronic constipation.</w:t>
      </w:r>
      <w:r w:rsidRPr="009C3A1F">
        <w:rPr>
          <w:rFonts w:ascii="Arial" w:hAnsi="Arial" w:cs="Arial"/>
          <w:noProof/>
          <w:sz w:val="18"/>
          <w:szCs w:val="18"/>
        </w:rPr>
        <w:t xml:space="preserve"> Aliemntary Pharmacology &amp; Therapeutics, 2016. 44: p. 35-44. </w:t>
      </w:r>
    </w:p>
    <w:p w:rsidR="00966B88" w:rsidRPr="009C3A1F" w:rsidRDefault="001C71A6"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Bijkerek C.J., et al., </w:t>
      </w:r>
      <w:r w:rsidRPr="009C3A1F">
        <w:rPr>
          <w:rFonts w:ascii="Arial" w:hAnsi="Arial" w:cs="Arial"/>
          <w:i/>
          <w:noProof/>
          <w:sz w:val="18"/>
          <w:szCs w:val="18"/>
        </w:rPr>
        <w:t>Soluble or insoluble fibre in irritable bowel syndrome in primary care? Randomised placebo controlled trial.</w:t>
      </w:r>
      <w:r w:rsidRPr="009C3A1F">
        <w:rPr>
          <w:rFonts w:ascii="Arial" w:hAnsi="Arial" w:cs="Arial"/>
          <w:noProof/>
          <w:sz w:val="18"/>
          <w:szCs w:val="18"/>
        </w:rPr>
        <w:t xml:space="preserve"> BMJ Research, 2009. 339: b3154.</w:t>
      </w:r>
    </w:p>
    <w:p w:rsidR="001C71A6" w:rsidRPr="009C3A1F" w:rsidRDefault="006D5A01"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Gibb, R.D., et al., </w:t>
      </w:r>
      <w:r w:rsidRPr="009C3A1F">
        <w:rPr>
          <w:rFonts w:ascii="Arial" w:hAnsi="Arial" w:cs="Arial"/>
          <w:i/>
          <w:noProof/>
          <w:sz w:val="18"/>
          <w:szCs w:val="18"/>
        </w:rPr>
        <w:t>Psyllium fiber improves glycemic control proportional to the loss of glycemic control: a meta-analysis of data in euglycemic subjects, patients at risk of type 2 diabetes mellitus, and patients being treated for type 2 diabetes mellitus.</w:t>
      </w:r>
      <w:r w:rsidRPr="009C3A1F">
        <w:rPr>
          <w:rFonts w:ascii="Arial" w:hAnsi="Arial" w:cs="Arial"/>
          <w:noProof/>
          <w:sz w:val="18"/>
          <w:szCs w:val="18"/>
        </w:rPr>
        <w:t xml:space="preserve"> American Journal of Clinical Nutrition, 2015. 102: p. 1604-1614. </w:t>
      </w:r>
    </w:p>
    <w:p w:rsidR="006D5A01" w:rsidRPr="009C3A1F" w:rsidRDefault="006D5A01"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Van Roosendal</w:t>
      </w:r>
      <w:r w:rsidR="004544A9" w:rsidRPr="009C3A1F">
        <w:rPr>
          <w:rFonts w:ascii="Arial" w:hAnsi="Arial" w:cs="Arial"/>
          <w:noProof/>
          <w:sz w:val="18"/>
          <w:szCs w:val="18"/>
        </w:rPr>
        <w:t>,</w:t>
      </w:r>
      <w:r w:rsidRPr="009C3A1F">
        <w:rPr>
          <w:rFonts w:ascii="Arial" w:hAnsi="Arial" w:cs="Arial"/>
          <w:noProof/>
          <w:sz w:val="18"/>
          <w:szCs w:val="18"/>
        </w:rPr>
        <w:t xml:space="preserve"> G.M.A., et al., </w:t>
      </w:r>
      <w:r w:rsidRPr="009C3A1F">
        <w:rPr>
          <w:rFonts w:ascii="Arial" w:hAnsi="Arial" w:cs="Arial"/>
          <w:i/>
          <w:noProof/>
          <w:sz w:val="18"/>
          <w:szCs w:val="18"/>
        </w:rPr>
        <w:t>Effect of time administration on cholesterol-lowering by psyllium: a randomized cross-over study in normocholesterol</w:t>
      </w:r>
      <w:r w:rsidR="00D50AEA" w:rsidRPr="009C3A1F">
        <w:rPr>
          <w:rFonts w:ascii="Arial" w:hAnsi="Arial" w:cs="Arial"/>
          <w:i/>
          <w:noProof/>
          <w:sz w:val="18"/>
          <w:szCs w:val="18"/>
        </w:rPr>
        <w:t>e</w:t>
      </w:r>
      <w:r w:rsidRPr="009C3A1F">
        <w:rPr>
          <w:rFonts w:ascii="Arial" w:hAnsi="Arial" w:cs="Arial"/>
          <w:i/>
          <w:noProof/>
          <w:sz w:val="18"/>
          <w:szCs w:val="18"/>
        </w:rPr>
        <w:t xml:space="preserve">mic </w:t>
      </w:r>
      <w:r w:rsidR="00D50AEA" w:rsidRPr="009C3A1F">
        <w:rPr>
          <w:rFonts w:ascii="Arial" w:hAnsi="Arial" w:cs="Arial"/>
          <w:i/>
          <w:noProof/>
          <w:sz w:val="18"/>
          <w:szCs w:val="18"/>
        </w:rPr>
        <w:t>or slightly hypercholesterolemic subjects.</w:t>
      </w:r>
      <w:r w:rsidR="00D50AEA" w:rsidRPr="009C3A1F">
        <w:rPr>
          <w:rFonts w:ascii="Arial" w:hAnsi="Arial" w:cs="Arial"/>
          <w:noProof/>
          <w:sz w:val="18"/>
          <w:szCs w:val="18"/>
        </w:rPr>
        <w:t xml:space="preserve"> Nutrition Journal, 2004. 3: p. 17-24. </w:t>
      </w:r>
    </w:p>
    <w:p w:rsidR="006315FC" w:rsidRPr="009C3A1F" w:rsidRDefault="006315FC"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Niv, E., et al., Randomized clinical study: Partially hydrolyzed guar gum (PHGG) versus placebo in the treatment of patients with irritable bowel syndrome. Nutrition &amp; Metabolism, 2016. 13: p. 10-17.</w:t>
      </w:r>
    </w:p>
    <w:p w:rsidR="004544A9" w:rsidRPr="009C3A1F" w:rsidRDefault="004544A9"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Kovacs, E.M.R., et al., </w:t>
      </w:r>
      <w:r w:rsidRPr="009C3A1F">
        <w:rPr>
          <w:rFonts w:ascii="Arial" w:hAnsi="Arial" w:cs="Arial"/>
          <w:i/>
          <w:noProof/>
          <w:sz w:val="18"/>
          <w:szCs w:val="18"/>
        </w:rPr>
        <w:t>The effect of guar gum addition to a semisolid meal on appetite related to blood glucose, in dieting men.</w:t>
      </w:r>
      <w:r w:rsidRPr="009C3A1F">
        <w:rPr>
          <w:rFonts w:ascii="Arial" w:hAnsi="Arial" w:cs="Arial"/>
          <w:noProof/>
          <w:sz w:val="18"/>
          <w:szCs w:val="18"/>
        </w:rPr>
        <w:t xml:space="preserve"> European Journal of Clinical Nutrition, 2002. 56: p. 771-778. </w:t>
      </w:r>
    </w:p>
    <w:p w:rsidR="00966B88" w:rsidRPr="009C3A1F" w:rsidRDefault="004544A9"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Bliss, D.Z., et al., </w:t>
      </w:r>
      <w:r w:rsidRPr="009C3A1F">
        <w:rPr>
          <w:rFonts w:ascii="Arial" w:hAnsi="Arial" w:cs="Arial"/>
          <w:i/>
          <w:noProof/>
          <w:sz w:val="18"/>
          <w:szCs w:val="18"/>
        </w:rPr>
        <w:t>Dietary Fiber supplementation for fecal incontinence: A Randomized Control Trial.</w:t>
      </w:r>
      <w:r w:rsidRPr="009C3A1F">
        <w:rPr>
          <w:rFonts w:ascii="Arial" w:hAnsi="Arial" w:cs="Arial"/>
          <w:noProof/>
          <w:sz w:val="18"/>
          <w:szCs w:val="18"/>
        </w:rPr>
        <w:t xml:space="preserve"> Research in Nursing &amp; Health, 2014. 37(5): p. 367-378.</w:t>
      </w:r>
    </w:p>
    <w:p w:rsidR="006315FC" w:rsidRPr="009C3A1F" w:rsidRDefault="006315FC" w:rsidP="009C3A1F">
      <w:pPr>
        <w:pStyle w:val="ListParagraph"/>
        <w:numPr>
          <w:ilvl w:val="0"/>
          <w:numId w:val="7"/>
        </w:numPr>
        <w:rPr>
          <w:rFonts w:ascii="Arial" w:hAnsi="Arial" w:cs="Arial"/>
          <w:noProof/>
          <w:sz w:val="18"/>
          <w:szCs w:val="18"/>
        </w:rPr>
      </w:pPr>
      <w:r w:rsidRPr="009C3A1F">
        <w:rPr>
          <w:rFonts w:ascii="Arial" w:hAnsi="Arial" w:cs="Arial"/>
          <w:noProof/>
          <w:sz w:val="18"/>
          <w:szCs w:val="18"/>
        </w:rPr>
        <w:t xml:space="preserve">Jenkins, D.J.A., et al., </w:t>
      </w:r>
      <w:r w:rsidRPr="009C3A1F">
        <w:rPr>
          <w:rFonts w:ascii="Arial" w:hAnsi="Arial" w:cs="Arial"/>
          <w:i/>
          <w:noProof/>
          <w:sz w:val="18"/>
          <w:szCs w:val="18"/>
        </w:rPr>
        <w:t>Dietary fibres, fibre analogues, and glucose tolerance: importnace of viscosity.</w:t>
      </w:r>
      <w:r w:rsidRPr="009C3A1F">
        <w:rPr>
          <w:rFonts w:ascii="Arial" w:hAnsi="Arial" w:cs="Arial"/>
          <w:noProof/>
          <w:sz w:val="18"/>
          <w:szCs w:val="18"/>
        </w:rPr>
        <w:t xml:space="preserve"> British Medical Journal, 1978. 1: p. 1392-1394. </w:t>
      </w:r>
    </w:p>
    <w:sectPr w:rsidR="006315FC" w:rsidRPr="009C3A1F" w:rsidSect="0044027F">
      <w:footerReference w:type="default" r:id="rId10"/>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A4" w:rsidRDefault="00820DA4" w:rsidP="0044027F">
      <w:pPr>
        <w:spacing w:after="0" w:line="240" w:lineRule="auto"/>
      </w:pPr>
      <w:r>
        <w:separator/>
      </w:r>
    </w:p>
  </w:endnote>
  <w:endnote w:type="continuationSeparator" w:id="0">
    <w:p w:rsidR="00820DA4" w:rsidRDefault="00820DA4" w:rsidP="0044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418061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6315FC" w:rsidRPr="00840584" w:rsidRDefault="006315FC" w:rsidP="0044027F">
            <w:pPr>
              <w:pStyle w:val="Footer"/>
              <w:jc w:val="center"/>
              <w:rPr>
                <w:rFonts w:ascii="Arial" w:hAnsi="Arial" w:cs="Arial"/>
                <w:bCs/>
                <w:sz w:val="16"/>
                <w:szCs w:val="16"/>
              </w:rPr>
            </w:pPr>
            <w:r w:rsidRPr="00840584">
              <w:rPr>
                <w:rFonts w:ascii="Arial" w:hAnsi="Arial" w:cs="Arial"/>
                <w:sz w:val="16"/>
                <w:szCs w:val="16"/>
              </w:rPr>
              <w:t xml:space="preserve">Page </w:t>
            </w:r>
            <w:r w:rsidRPr="00840584">
              <w:rPr>
                <w:rFonts w:ascii="Arial" w:hAnsi="Arial" w:cs="Arial"/>
                <w:bCs/>
                <w:sz w:val="16"/>
                <w:szCs w:val="16"/>
              </w:rPr>
              <w:fldChar w:fldCharType="begin"/>
            </w:r>
            <w:r w:rsidRPr="00840584">
              <w:rPr>
                <w:rFonts w:ascii="Arial" w:hAnsi="Arial" w:cs="Arial"/>
                <w:bCs/>
                <w:sz w:val="16"/>
                <w:szCs w:val="16"/>
              </w:rPr>
              <w:instrText xml:space="preserve"> PAGE </w:instrText>
            </w:r>
            <w:r w:rsidRPr="00840584">
              <w:rPr>
                <w:rFonts w:ascii="Arial" w:hAnsi="Arial" w:cs="Arial"/>
                <w:bCs/>
                <w:sz w:val="16"/>
                <w:szCs w:val="16"/>
              </w:rPr>
              <w:fldChar w:fldCharType="separate"/>
            </w:r>
            <w:r w:rsidR="00C93AE3">
              <w:rPr>
                <w:rFonts w:ascii="Arial" w:hAnsi="Arial" w:cs="Arial"/>
                <w:bCs/>
                <w:noProof/>
                <w:sz w:val="16"/>
                <w:szCs w:val="16"/>
              </w:rPr>
              <w:t>6</w:t>
            </w:r>
            <w:r w:rsidRPr="00840584">
              <w:rPr>
                <w:rFonts w:ascii="Arial" w:hAnsi="Arial" w:cs="Arial"/>
                <w:bCs/>
                <w:sz w:val="16"/>
                <w:szCs w:val="16"/>
              </w:rPr>
              <w:fldChar w:fldCharType="end"/>
            </w:r>
            <w:r w:rsidRPr="00840584">
              <w:rPr>
                <w:rFonts w:ascii="Arial" w:hAnsi="Arial" w:cs="Arial"/>
                <w:sz w:val="16"/>
                <w:szCs w:val="16"/>
              </w:rPr>
              <w:t xml:space="preserve"> of </w:t>
            </w:r>
            <w:r w:rsidRPr="00840584">
              <w:rPr>
                <w:rFonts w:ascii="Arial" w:hAnsi="Arial" w:cs="Arial"/>
                <w:bCs/>
                <w:sz w:val="16"/>
                <w:szCs w:val="16"/>
              </w:rPr>
              <w:fldChar w:fldCharType="begin"/>
            </w:r>
            <w:r w:rsidRPr="00840584">
              <w:rPr>
                <w:rFonts w:ascii="Arial" w:hAnsi="Arial" w:cs="Arial"/>
                <w:bCs/>
                <w:sz w:val="16"/>
                <w:szCs w:val="16"/>
              </w:rPr>
              <w:instrText xml:space="preserve"> NUMPAGES  </w:instrText>
            </w:r>
            <w:r w:rsidRPr="00840584">
              <w:rPr>
                <w:rFonts w:ascii="Arial" w:hAnsi="Arial" w:cs="Arial"/>
                <w:bCs/>
                <w:sz w:val="16"/>
                <w:szCs w:val="16"/>
              </w:rPr>
              <w:fldChar w:fldCharType="separate"/>
            </w:r>
            <w:r w:rsidR="00C93AE3">
              <w:rPr>
                <w:rFonts w:ascii="Arial" w:hAnsi="Arial" w:cs="Arial"/>
                <w:bCs/>
                <w:noProof/>
                <w:sz w:val="16"/>
                <w:szCs w:val="16"/>
              </w:rPr>
              <w:t>6</w:t>
            </w:r>
            <w:r w:rsidRPr="00840584">
              <w:rPr>
                <w:rFonts w:ascii="Arial" w:hAnsi="Arial" w:cs="Arial"/>
                <w:bCs/>
                <w:sz w:val="16"/>
                <w:szCs w:val="16"/>
              </w:rPr>
              <w:fldChar w:fldCharType="end"/>
            </w:r>
          </w:p>
          <w:p w:rsidR="006315FC" w:rsidRPr="00840584" w:rsidRDefault="006315FC" w:rsidP="0044027F">
            <w:pPr>
              <w:pStyle w:val="Footer"/>
              <w:rPr>
                <w:b/>
                <w:bCs/>
                <w:sz w:val="16"/>
                <w:szCs w:val="16"/>
              </w:rPr>
            </w:pPr>
            <w:r>
              <w:rPr>
                <w:rFonts w:ascii="Arial" w:hAnsi="Arial" w:cs="Arial"/>
                <w:bCs/>
                <w:sz w:val="16"/>
                <w:szCs w:val="16"/>
              </w:rPr>
              <w:t>MASTER Protocol Version 1.0, 23 March 2017</w:t>
            </w:r>
          </w:p>
        </w:sdtContent>
      </w:sdt>
    </w:sdtContent>
  </w:sdt>
  <w:p w:rsidR="006315FC" w:rsidRDefault="0063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A4" w:rsidRDefault="00820DA4" w:rsidP="0044027F">
      <w:pPr>
        <w:spacing w:after="0" w:line="240" w:lineRule="auto"/>
      </w:pPr>
      <w:r>
        <w:separator/>
      </w:r>
    </w:p>
  </w:footnote>
  <w:footnote w:type="continuationSeparator" w:id="0">
    <w:p w:rsidR="00820DA4" w:rsidRDefault="00820DA4" w:rsidP="0044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150"/>
    <w:multiLevelType w:val="multilevel"/>
    <w:tmpl w:val="63EE2D02"/>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7501607"/>
    <w:multiLevelType w:val="hybridMultilevel"/>
    <w:tmpl w:val="69E02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3A93DD7"/>
    <w:multiLevelType w:val="multilevel"/>
    <w:tmpl w:val="4CF60A6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A5F089B"/>
    <w:multiLevelType w:val="hybridMultilevel"/>
    <w:tmpl w:val="B1082A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DD36C11"/>
    <w:multiLevelType w:val="multilevel"/>
    <w:tmpl w:val="D43825E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ACE5911"/>
    <w:multiLevelType w:val="hybridMultilevel"/>
    <w:tmpl w:val="66CC4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530768C"/>
    <w:multiLevelType w:val="hybridMultilevel"/>
    <w:tmpl w:val="464C61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0zd0xfj59vv5eeeesv5awfz0pxs2vdadrf&quot;&gt;My EndNote Library&lt;record-ids&gt;&lt;item&gt;1&lt;/item&gt;&lt;item&gt;2&lt;/item&gt;&lt;item&gt;3&lt;/item&gt;&lt;item&gt;5&lt;/item&gt;&lt;item&gt;6&lt;/item&gt;&lt;item&gt;7&lt;/item&gt;&lt;item&gt;8&lt;/item&gt;&lt;item&gt;9&lt;/item&gt;&lt;item&gt;10&lt;/item&gt;&lt;item&gt;11&lt;/item&gt;&lt;item&gt;14&lt;/item&gt;&lt;item&gt;15&lt;/item&gt;&lt;/record-ids&gt;&lt;/item&gt;&lt;/Libraries&gt;"/>
  </w:docVars>
  <w:rsids>
    <w:rsidRoot w:val="00DF33DB"/>
    <w:rsid w:val="00023F6D"/>
    <w:rsid w:val="00026578"/>
    <w:rsid w:val="00026D86"/>
    <w:rsid w:val="00032981"/>
    <w:rsid w:val="00044C3D"/>
    <w:rsid w:val="00080BFF"/>
    <w:rsid w:val="000A6AE8"/>
    <w:rsid w:val="000B09C7"/>
    <w:rsid w:val="000B4227"/>
    <w:rsid w:val="000D63CA"/>
    <w:rsid w:val="001054FB"/>
    <w:rsid w:val="0014159B"/>
    <w:rsid w:val="00174D4A"/>
    <w:rsid w:val="00177CC2"/>
    <w:rsid w:val="001833AE"/>
    <w:rsid w:val="001861A1"/>
    <w:rsid w:val="001A32DD"/>
    <w:rsid w:val="001B0AF6"/>
    <w:rsid w:val="001B1D95"/>
    <w:rsid w:val="001B3194"/>
    <w:rsid w:val="001C71A6"/>
    <w:rsid w:val="001D3663"/>
    <w:rsid w:val="001E0132"/>
    <w:rsid w:val="001E0B4D"/>
    <w:rsid w:val="001E72D1"/>
    <w:rsid w:val="00201C4B"/>
    <w:rsid w:val="002049D3"/>
    <w:rsid w:val="00242364"/>
    <w:rsid w:val="0026697B"/>
    <w:rsid w:val="002703B4"/>
    <w:rsid w:val="002A62CD"/>
    <w:rsid w:val="002B22B9"/>
    <w:rsid w:val="002D488A"/>
    <w:rsid w:val="0031034B"/>
    <w:rsid w:val="00324ABA"/>
    <w:rsid w:val="0037084D"/>
    <w:rsid w:val="003779D0"/>
    <w:rsid w:val="00380D30"/>
    <w:rsid w:val="00396318"/>
    <w:rsid w:val="003A2F3A"/>
    <w:rsid w:val="003D043A"/>
    <w:rsid w:val="003D4886"/>
    <w:rsid w:val="003F41C3"/>
    <w:rsid w:val="00402F8F"/>
    <w:rsid w:val="00416801"/>
    <w:rsid w:val="004213FF"/>
    <w:rsid w:val="004217B5"/>
    <w:rsid w:val="00427DD8"/>
    <w:rsid w:val="00430F21"/>
    <w:rsid w:val="0043127A"/>
    <w:rsid w:val="0044027F"/>
    <w:rsid w:val="004544A9"/>
    <w:rsid w:val="004571DB"/>
    <w:rsid w:val="004701F5"/>
    <w:rsid w:val="00476F1D"/>
    <w:rsid w:val="00480422"/>
    <w:rsid w:val="00480C5E"/>
    <w:rsid w:val="004906E1"/>
    <w:rsid w:val="004B75D4"/>
    <w:rsid w:val="004C443C"/>
    <w:rsid w:val="004C4AC8"/>
    <w:rsid w:val="004D0B95"/>
    <w:rsid w:val="004F63E2"/>
    <w:rsid w:val="00502E4F"/>
    <w:rsid w:val="0050527B"/>
    <w:rsid w:val="0051411C"/>
    <w:rsid w:val="005362A3"/>
    <w:rsid w:val="00543716"/>
    <w:rsid w:val="0056587F"/>
    <w:rsid w:val="00566989"/>
    <w:rsid w:val="005B077B"/>
    <w:rsid w:val="005E6586"/>
    <w:rsid w:val="006025D3"/>
    <w:rsid w:val="006315FC"/>
    <w:rsid w:val="00654115"/>
    <w:rsid w:val="00656A63"/>
    <w:rsid w:val="0066360F"/>
    <w:rsid w:val="00670132"/>
    <w:rsid w:val="00670C12"/>
    <w:rsid w:val="00672D4C"/>
    <w:rsid w:val="00686829"/>
    <w:rsid w:val="00692E81"/>
    <w:rsid w:val="006C637D"/>
    <w:rsid w:val="006D5A01"/>
    <w:rsid w:val="006E0AFC"/>
    <w:rsid w:val="00701601"/>
    <w:rsid w:val="0073344D"/>
    <w:rsid w:val="0074213B"/>
    <w:rsid w:val="00744D4B"/>
    <w:rsid w:val="00791164"/>
    <w:rsid w:val="007940A3"/>
    <w:rsid w:val="007A09E8"/>
    <w:rsid w:val="007A5298"/>
    <w:rsid w:val="007A6447"/>
    <w:rsid w:val="007B42C2"/>
    <w:rsid w:val="007D712D"/>
    <w:rsid w:val="007E10DA"/>
    <w:rsid w:val="007F3B48"/>
    <w:rsid w:val="007F5E94"/>
    <w:rsid w:val="008017DB"/>
    <w:rsid w:val="00820DA4"/>
    <w:rsid w:val="008349E8"/>
    <w:rsid w:val="00840584"/>
    <w:rsid w:val="00843EFE"/>
    <w:rsid w:val="00846265"/>
    <w:rsid w:val="00852302"/>
    <w:rsid w:val="00865E8A"/>
    <w:rsid w:val="008675D1"/>
    <w:rsid w:val="00876C61"/>
    <w:rsid w:val="00890EB6"/>
    <w:rsid w:val="008A4010"/>
    <w:rsid w:val="008B6DB2"/>
    <w:rsid w:val="008D1679"/>
    <w:rsid w:val="008F113C"/>
    <w:rsid w:val="009001C8"/>
    <w:rsid w:val="00927454"/>
    <w:rsid w:val="00937C34"/>
    <w:rsid w:val="00940B0F"/>
    <w:rsid w:val="009522BA"/>
    <w:rsid w:val="00966B88"/>
    <w:rsid w:val="00971A44"/>
    <w:rsid w:val="00994DF8"/>
    <w:rsid w:val="0099634F"/>
    <w:rsid w:val="009A56AC"/>
    <w:rsid w:val="009B7CC8"/>
    <w:rsid w:val="009C3A1F"/>
    <w:rsid w:val="009E3F8F"/>
    <w:rsid w:val="009E4593"/>
    <w:rsid w:val="009E47A3"/>
    <w:rsid w:val="009E6771"/>
    <w:rsid w:val="00A12BEF"/>
    <w:rsid w:val="00A146B0"/>
    <w:rsid w:val="00A23449"/>
    <w:rsid w:val="00A37056"/>
    <w:rsid w:val="00A41FC9"/>
    <w:rsid w:val="00A4733C"/>
    <w:rsid w:val="00A578DD"/>
    <w:rsid w:val="00A60232"/>
    <w:rsid w:val="00A61F08"/>
    <w:rsid w:val="00A8269B"/>
    <w:rsid w:val="00A912FF"/>
    <w:rsid w:val="00AA25AA"/>
    <w:rsid w:val="00AB3E4C"/>
    <w:rsid w:val="00AC4481"/>
    <w:rsid w:val="00AE390D"/>
    <w:rsid w:val="00AF2AA6"/>
    <w:rsid w:val="00AF37F4"/>
    <w:rsid w:val="00B04A15"/>
    <w:rsid w:val="00B302D1"/>
    <w:rsid w:val="00B62095"/>
    <w:rsid w:val="00B7071C"/>
    <w:rsid w:val="00B72DCB"/>
    <w:rsid w:val="00BA5B1E"/>
    <w:rsid w:val="00BA7315"/>
    <w:rsid w:val="00BC1E8B"/>
    <w:rsid w:val="00BC3700"/>
    <w:rsid w:val="00BF3F65"/>
    <w:rsid w:val="00C00214"/>
    <w:rsid w:val="00C02FD0"/>
    <w:rsid w:val="00C038D6"/>
    <w:rsid w:val="00C31A0C"/>
    <w:rsid w:val="00C620B2"/>
    <w:rsid w:val="00C7121B"/>
    <w:rsid w:val="00C93AE3"/>
    <w:rsid w:val="00CA16F6"/>
    <w:rsid w:val="00CA2D35"/>
    <w:rsid w:val="00CB47A5"/>
    <w:rsid w:val="00CC48F3"/>
    <w:rsid w:val="00CD2A24"/>
    <w:rsid w:val="00CD4E3E"/>
    <w:rsid w:val="00D17598"/>
    <w:rsid w:val="00D2201F"/>
    <w:rsid w:val="00D27FD5"/>
    <w:rsid w:val="00D357BA"/>
    <w:rsid w:val="00D47ED9"/>
    <w:rsid w:val="00D50AEA"/>
    <w:rsid w:val="00D63AE0"/>
    <w:rsid w:val="00D64C7E"/>
    <w:rsid w:val="00DA1727"/>
    <w:rsid w:val="00DA2126"/>
    <w:rsid w:val="00DC0D2C"/>
    <w:rsid w:val="00DC5D42"/>
    <w:rsid w:val="00DC73DA"/>
    <w:rsid w:val="00DD45C5"/>
    <w:rsid w:val="00DF33DB"/>
    <w:rsid w:val="00E11A96"/>
    <w:rsid w:val="00E24E97"/>
    <w:rsid w:val="00E342B7"/>
    <w:rsid w:val="00E3590F"/>
    <w:rsid w:val="00E56DD6"/>
    <w:rsid w:val="00E651EA"/>
    <w:rsid w:val="00E67ABA"/>
    <w:rsid w:val="00E84F7D"/>
    <w:rsid w:val="00E857C6"/>
    <w:rsid w:val="00E91FAC"/>
    <w:rsid w:val="00E93FDC"/>
    <w:rsid w:val="00E977B8"/>
    <w:rsid w:val="00EB0248"/>
    <w:rsid w:val="00EB114A"/>
    <w:rsid w:val="00EB2E97"/>
    <w:rsid w:val="00EC7576"/>
    <w:rsid w:val="00EF36A9"/>
    <w:rsid w:val="00EF4A24"/>
    <w:rsid w:val="00F0316B"/>
    <w:rsid w:val="00F04A32"/>
    <w:rsid w:val="00F06CD9"/>
    <w:rsid w:val="00F36E4E"/>
    <w:rsid w:val="00F43952"/>
    <w:rsid w:val="00F465AE"/>
    <w:rsid w:val="00F57CC8"/>
    <w:rsid w:val="00F6439D"/>
    <w:rsid w:val="00F96EE5"/>
    <w:rsid w:val="00FA529C"/>
    <w:rsid w:val="00FB43AD"/>
    <w:rsid w:val="00FB4CFB"/>
    <w:rsid w:val="00FE64C6"/>
    <w:rsid w:val="00FF7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DB"/>
    <w:pPr>
      <w:ind w:left="720"/>
      <w:contextualSpacing/>
    </w:pPr>
  </w:style>
  <w:style w:type="character" w:styleId="Hyperlink">
    <w:name w:val="Hyperlink"/>
    <w:basedOn w:val="DefaultParagraphFont"/>
    <w:uiPriority w:val="99"/>
    <w:unhideWhenUsed/>
    <w:rsid w:val="001E0B4D"/>
    <w:rPr>
      <w:color w:val="0000FF" w:themeColor="hyperlink"/>
      <w:u w:val="single"/>
    </w:rPr>
  </w:style>
  <w:style w:type="table" w:styleId="TableGrid">
    <w:name w:val="Table Grid"/>
    <w:basedOn w:val="TableNormal"/>
    <w:uiPriority w:val="59"/>
    <w:rsid w:val="00CC4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63"/>
    <w:rPr>
      <w:rFonts w:ascii="Tahoma" w:hAnsi="Tahoma" w:cs="Tahoma"/>
      <w:sz w:val="16"/>
      <w:szCs w:val="16"/>
    </w:rPr>
  </w:style>
  <w:style w:type="table" w:customStyle="1" w:styleId="TableGrid1">
    <w:name w:val="Table Grid1"/>
    <w:basedOn w:val="TableNormal"/>
    <w:next w:val="TableGrid"/>
    <w:rsid w:val="004402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7F"/>
  </w:style>
  <w:style w:type="paragraph" w:styleId="Footer">
    <w:name w:val="footer"/>
    <w:basedOn w:val="Normal"/>
    <w:link w:val="FooterChar"/>
    <w:uiPriority w:val="99"/>
    <w:unhideWhenUsed/>
    <w:rsid w:val="0044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7F"/>
  </w:style>
  <w:style w:type="paragraph" w:styleId="NormalWeb">
    <w:name w:val="Normal (Web)"/>
    <w:basedOn w:val="Normal"/>
    <w:uiPriority w:val="99"/>
    <w:semiHidden/>
    <w:unhideWhenUsed/>
    <w:rsid w:val="00BA5B1E"/>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DB"/>
    <w:pPr>
      <w:ind w:left="720"/>
      <w:contextualSpacing/>
    </w:pPr>
  </w:style>
  <w:style w:type="character" w:styleId="Hyperlink">
    <w:name w:val="Hyperlink"/>
    <w:basedOn w:val="DefaultParagraphFont"/>
    <w:uiPriority w:val="99"/>
    <w:unhideWhenUsed/>
    <w:rsid w:val="001E0B4D"/>
    <w:rPr>
      <w:color w:val="0000FF" w:themeColor="hyperlink"/>
      <w:u w:val="single"/>
    </w:rPr>
  </w:style>
  <w:style w:type="table" w:styleId="TableGrid">
    <w:name w:val="Table Grid"/>
    <w:basedOn w:val="TableNormal"/>
    <w:uiPriority w:val="59"/>
    <w:rsid w:val="00CC4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63"/>
    <w:rPr>
      <w:rFonts w:ascii="Tahoma" w:hAnsi="Tahoma" w:cs="Tahoma"/>
      <w:sz w:val="16"/>
      <w:szCs w:val="16"/>
    </w:rPr>
  </w:style>
  <w:style w:type="table" w:customStyle="1" w:styleId="TableGrid1">
    <w:name w:val="Table Grid1"/>
    <w:basedOn w:val="TableNormal"/>
    <w:next w:val="TableGrid"/>
    <w:rsid w:val="004402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7F"/>
  </w:style>
  <w:style w:type="paragraph" w:styleId="Footer">
    <w:name w:val="footer"/>
    <w:basedOn w:val="Normal"/>
    <w:link w:val="FooterChar"/>
    <w:uiPriority w:val="99"/>
    <w:unhideWhenUsed/>
    <w:rsid w:val="0044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7F"/>
  </w:style>
  <w:style w:type="paragraph" w:styleId="NormalWeb">
    <w:name w:val="Normal (Web)"/>
    <w:basedOn w:val="Normal"/>
    <w:uiPriority w:val="99"/>
    <w:semiHidden/>
    <w:unhideWhenUsed/>
    <w:rsid w:val="00BA5B1E"/>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226A-AE9E-478B-9E91-CA01BA7D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Zhou</dc:creator>
  <cp:lastModifiedBy>Windows User</cp:lastModifiedBy>
  <cp:revision>21</cp:revision>
  <cp:lastPrinted>2018-06-06T03:03:00Z</cp:lastPrinted>
  <dcterms:created xsi:type="dcterms:W3CDTF">2017-04-06T02:31:00Z</dcterms:created>
  <dcterms:modified xsi:type="dcterms:W3CDTF">2018-06-06T03:03:00Z</dcterms:modified>
</cp:coreProperties>
</file>