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D3C8" w14:textId="77777777" w:rsidR="00BB7A2B" w:rsidRDefault="00216550">
      <w:pPr>
        <w:jc w:val="center"/>
        <w:rPr>
          <w:b/>
          <w:sz w:val="32"/>
          <w:szCs w:val="32"/>
        </w:rPr>
      </w:pPr>
      <w:r>
        <w:rPr>
          <w:b/>
          <w:sz w:val="32"/>
          <w:szCs w:val="32"/>
        </w:rPr>
        <w:t xml:space="preserve">Neonatal Stoma Refeeding Technique Protocol </w:t>
      </w:r>
    </w:p>
    <w:p w14:paraId="0AA490E1" w14:textId="77777777" w:rsidR="00BB7A2B" w:rsidRDefault="00216550">
      <w:pPr>
        <w:rPr>
          <w:b/>
          <w:sz w:val="32"/>
          <w:szCs w:val="32"/>
        </w:rPr>
      </w:pPr>
      <w:r>
        <w:rPr>
          <w:b/>
          <w:sz w:val="32"/>
          <w:szCs w:val="32"/>
        </w:rPr>
        <w:t>Feasibility Study</w:t>
      </w:r>
    </w:p>
    <w:p w14:paraId="6656BD76" w14:textId="77777777" w:rsidR="00BB7A2B" w:rsidRDefault="00BB7A2B">
      <w:pPr>
        <w:rPr>
          <w:rFonts w:ascii="Arial" w:eastAsia="Arial" w:hAnsi="Arial" w:cs="Arial"/>
        </w:rPr>
      </w:pPr>
    </w:p>
    <w:p w14:paraId="28AF3AC6" w14:textId="25E4D730" w:rsidR="00BB7A2B" w:rsidRDefault="00216550">
      <w:r>
        <w:rPr>
          <w:b/>
        </w:rPr>
        <w:t>Lead Investigators</w:t>
      </w:r>
      <w:r>
        <w:t>:</w:t>
      </w:r>
      <w:r>
        <w:rPr>
          <w:rFonts w:ascii="Arial" w:eastAsia="Arial" w:hAnsi="Arial" w:cs="Arial"/>
        </w:rPr>
        <w:t xml:space="preserve"> </w:t>
      </w:r>
      <w:r>
        <w:rPr>
          <w:rFonts w:ascii="Arial" w:eastAsia="Arial" w:hAnsi="Arial" w:cs="Arial"/>
        </w:rPr>
        <w:tab/>
      </w:r>
      <w:r>
        <w:t xml:space="preserve">Prof. Greg </w:t>
      </w:r>
      <w:r w:rsidR="005074FD">
        <w:t>O’Grady</w:t>
      </w:r>
      <w:r>
        <w:tab/>
      </w:r>
      <w:r>
        <w:tab/>
      </w:r>
      <w:r>
        <w:tab/>
        <w:t xml:space="preserve">Prof. </w:t>
      </w:r>
      <w:r w:rsidR="001F3882">
        <w:t>Ian Bissett</w:t>
      </w:r>
    </w:p>
    <w:p w14:paraId="656E8EC6" w14:textId="3F9A889D" w:rsidR="00BB7A2B" w:rsidRDefault="00216550">
      <w:r>
        <w:tab/>
      </w:r>
      <w:r>
        <w:tab/>
      </w:r>
      <w:r>
        <w:tab/>
        <w:t>Professor</w:t>
      </w:r>
      <w:r>
        <w:tab/>
      </w:r>
      <w:r>
        <w:tab/>
      </w:r>
      <w:r>
        <w:tab/>
      </w:r>
      <w:r w:rsidR="00B40095">
        <w:tab/>
      </w:r>
      <w:r>
        <w:t>Professor</w:t>
      </w:r>
    </w:p>
    <w:p w14:paraId="5D6841C2" w14:textId="34F09937" w:rsidR="00BB7A2B" w:rsidRDefault="00216550">
      <w:r>
        <w:t xml:space="preserve"> </w:t>
      </w:r>
      <w:r>
        <w:tab/>
      </w:r>
      <w:r>
        <w:tab/>
      </w:r>
      <w:r>
        <w:tab/>
        <w:t>Department of Surgery</w:t>
      </w:r>
      <w:r>
        <w:tab/>
      </w:r>
      <w:r>
        <w:tab/>
      </w:r>
      <w:r>
        <w:tab/>
      </w:r>
      <w:r w:rsidR="001F3882">
        <w:t xml:space="preserve">Head of </w:t>
      </w:r>
      <w:r>
        <w:t>Department</w:t>
      </w:r>
    </w:p>
    <w:p w14:paraId="03AF84AD" w14:textId="77777777" w:rsidR="00BB7A2B" w:rsidRDefault="00216550">
      <w:pPr>
        <w:ind w:left="1440" w:firstLine="720"/>
      </w:pPr>
      <w:r>
        <w:t xml:space="preserve">The University of Auckland </w:t>
      </w:r>
      <w:r>
        <w:tab/>
      </w:r>
      <w:r>
        <w:tab/>
        <w:t>The University of Auckland</w:t>
      </w:r>
    </w:p>
    <w:p w14:paraId="7F81821D" w14:textId="48780910" w:rsidR="00BB7A2B" w:rsidRDefault="00216550">
      <w:pPr>
        <w:rPr>
          <w:color w:val="000000"/>
        </w:rPr>
      </w:pPr>
      <w:r>
        <w:tab/>
      </w:r>
      <w:r>
        <w:tab/>
      </w:r>
      <w:r>
        <w:tab/>
        <w:t xml:space="preserve">Ph: </w:t>
      </w:r>
      <w:r>
        <w:rPr>
          <w:color w:val="000000"/>
        </w:rPr>
        <w:t>09 373 7599</w:t>
      </w:r>
      <w:r w:rsidR="003E3836">
        <w:rPr>
          <w:color w:val="000000"/>
        </w:rPr>
        <w:tab/>
      </w:r>
      <w:r>
        <w:tab/>
      </w:r>
      <w:r>
        <w:tab/>
      </w:r>
      <w:r w:rsidR="001F3882" w:rsidRPr="001F3882">
        <w:t>Ph: 09 373 7599 ext 89821</w:t>
      </w:r>
    </w:p>
    <w:p w14:paraId="26698541" w14:textId="77777777" w:rsidR="00BB7A2B" w:rsidRDefault="00BB7A2B"/>
    <w:p w14:paraId="3929C5B0" w14:textId="40007E0F" w:rsidR="00BB7A2B" w:rsidRDefault="00216550">
      <w:pPr>
        <w:rPr>
          <w:b/>
        </w:rPr>
      </w:pPr>
      <w:r>
        <w:rPr>
          <w:b/>
        </w:rPr>
        <w:t xml:space="preserve">Date of Protocol: </w:t>
      </w:r>
      <w:r>
        <w:rPr>
          <w:b/>
        </w:rPr>
        <w:tab/>
      </w:r>
      <w:r w:rsidR="001F3882">
        <w:t>11</w:t>
      </w:r>
      <w:r>
        <w:t>/8/2020</w:t>
      </w:r>
    </w:p>
    <w:p w14:paraId="1291B7D3" w14:textId="3FD3D8D8" w:rsidR="00BB7A2B" w:rsidRDefault="00216550">
      <w:pPr>
        <w:rPr>
          <w:b/>
        </w:rPr>
      </w:pPr>
      <w:r>
        <w:rPr>
          <w:b/>
        </w:rPr>
        <w:t>Protocol Number:</w:t>
      </w:r>
      <w:r>
        <w:rPr>
          <w:b/>
        </w:rPr>
        <w:tab/>
        <w:t xml:space="preserve"> </w:t>
      </w:r>
      <w:r>
        <w:t>v</w:t>
      </w:r>
      <w:r w:rsidR="00D775AE">
        <w:t>2.0</w:t>
      </w:r>
    </w:p>
    <w:p w14:paraId="7B45C6AE" w14:textId="77777777" w:rsidR="00BB7A2B" w:rsidRDefault="00BB7A2B">
      <w:pPr>
        <w:rPr>
          <w:b/>
        </w:rPr>
      </w:pPr>
    </w:p>
    <w:p w14:paraId="3EE407C8" w14:textId="084321DF" w:rsidR="00BB7A2B" w:rsidRDefault="00216550">
      <w:bookmarkStart w:id="0" w:name="_gjdgxs" w:colFirst="0" w:colLast="0"/>
      <w:bookmarkEnd w:id="0"/>
      <w:r>
        <w:rPr>
          <w:b/>
        </w:rPr>
        <w:t xml:space="preserve">Study Sponsor:  </w:t>
      </w:r>
      <w:r>
        <w:rPr>
          <w:b/>
        </w:rPr>
        <w:tab/>
      </w:r>
      <w:r>
        <w:t>The</w:t>
      </w:r>
      <w:r>
        <w:rPr>
          <w:b/>
        </w:rPr>
        <w:t xml:space="preserve"> </w:t>
      </w:r>
      <w:r w:rsidR="003E72B9">
        <w:t>Insides Company Limited.</w:t>
      </w:r>
    </w:p>
    <w:p w14:paraId="4D0B6630" w14:textId="77777777" w:rsidR="00BB7A2B" w:rsidRDefault="00BB7A2B">
      <w:pPr>
        <w:rPr>
          <w:b/>
        </w:rPr>
      </w:pPr>
    </w:p>
    <w:p w14:paraId="495C13CE" w14:textId="269BD274" w:rsidR="00BB7A2B" w:rsidRDefault="00216550">
      <w:r>
        <w:rPr>
          <w:b/>
        </w:rPr>
        <w:t xml:space="preserve">Investigation Site: </w:t>
      </w:r>
      <w:r>
        <w:rPr>
          <w:b/>
        </w:rPr>
        <w:tab/>
      </w:r>
      <w:r>
        <w:t>NICU - Neonatal Intensive Care Unit</w:t>
      </w:r>
      <w:r>
        <w:rPr>
          <w:b/>
        </w:rPr>
        <w:t xml:space="preserve"> - </w:t>
      </w:r>
      <w:r>
        <w:t>Auckland City Hospital</w:t>
      </w:r>
    </w:p>
    <w:p w14:paraId="42E56B3B" w14:textId="00B76918" w:rsidR="0079198C" w:rsidRDefault="0079198C">
      <w:r>
        <w:tab/>
      </w:r>
      <w:r>
        <w:tab/>
      </w:r>
      <w:r>
        <w:tab/>
        <w:t>Other national NICU sites will be invited</w:t>
      </w:r>
      <w:r w:rsidR="003B497F">
        <w:t>, including Christchurch Hospital</w:t>
      </w:r>
    </w:p>
    <w:p w14:paraId="6C70B3E7" w14:textId="77777777" w:rsidR="00BB7A2B" w:rsidRDefault="00216550">
      <w:r>
        <w:tab/>
      </w:r>
      <w:r>
        <w:tab/>
      </w:r>
    </w:p>
    <w:p w14:paraId="3AB29E9A" w14:textId="70779D12" w:rsidR="00BB7A2B" w:rsidRDefault="08A84796" w:rsidP="08A84796">
      <w:pPr>
        <w:rPr>
          <w:b/>
          <w:bCs/>
        </w:rPr>
      </w:pPr>
      <w:r w:rsidRPr="08A84796">
        <w:rPr>
          <w:b/>
          <w:bCs/>
        </w:rPr>
        <w:t xml:space="preserve">Planned Commencement Date: </w:t>
      </w:r>
      <w:r>
        <w:t xml:space="preserve"> </w:t>
      </w:r>
      <w:r w:rsidR="003E72B9">
        <w:t>July</w:t>
      </w:r>
      <w:r w:rsidR="00B40095">
        <w:t xml:space="preserve"> </w:t>
      </w:r>
      <w:r>
        <w:t>2021</w:t>
      </w:r>
    </w:p>
    <w:p w14:paraId="717B532F" w14:textId="5BC84CA6" w:rsidR="00BB7A2B" w:rsidRDefault="08A84796" w:rsidP="08A84796">
      <w:pPr>
        <w:rPr>
          <w:b/>
          <w:bCs/>
        </w:rPr>
      </w:pPr>
      <w:r w:rsidRPr="08A84796">
        <w:rPr>
          <w:b/>
          <w:bCs/>
        </w:rPr>
        <w:t xml:space="preserve">Planned Conclusion Date: </w:t>
      </w:r>
      <w:r>
        <w:t xml:space="preserve"> </w:t>
      </w:r>
      <w:r w:rsidR="003E72B9">
        <w:t>July</w:t>
      </w:r>
      <w:r w:rsidR="00B40095">
        <w:t xml:space="preserve"> </w:t>
      </w:r>
      <w:r>
        <w:t>2023</w:t>
      </w:r>
    </w:p>
    <w:p w14:paraId="233318BA" w14:textId="77777777" w:rsidR="00BB7A2B" w:rsidRDefault="00BB7A2B">
      <w:pPr>
        <w:rPr>
          <w:b/>
        </w:rPr>
      </w:pPr>
    </w:p>
    <w:p w14:paraId="7A486BB6" w14:textId="77777777" w:rsidR="00BB7A2B" w:rsidRDefault="00BB7A2B">
      <w:pPr>
        <w:rPr>
          <w:b/>
        </w:rPr>
      </w:pPr>
    </w:p>
    <w:p w14:paraId="475924A5" w14:textId="77777777" w:rsidR="00BB7A2B" w:rsidRDefault="00216550">
      <w:pPr>
        <w:rPr>
          <w:b/>
        </w:rPr>
      </w:pPr>
      <w:r>
        <w:br w:type="column"/>
      </w:r>
      <w:r>
        <w:rPr>
          <w:b/>
        </w:rPr>
        <w:lastRenderedPageBreak/>
        <w:t xml:space="preserve">Investigator Team: </w:t>
      </w: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199"/>
      </w:tblGrid>
      <w:tr w:rsidR="00BB7A2B" w14:paraId="0C50D2BB" w14:textId="77777777" w:rsidTr="1A184B96">
        <w:tc>
          <w:tcPr>
            <w:tcW w:w="3005" w:type="dxa"/>
            <w:shd w:val="clear" w:color="auto" w:fill="D9D9D9" w:themeFill="background1" w:themeFillShade="D9"/>
          </w:tcPr>
          <w:p w14:paraId="41DFADC6" w14:textId="77777777" w:rsidR="00BB7A2B" w:rsidRDefault="00216550">
            <w:pPr>
              <w:rPr>
                <w:b/>
              </w:rPr>
            </w:pPr>
            <w:r>
              <w:rPr>
                <w:b/>
              </w:rPr>
              <w:t>Name:</w:t>
            </w:r>
          </w:p>
        </w:tc>
        <w:tc>
          <w:tcPr>
            <w:tcW w:w="3005" w:type="dxa"/>
            <w:shd w:val="clear" w:color="auto" w:fill="D9D9D9" w:themeFill="background1" w:themeFillShade="D9"/>
          </w:tcPr>
          <w:p w14:paraId="3D1A6AFC" w14:textId="77777777" w:rsidR="00BB7A2B" w:rsidRDefault="00216550">
            <w:pPr>
              <w:rPr>
                <w:b/>
              </w:rPr>
            </w:pPr>
            <w:r>
              <w:rPr>
                <w:b/>
              </w:rPr>
              <w:t>Faculty/Department:</w:t>
            </w:r>
          </w:p>
        </w:tc>
        <w:tc>
          <w:tcPr>
            <w:tcW w:w="3199" w:type="dxa"/>
            <w:shd w:val="clear" w:color="auto" w:fill="D9D9D9" w:themeFill="background1" w:themeFillShade="D9"/>
          </w:tcPr>
          <w:p w14:paraId="39870829" w14:textId="77777777" w:rsidR="00BB7A2B" w:rsidRDefault="00216550">
            <w:pPr>
              <w:rPr>
                <w:b/>
              </w:rPr>
            </w:pPr>
            <w:r>
              <w:rPr>
                <w:b/>
              </w:rPr>
              <w:t>Contact Details:</w:t>
            </w:r>
          </w:p>
        </w:tc>
      </w:tr>
      <w:tr w:rsidR="00BB7A2B" w14:paraId="38CE3805" w14:textId="77777777" w:rsidTr="1A184B96">
        <w:trPr>
          <w:trHeight w:val="1779"/>
        </w:trPr>
        <w:tc>
          <w:tcPr>
            <w:tcW w:w="3005" w:type="dxa"/>
          </w:tcPr>
          <w:p w14:paraId="13B10E80" w14:textId="57201976" w:rsidR="00BB7A2B" w:rsidRDefault="00216550" w:rsidP="005074FD">
            <w:r>
              <w:t xml:space="preserve">Professor Gregory </w:t>
            </w:r>
            <w:r w:rsidR="005074FD">
              <w:t>O’Grady</w:t>
            </w:r>
          </w:p>
        </w:tc>
        <w:tc>
          <w:tcPr>
            <w:tcW w:w="3005" w:type="dxa"/>
          </w:tcPr>
          <w:p w14:paraId="0A8611AE" w14:textId="0025BF34" w:rsidR="00BB7A2B" w:rsidRDefault="00216550">
            <w:r>
              <w:t>Professor</w:t>
            </w:r>
          </w:p>
          <w:p w14:paraId="5460F722" w14:textId="77777777" w:rsidR="00BB7A2B" w:rsidRDefault="00216550">
            <w:r>
              <w:t>Department of Surgery</w:t>
            </w:r>
          </w:p>
          <w:p w14:paraId="26F5B2AA" w14:textId="77777777" w:rsidR="00BB7A2B" w:rsidRDefault="00216550">
            <w:r>
              <w:t xml:space="preserve">University of Auckland </w:t>
            </w:r>
          </w:p>
          <w:p w14:paraId="3AD3D908" w14:textId="77777777" w:rsidR="00BB7A2B" w:rsidRDefault="00216550">
            <w:r>
              <w:t>Private Bag 92019</w:t>
            </w:r>
          </w:p>
          <w:p w14:paraId="6C39E75D" w14:textId="77777777" w:rsidR="00BB7A2B" w:rsidRDefault="00216550">
            <w:r>
              <w:t>Auckland Mail Centre 1142</w:t>
            </w:r>
          </w:p>
        </w:tc>
        <w:tc>
          <w:tcPr>
            <w:tcW w:w="3199" w:type="dxa"/>
          </w:tcPr>
          <w:p w14:paraId="046DC45D" w14:textId="77777777" w:rsidR="00BB7A2B" w:rsidRDefault="00216550">
            <w:r>
              <w:t>+64 27 422 2989</w:t>
            </w:r>
          </w:p>
          <w:p w14:paraId="0212D4B8" w14:textId="77777777" w:rsidR="00BB7A2B" w:rsidRDefault="00BB7A2B"/>
          <w:p w14:paraId="27773B69" w14:textId="77777777" w:rsidR="00BB7A2B" w:rsidRDefault="003E72B9">
            <w:hyperlink r:id="rId7">
              <w:r w:rsidR="00216550">
                <w:rPr>
                  <w:color w:val="0563C1"/>
                  <w:u w:val="single"/>
                </w:rPr>
                <w:t>greg.ogrady@auckland.ac.nz</w:t>
              </w:r>
            </w:hyperlink>
          </w:p>
          <w:p w14:paraId="242EF733" w14:textId="77777777" w:rsidR="00BB7A2B" w:rsidRDefault="00BB7A2B"/>
        </w:tc>
      </w:tr>
      <w:tr w:rsidR="00BB7A2B" w14:paraId="40BE8344" w14:textId="77777777" w:rsidTr="1A184B96">
        <w:tc>
          <w:tcPr>
            <w:tcW w:w="3005" w:type="dxa"/>
          </w:tcPr>
          <w:p w14:paraId="5A47DF26" w14:textId="5F38A36F" w:rsidR="00BB7A2B" w:rsidRDefault="00216550">
            <w:r>
              <w:t xml:space="preserve">Professor </w:t>
            </w:r>
            <w:r w:rsidR="001F3882">
              <w:t xml:space="preserve">Ian Bissett </w:t>
            </w:r>
          </w:p>
        </w:tc>
        <w:tc>
          <w:tcPr>
            <w:tcW w:w="3005" w:type="dxa"/>
          </w:tcPr>
          <w:p w14:paraId="12488BA6" w14:textId="1AE2D1BD" w:rsidR="00BB7A2B" w:rsidRDefault="00216550">
            <w:r>
              <w:t xml:space="preserve">Professor </w:t>
            </w:r>
          </w:p>
          <w:p w14:paraId="042226CA" w14:textId="0A94EF2B" w:rsidR="00BB7A2B" w:rsidRDefault="00EB7ACE">
            <w:r>
              <w:t xml:space="preserve">Head of </w:t>
            </w:r>
            <w:r w:rsidR="00216550">
              <w:t>Department</w:t>
            </w:r>
          </w:p>
          <w:p w14:paraId="2D36D1CD" w14:textId="77777777" w:rsidR="00BB7A2B" w:rsidRDefault="00216550">
            <w:r>
              <w:t xml:space="preserve">University of Auckland </w:t>
            </w:r>
          </w:p>
          <w:p w14:paraId="2B1B64B7" w14:textId="77777777" w:rsidR="00BB7A2B" w:rsidRDefault="00216550">
            <w:r>
              <w:t>Private Bag 92019</w:t>
            </w:r>
          </w:p>
          <w:p w14:paraId="54F37FA5" w14:textId="312A5ABD" w:rsidR="00C2655B" w:rsidRDefault="00216550">
            <w:r>
              <w:t>Auckland Mail Centre 1142</w:t>
            </w:r>
          </w:p>
        </w:tc>
        <w:tc>
          <w:tcPr>
            <w:tcW w:w="3199" w:type="dxa"/>
          </w:tcPr>
          <w:p w14:paraId="65D0CF47" w14:textId="0EA7FE3F" w:rsidR="001F3882" w:rsidRDefault="001F3882">
            <w:r>
              <w:t xml:space="preserve">+64 </w:t>
            </w:r>
            <w:r w:rsidRPr="001F3882">
              <w:t>9 373 7599 ext 89821</w:t>
            </w:r>
          </w:p>
          <w:p w14:paraId="7E3CC33A" w14:textId="77777777" w:rsidR="001F3882" w:rsidRDefault="001F3882"/>
          <w:p w14:paraId="6FBD0039" w14:textId="336CE65E" w:rsidR="00BB7A2B" w:rsidRDefault="001F3882" w:rsidP="001F3882">
            <w:r w:rsidRPr="001F3882">
              <w:rPr>
                <w:color w:val="1155CC"/>
                <w:u w:val="single"/>
              </w:rPr>
              <w:t>i.bissett@auckland.ac.nz</w:t>
            </w:r>
          </w:p>
        </w:tc>
      </w:tr>
      <w:tr w:rsidR="00431B94" w14:paraId="128C7327" w14:textId="06070850" w:rsidTr="1A184B96">
        <w:tc>
          <w:tcPr>
            <w:tcW w:w="3005" w:type="dxa"/>
          </w:tcPr>
          <w:p w14:paraId="44A8B0E2" w14:textId="60F7B342" w:rsidR="00431B94" w:rsidRDefault="00431B94">
            <w:r>
              <w:t>Dr Stephen Evans</w:t>
            </w:r>
          </w:p>
        </w:tc>
        <w:tc>
          <w:tcPr>
            <w:tcW w:w="3005" w:type="dxa"/>
          </w:tcPr>
          <w:p w14:paraId="5BE5FD80" w14:textId="7D34FDA1" w:rsidR="00212AEC" w:rsidRDefault="00212AEC">
            <w:r>
              <w:t>Paediatric Surgeon</w:t>
            </w:r>
          </w:p>
          <w:p w14:paraId="74F31082" w14:textId="06E96E91" w:rsidR="003E72B9" w:rsidRDefault="003E72B9">
            <w:r>
              <w:t>Ste 2, Mauranui Clinic</w:t>
            </w:r>
          </w:p>
          <w:p w14:paraId="4443540B" w14:textId="0FC3D582" w:rsidR="003E72B9" w:rsidRDefault="003E72B9">
            <w:r>
              <w:t>86 Great South Rd</w:t>
            </w:r>
          </w:p>
          <w:p w14:paraId="66E29E9C" w14:textId="17D5F94E" w:rsidR="003E72B9" w:rsidRDefault="003E72B9">
            <w:r>
              <w:t>Epsom</w:t>
            </w:r>
          </w:p>
          <w:p w14:paraId="1696B38F" w14:textId="76A65E72" w:rsidR="000A0066" w:rsidRPr="00900C6D" w:rsidRDefault="003E72B9" w:rsidP="003E72B9">
            <w:pPr>
              <w:rPr>
                <w:rFonts w:asciiTheme="majorHAnsi" w:hAnsiTheme="majorHAnsi"/>
              </w:rPr>
            </w:pPr>
            <w:r>
              <w:t>Auckland</w:t>
            </w:r>
          </w:p>
        </w:tc>
        <w:tc>
          <w:tcPr>
            <w:tcW w:w="3199" w:type="dxa"/>
          </w:tcPr>
          <w:p w14:paraId="7A884084" w14:textId="48AC8766" w:rsidR="00431B94" w:rsidRDefault="00876C02">
            <w:pPr>
              <w:rPr>
                <w:rFonts w:eastAsia="Times New Roman"/>
              </w:rPr>
            </w:pPr>
            <w:r>
              <w:t>+6495244333</w:t>
            </w:r>
          </w:p>
          <w:p w14:paraId="507713CA" w14:textId="1DD32DBF" w:rsidR="00876C02" w:rsidRDefault="00876C02">
            <w:pPr>
              <w:rPr>
                <w:rFonts w:eastAsia="Times New Roman"/>
              </w:rPr>
            </w:pPr>
          </w:p>
          <w:p w14:paraId="2E73262E" w14:textId="799ED3E2" w:rsidR="00876C02" w:rsidRDefault="003E72B9">
            <w:hyperlink r:id="rId8" w:history="1">
              <w:r w:rsidR="1A184B96" w:rsidRPr="00150D0E">
                <w:rPr>
                  <w:rStyle w:val="Hyperlink"/>
                  <w:rFonts w:eastAsia="Times New Roman"/>
                </w:rPr>
                <w:t>stephene@adhb.govt.nz</w:t>
              </w:r>
            </w:hyperlink>
            <w:r w:rsidR="1A184B96" w:rsidRPr="1A184B96">
              <w:rPr>
                <w:rFonts w:eastAsia="Times New Roman"/>
              </w:rPr>
              <w:t xml:space="preserve"> </w:t>
            </w:r>
          </w:p>
        </w:tc>
      </w:tr>
      <w:tr w:rsidR="00E4652E" w14:paraId="303085AC" w14:textId="77777777" w:rsidTr="1A184B96">
        <w:tc>
          <w:tcPr>
            <w:tcW w:w="3005" w:type="dxa"/>
          </w:tcPr>
          <w:p w14:paraId="5A9A4AEB" w14:textId="385FA212" w:rsidR="00E4652E" w:rsidRDefault="00E4652E" w:rsidP="003E72B9">
            <w:r>
              <w:t xml:space="preserve">Dr Brodie Elliot </w:t>
            </w:r>
          </w:p>
        </w:tc>
        <w:tc>
          <w:tcPr>
            <w:tcW w:w="3005" w:type="dxa"/>
          </w:tcPr>
          <w:p w14:paraId="6151067E" w14:textId="77777777" w:rsidR="00E4652E" w:rsidRDefault="00E4652E">
            <w:r>
              <w:t>Paediatric Surgeon</w:t>
            </w:r>
          </w:p>
          <w:p w14:paraId="2EE5B1CE" w14:textId="77777777" w:rsidR="00E4652E" w:rsidRDefault="00E4652E">
            <w:r>
              <w:t>2 Riccarton Avenue, Christchurch Central City</w:t>
            </w:r>
          </w:p>
          <w:p w14:paraId="4998C599" w14:textId="77777777" w:rsidR="00E4652E" w:rsidRDefault="00E4652E">
            <w:r>
              <w:t>Christchurch</w:t>
            </w:r>
          </w:p>
          <w:p w14:paraId="6C38EF9C" w14:textId="16C52D88" w:rsidR="00E4652E" w:rsidRDefault="00E4652E">
            <w:r>
              <w:t>8011</w:t>
            </w:r>
          </w:p>
        </w:tc>
        <w:tc>
          <w:tcPr>
            <w:tcW w:w="3199" w:type="dxa"/>
          </w:tcPr>
          <w:p w14:paraId="4CF15604" w14:textId="77777777" w:rsidR="00150D0E" w:rsidRDefault="00150D0E"/>
          <w:p w14:paraId="293283CB" w14:textId="77777777" w:rsidR="00150D0E" w:rsidRDefault="00150D0E"/>
          <w:p w14:paraId="5F4D367F" w14:textId="21756391" w:rsidR="00E4652E" w:rsidRDefault="003E72B9">
            <w:hyperlink r:id="rId9" w:history="1">
              <w:r w:rsidR="00E4652E" w:rsidRPr="00150D0E">
                <w:rPr>
                  <w:rStyle w:val="Hyperlink"/>
                </w:rPr>
                <w:t>brodie.elliott@gmail.com</w:t>
              </w:r>
            </w:hyperlink>
          </w:p>
        </w:tc>
      </w:tr>
      <w:tr w:rsidR="00BB7A2B" w14:paraId="2CFE43B8" w14:textId="77777777" w:rsidTr="1A184B96">
        <w:tc>
          <w:tcPr>
            <w:tcW w:w="3005" w:type="dxa"/>
          </w:tcPr>
          <w:p w14:paraId="67BEAB95" w14:textId="73CE6E79" w:rsidR="00BB7A2B" w:rsidRDefault="00216550">
            <w:r>
              <w:t>Mr Andre Modest</w:t>
            </w:r>
            <w:r w:rsidR="0028312E">
              <w:t>o</w:t>
            </w:r>
          </w:p>
        </w:tc>
        <w:tc>
          <w:tcPr>
            <w:tcW w:w="3005" w:type="dxa"/>
          </w:tcPr>
          <w:p w14:paraId="18C951D7" w14:textId="5F0EA4CE" w:rsidR="00BB7A2B" w:rsidRDefault="00A52152">
            <w:r>
              <w:t>PhD</w:t>
            </w:r>
            <w:r w:rsidR="00216550">
              <w:t xml:space="preserve"> candidate</w:t>
            </w:r>
          </w:p>
          <w:p w14:paraId="7E556F5B" w14:textId="51711F5A" w:rsidR="00BB7A2B" w:rsidRDefault="001F5644">
            <w:r>
              <w:t>Medical &amp; Health Sciences</w:t>
            </w:r>
          </w:p>
          <w:p w14:paraId="2E9DF67D" w14:textId="7BCCA239" w:rsidR="00BB7A2B" w:rsidRDefault="001F5644">
            <w:r>
              <w:t>University of Auckland</w:t>
            </w:r>
          </w:p>
          <w:p w14:paraId="7D05D9C5" w14:textId="77777777" w:rsidR="00BB7A2B" w:rsidRDefault="00216550">
            <w:r>
              <w:t>Park Road, Grafton</w:t>
            </w:r>
          </w:p>
          <w:p w14:paraId="64805BE4" w14:textId="77777777" w:rsidR="00BB7A2B" w:rsidRDefault="00216550">
            <w:r>
              <w:t xml:space="preserve">Auckland </w:t>
            </w:r>
          </w:p>
        </w:tc>
        <w:tc>
          <w:tcPr>
            <w:tcW w:w="3199" w:type="dxa"/>
          </w:tcPr>
          <w:p w14:paraId="2B522773" w14:textId="31091C88" w:rsidR="00BB7A2B" w:rsidRDefault="008523D6">
            <w:r>
              <w:t>+64 22 359 6027</w:t>
            </w:r>
          </w:p>
          <w:p w14:paraId="45985D94" w14:textId="77777777" w:rsidR="0079511A" w:rsidRDefault="0079511A"/>
          <w:p w14:paraId="09C036A8" w14:textId="283C82FF" w:rsidR="00BB7A2B" w:rsidRDefault="003E72B9">
            <w:hyperlink r:id="rId10" w:history="1">
              <w:r w:rsidR="00876C02" w:rsidRPr="00F77D4A">
                <w:rPr>
                  <w:rStyle w:val="Hyperlink"/>
                </w:rPr>
                <w:t>andre.modesto@auckland.ac.nz</w:t>
              </w:r>
            </w:hyperlink>
            <w:r w:rsidR="00216550">
              <w:t xml:space="preserve"> </w:t>
            </w:r>
          </w:p>
          <w:p w14:paraId="2DFD7046" w14:textId="77777777" w:rsidR="00BB7A2B" w:rsidRDefault="00BB7A2B"/>
          <w:p w14:paraId="6EC8EB78" w14:textId="77777777" w:rsidR="00BB7A2B" w:rsidRDefault="00BB7A2B"/>
        </w:tc>
      </w:tr>
      <w:tr w:rsidR="0028312E" w14:paraId="1329D23D" w14:textId="77777777" w:rsidTr="1A184B96">
        <w:tc>
          <w:tcPr>
            <w:tcW w:w="3005" w:type="dxa"/>
          </w:tcPr>
          <w:p w14:paraId="364832BC" w14:textId="0860F4C8" w:rsidR="0028312E" w:rsidRDefault="00492280">
            <w:r>
              <w:t>Ms Taylor Harrington</w:t>
            </w:r>
          </w:p>
        </w:tc>
        <w:tc>
          <w:tcPr>
            <w:tcW w:w="3005" w:type="dxa"/>
          </w:tcPr>
          <w:p w14:paraId="4DF0417B" w14:textId="77777777" w:rsidR="00492280" w:rsidRPr="00A52152" w:rsidRDefault="00492280" w:rsidP="00492280">
            <w:pPr>
              <w:pStyle w:val="CommentText"/>
              <w:rPr>
                <w:sz w:val="22"/>
                <w:szCs w:val="22"/>
              </w:rPr>
            </w:pPr>
            <w:r w:rsidRPr="00A52152">
              <w:rPr>
                <w:sz w:val="22"/>
                <w:szCs w:val="22"/>
              </w:rPr>
              <w:t>Nurse Specialist</w:t>
            </w:r>
          </w:p>
          <w:p w14:paraId="150CF111" w14:textId="67D6360B" w:rsidR="00492280" w:rsidRPr="00A52152" w:rsidRDefault="00492280" w:rsidP="00492280">
            <w:pPr>
              <w:pStyle w:val="CommentText"/>
              <w:rPr>
                <w:sz w:val="22"/>
                <w:szCs w:val="22"/>
              </w:rPr>
            </w:pPr>
            <w:r w:rsidRPr="00A52152">
              <w:rPr>
                <w:sz w:val="22"/>
                <w:szCs w:val="22"/>
              </w:rPr>
              <w:t>NICU</w:t>
            </w:r>
          </w:p>
          <w:p w14:paraId="1FE44267" w14:textId="6538EC51" w:rsidR="00492280" w:rsidRPr="00A52152" w:rsidRDefault="00492280" w:rsidP="00492280">
            <w:pPr>
              <w:pStyle w:val="CommentText"/>
              <w:rPr>
                <w:sz w:val="22"/>
                <w:szCs w:val="22"/>
              </w:rPr>
            </w:pPr>
            <w:r w:rsidRPr="00A52152">
              <w:rPr>
                <w:sz w:val="22"/>
                <w:szCs w:val="22"/>
              </w:rPr>
              <w:t>Park Road, Grafton</w:t>
            </w:r>
          </w:p>
          <w:p w14:paraId="0ACF3922" w14:textId="7A344B7A" w:rsidR="0028312E" w:rsidRDefault="00492280" w:rsidP="00A52152">
            <w:pPr>
              <w:pStyle w:val="CommentText"/>
            </w:pPr>
            <w:r w:rsidRPr="00492280">
              <w:rPr>
                <w:sz w:val="22"/>
                <w:szCs w:val="22"/>
              </w:rPr>
              <w:t>Auckland</w:t>
            </w:r>
          </w:p>
        </w:tc>
        <w:tc>
          <w:tcPr>
            <w:tcW w:w="3199" w:type="dxa"/>
          </w:tcPr>
          <w:p w14:paraId="00B629ED" w14:textId="77777777" w:rsidR="00492280" w:rsidRDefault="00492280" w:rsidP="00492280">
            <w:pPr>
              <w:pStyle w:val="CommentText"/>
            </w:pPr>
          </w:p>
          <w:p w14:paraId="15BE6440" w14:textId="4AF123E4" w:rsidR="00492280" w:rsidRPr="00A52152" w:rsidRDefault="003E72B9" w:rsidP="00492280">
            <w:pPr>
              <w:pStyle w:val="CommentText"/>
              <w:rPr>
                <w:sz w:val="22"/>
                <w:szCs w:val="22"/>
              </w:rPr>
            </w:pPr>
            <w:hyperlink r:id="rId11" w:history="1">
              <w:r w:rsidR="00492280" w:rsidRPr="00A52152">
                <w:rPr>
                  <w:rStyle w:val="Hyperlink"/>
                  <w:sz w:val="22"/>
                  <w:szCs w:val="22"/>
                </w:rPr>
                <w:t>TaylorHa@adhb.govt.nz</w:t>
              </w:r>
            </w:hyperlink>
            <w:r w:rsidR="00492280" w:rsidRPr="00A52152">
              <w:rPr>
                <w:sz w:val="22"/>
                <w:szCs w:val="22"/>
              </w:rPr>
              <w:t xml:space="preserve"> </w:t>
            </w:r>
          </w:p>
          <w:p w14:paraId="4ACF70DE" w14:textId="77777777" w:rsidR="0028312E" w:rsidRDefault="0028312E"/>
        </w:tc>
      </w:tr>
      <w:tr w:rsidR="00BB7A2B" w14:paraId="4241CAD0" w14:textId="77777777" w:rsidTr="1A184B96">
        <w:tc>
          <w:tcPr>
            <w:tcW w:w="3005" w:type="dxa"/>
          </w:tcPr>
          <w:p w14:paraId="3178BDB1" w14:textId="77777777" w:rsidR="00BB7A2B" w:rsidRDefault="00216550">
            <w:r>
              <w:t>Mr Rob Davidson</w:t>
            </w:r>
          </w:p>
        </w:tc>
        <w:tc>
          <w:tcPr>
            <w:tcW w:w="3005" w:type="dxa"/>
          </w:tcPr>
          <w:p w14:paraId="0011EC99" w14:textId="77777777" w:rsidR="00BB7A2B" w:rsidRDefault="00216550">
            <w:r>
              <w:t>Mechanical Engineer</w:t>
            </w:r>
          </w:p>
          <w:p w14:paraId="4AAE4D06" w14:textId="77777777" w:rsidR="00BB7A2B" w:rsidRDefault="00BB7A2B"/>
          <w:p w14:paraId="1BCDB5CD" w14:textId="77777777" w:rsidR="00BB7A2B" w:rsidRDefault="00216550">
            <w:r>
              <w:t>c/-Auckland UniServices</w:t>
            </w:r>
          </w:p>
        </w:tc>
        <w:tc>
          <w:tcPr>
            <w:tcW w:w="3199" w:type="dxa"/>
          </w:tcPr>
          <w:p w14:paraId="3DC439B0" w14:textId="77777777" w:rsidR="00BB7A2B" w:rsidRDefault="00216550">
            <w:r>
              <w:t>+64 21 082 30836</w:t>
            </w:r>
          </w:p>
          <w:p w14:paraId="2BE5E1F7" w14:textId="77777777" w:rsidR="00BB7A2B" w:rsidRDefault="00BB7A2B"/>
          <w:p w14:paraId="2D1A9015" w14:textId="77777777" w:rsidR="00BB7A2B" w:rsidRDefault="003E72B9">
            <w:hyperlink r:id="rId12">
              <w:r w:rsidR="00216550">
                <w:rPr>
                  <w:color w:val="0563C1"/>
                  <w:u w:val="single"/>
                </w:rPr>
                <w:t>davidsonrb@gmail.com</w:t>
              </w:r>
            </w:hyperlink>
          </w:p>
          <w:p w14:paraId="6F1636D0" w14:textId="77777777" w:rsidR="00BB7A2B" w:rsidRDefault="00BB7A2B"/>
        </w:tc>
      </w:tr>
      <w:tr w:rsidR="00492280" w14:paraId="2EDD89DC" w14:textId="77777777" w:rsidTr="1A184B96">
        <w:tc>
          <w:tcPr>
            <w:tcW w:w="3005" w:type="dxa"/>
          </w:tcPr>
          <w:p w14:paraId="71899F30" w14:textId="3C1E4E74" w:rsidR="00492280" w:rsidRDefault="00492280">
            <w:r>
              <w:t>Ms Kaitlyn Chu</w:t>
            </w:r>
          </w:p>
        </w:tc>
        <w:tc>
          <w:tcPr>
            <w:tcW w:w="3005" w:type="dxa"/>
          </w:tcPr>
          <w:p w14:paraId="1B93456F" w14:textId="77777777" w:rsidR="00492280" w:rsidRDefault="00492280">
            <w:r>
              <w:t>Research and Development Engineer</w:t>
            </w:r>
          </w:p>
          <w:p w14:paraId="6D783801" w14:textId="77777777" w:rsidR="00492280" w:rsidRDefault="00492280">
            <w:r>
              <w:t>The Insides Company</w:t>
            </w:r>
          </w:p>
          <w:p w14:paraId="161A7B6A" w14:textId="77777777" w:rsidR="00492280" w:rsidRDefault="00492280">
            <w:r>
              <w:t>Parnell Road, Parnell</w:t>
            </w:r>
          </w:p>
          <w:p w14:paraId="47ACF9E2" w14:textId="4DBB8036" w:rsidR="00492280" w:rsidRDefault="00492280">
            <w:r>
              <w:t>Auckland</w:t>
            </w:r>
          </w:p>
        </w:tc>
        <w:tc>
          <w:tcPr>
            <w:tcW w:w="3199" w:type="dxa"/>
          </w:tcPr>
          <w:p w14:paraId="12DF616A" w14:textId="4C5B528E" w:rsidR="00492280" w:rsidRPr="00A52152" w:rsidRDefault="00492280">
            <w:pPr>
              <w:rPr>
                <w:rFonts w:asciiTheme="majorHAnsi" w:hAnsiTheme="majorHAnsi" w:cstheme="majorHAnsi"/>
                <w:color w:val="333333"/>
                <w:shd w:val="clear" w:color="auto" w:fill="FFFFFF"/>
              </w:rPr>
            </w:pPr>
            <w:r w:rsidRPr="00A52152">
              <w:rPr>
                <w:rFonts w:asciiTheme="majorHAnsi" w:hAnsiTheme="majorHAnsi" w:cstheme="majorHAnsi"/>
                <w:color w:val="333333"/>
                <w:shd w:val="clear" w:color="auto" w:fill="FFFFFF"/>
              </w:rPr>
              <w:t>+64 9</w:t>
            </w:r>
            <w:r w:rsidR="0079511A" w:rsidRPr="00A52152">
              <w:rPr>
                <w:rFonts w:asciiTheme="majorHAnsi" w:hAnsiTheme="majorHAnsi" w:cstheme="majorHAnsi"/>
                <w:color w:val="333333"/>
                <w:shd w:val="clear" w:color="auto" w:fill="FFFFFF"/>
              </w:rPr>
              <w:t xml:space="preserve"> </w:t>
            </w:r>
            <w:r w:rsidRPr="00A52152">
              <w:rPr>
                <w:rFonts w:asciiTheme="majorHAnsi" w:hAnsiTheme="majorHAnsi" w:cstheme="majorHAnsi"/>
                <w:color w:val="333333"/>
                <w:shd w:val="clear" w:color="auto" w:fill="FFFFFF"/>
              </w:rPr>
              <w:t>887 9309</w:t>
            </w:r>
          </w:p>
          <w:p w14:paraId="33D815F0" w14:textId="77777777" w:rsidR="00492280" w:rsidRDefault="00492280"/>
          <w:p w14:paraId="51FB4045" w14:textId="44CD63FF" w:rsidR="00492280" w:rsidRDefault="003E72B9">
            <w:hyperlink r:id="rId13" w:history="1">
              <w:r w:rsidR="00492280" w:rsidRPr="00826948">
                <w:rPr>
                  <w:rStyle w:val="Hyperlink"/>
                </w:rPr>
                <w:t>Kaitlyn@thesidescompany.com</w:t>
              </w:r>
            </w:hyperlink>
          </w:p>
        </w:tc>
      </w:tr>
    </w:tbl>
    <w:p w14:paraId="710E7423" w14:textId="77777777" w:rsidR="00BB7A2B" w:rsidRDefault="00BB7A2B">
      <w:pPr>
        <w:rPr>
          <w:b/>
        </w:rPr>
      </w:pPr>
    </w:p>
    <w:p w14:paraId="528A561B" w14:textId="77777777" w:rsidR="00BB7A2B" w:rsidRDefault="00216550">
      <w:pPr>
        <w:rPr>
          <w:b/>
        </w:rPr>
      </w:pPr>
      <w:r>
        <w:rPr>
          <w:b/>
        </w:rPr>
        <w:t>Protocol History:</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B7A2B" w14:paraId="67E02F84" w14:textId="77777777">
        <w:tc>
          <w:tcPr>
            <w:tcW w:w="4508" w:type="dxa"/>
            <w:shd w:val="clear" w:color="auto" w:fill="D9D9D9"/>
          </w:tcPr>
          <w:p w14:paraId="20161929" w14:textId="77777777" w:rsidR="00BB7A2B" w:rsidRDefault="00216550">
            <w:pPr>
              <w:rPr>
                <w:b/>
              </w:rPr>
            </w:pPr>
            <w:r>
              <w:rPr>
                <w:b/>
              </w:rPr>
              <w:t>Version:</w:t>
            </w:r>
          </w:p>
        </w:tc>
        <w:tc>
          <w:tcPr>
            <w:tcW w:w="4508" w:type="dxa"/>
            <w:shd w:val="clear" w:color="auto" w:fill="D9D9D9"/>
          </w:tcPr>
          <w:p w14:paraId="0ACFFB16" w14:textId="77777777" w:rsidR="00BB7A2B" w:rsidRDefault="00216550">
            <w:pPr>
              <w:rPr>
                <w:b/>
              </w:rPr>
            </w:pPr>
            <w:r>
              <w:rPr>
                <w:b/>
              </w:rPr>
              <w:t>Reason for Amendment:</w:t>
            </w:r>
          </w:p>
        </w:tc>
      </w:tr>
      <w:tr w:rsidR="00BB7A2B" w14:paraId="1CF046C9" w14:textId="77777777">
        <w:tc>
          <w:tcPr>
            <w:tcW w:w="4508" w:type="dxa"/>
          </w:tcPr>
          <w:p w14:paraId="1E8BC175" w14:textId="53C4AF6F" w:rsidR="00BB7A2B" w:rsidRDefault="00216550">
            <w:pPr>
              <w:rPr>
                <w:b/>
              </w:rPr>
            </w:pPr>
            <w:r>
              <w:rPr>
                <w:b/>
              </w:rPr>
              <w:t>V0.</w:t>
            </w:r>
            <w:r w:rsidR="000167DA">
              <w:rPr>
                <w:b/>
              </w:rPr>
              <w:t>21</w:t>
            </w:r>
          </w:p>
        </w:tc>
        <w:tc>
          <w:tcPr>
            <w:tcW w:w="4508" w:type="dxa"/>
          </w:tcPr>
          <w:p w14:paraId="72896B8F" w14:textId="0A459D68" w:rsidR="00BB7A2B" w:rsidRDefault="000167DA">
            <w:r>
              <w:t>P</w:t>
            </w:r>
            <w:r w:rsidR="00216550">
              <w:t>rotocol</w:t>
            </w:r>
            <w:r>
              <w:t xml:space="preserve"> submitted to the ethics committee</w:t>
            </w:r>
          </w:p>
        </w:tc>
      </w:tr>
      <w:tr w:rsidR="00CD7612" w14:paraId="19E8470E" w14:textId="77777777">
        <w:tc>
          <w:tcPr>
            <w:tcW w:w="4508" w:type="dxa"/>
          </w:tcPr>
          <w:p w14:paraId="604D1B03" w14:textId="24208248" w:rsidR="00CD7612" w:rsidRDefault="00325C31">
            <w:pPr>
              <w:rPr>
                <w:b/>
              </w:rPr>
            </w:pPr>
            <w:r>
              <w:rPr>
                <w:b/>
              </w:rPr>
              <w:t>V</w:t>
            </w:r>
            <w:r w:rsidR="003B497F">
              <w:rPr>
                <w:b/>
              </w:rPr>
              <w:t>1.0</w:t>
            </w:r>
          </w:p>
        </w:tc>
        <w:tc>
          <w:tcPr>
            <w:tcW w:w="4508" w:type="dxa"/>
          </w:tcPr>
          <w:p w14:paraId="091230D6" w14:textId="49296497" w:rsidR="00CD7612" w:rsidRDefault="00090916">
            <w:r>
              <w:t>Re-submission of protocol after changes discussed in meeting with ethics committee on 26/01/21</w:t>
            </w:r>
          </w:p>
        </w:tc>
      </w:tr>
      <w:tr w:rsidR="003E72B9" w14:paraId="4CE76C5D" w14:textId="77777777">
        <w:tc>
          <w:tcPr>
            <w:tcW w:w="4508" w:type="dxa"/>
          </w:tcPr>
          <w:p w14:paraId="6A78ED38" w14:textId="403C4755" w:rsidR="003E72B9" w:rsidRDefault="003E72B9">
            <w:pPr>
              <w:rPr>
                <w:b/>
              </w:rPr>
            </w:pPr>
            <w:r>
              <w:rPr>
                <w:b/>
              </w:rPr>
              <w:lastRenderedPageBreak/>
              <w:t>V2.0</w:t>
            </w:r>
          </w:p>
        </w:tc>
        <w:tc>
          <w:tcPr>
            <w:tcW w:w="4508" w:type="dxa"/>
          </w:tcPr>
          <w:p w14:paraId="3C315DC7" w14:textId="74040CC7" w:rsidR="003E72B9" w:rsidRDefault="003E72B9">
            <w:r>
              <w:t>Re-submission of protocol after changes discussed in meeting with ethics committee on 06/04/21</w:t>
            </w:r>
          </w:p>
        </w:tc>
      </w:tr>
    </w:tbl>
    <w:p w14:paraId="02F3A6AB" w14:textId="77777777" w:rsidR="003E72B9" w:rsidRDefault="003E72B9">
      <w:pPr>
        <w:rPr>
          <w:b/>
          <w:sz w:val="28"/>
          <w:szCs w:val="28"/>
          <w:u w:val="single"/>
        </w:rPr>
      </w:pPr>
    </w:p>
    <w:p w14:paraId="2D348288" w14:textId="6504C482" w:rsidR="00BB7A2B" w:rsidRDefault="00216550">
      <w:pPr>
        <w:rPr>
          <w:b/>
          <w:sz w:val="28"/>
          <w:szCs w:val="28"/>
          <w:u w:val="single"/>
        </w:rPr>
      </w:pPr>
      <w:r>
        <w:rPr>
          <w:b/>
          <w:sz w:val="28"/>
          <w:szCs w:val="28"/>
          <w:u w:val="single"/>
        </w:rPr>
        <w:t>Background</w:t>
      </w:r>
    </w:p>
    <w:p w14:paraId="528067E8" w14:textId="35F025B2" w:rsidR="00BB7A2B" w:rsidRPr="003E3836" w:rsidRDefault="00216550">
      <w:pPr>
        <w:spacing w:after="240"/>
        <w:jc w:val="both"/>
        <w:rPr>
          <w:rFonts w:asciiTheme="majorHAnsi" w:eastAsia="Georgia" w:hAnsiTheme="majorHAnsi" w:cstheme="majorHAnsi"/>
          <w:color w:val="2E2E2E"/>
        </w:rPr>
      </w:pPr>
      <w:bookmarkStart w:id="1" w:name="_Hlk49623392"/>
      <w:r w:rsidRPr="003E3836">
        <w:rPr>
          <w:rFonts w:asciiTheme="majorHAnsi" w:eastAsia="Georgia" w:hAnsiTheme="majorHAnsi" w:cstheme="majorHAnsi"/>
          <w:color w:val="2E2E2E"/>
        </w:rPr>
        <w:t xml:space="preserve">Intestinal failure in neonatal and </w:t>
      </w:r>
      <w:r w:rsidR="003F53DE" w:rsidRPr="003E3836">
        <w:rPr>
          <w:rFonts w:asciiTheme="majorHAnsi" w:eastAsia="Georgia" w:hAnsiTheme="majorHAnsi" w:cstheme="majorHAnsi"/>
          <w:color w:val="2E2E2E"/>
        </w:rPr>
        <w:t>paediatric</w:t>
      </w:r>
      <w:r w:rsidRPr="003E3836">
        <w:rPr>
          <w:rFonts w:asciiTheme="majorHAnsi" w:eastAsia="Georgia" w:hAnsiTheme="majorHAnsi" w:cstheme="majorHAnsi"/>
          <w:color w:val="2E2E2E"/>
        </w:rPr>
        <w:t xml:space="preserve"> populations is an infrequent but burdensome condition associated with significant morbidity and mortality. </w:t>
      </w:r>
      <w:r w:rsidR="00C949D8">
        <w:rPr>
          <w:rFonts w:asciiTheme="majorHAnsi" w:eastAsia="Georgia" w:hAnsiTheme="majorHAnsi" w:cstheme="majorHAnsi"/>
          <w:color w:val="2E2E2E"/>
        </w:rPr>
        <w:t>Intestinal failure</w:t>
      </w:r>
      <w:r w:rsidRPr="003E3836">
        <w:rPr>
          <w:rFonts w:asciiTheme="majorHAnsi" w:eastAsia="Georgia" w:hAnsiTheme="majorHAnsi" w:cstheme="majorHAnsi"/>
          <w:color w:val="2E2E2E"/>
        </w:rPr>
        <w:t xml:space="preserve"> is defined as an impairment in gut </w:t>
      </w:r>
      <w:r w:rsidRPr="00CB6F4E">
        <w:rPr>
          <w:rFonts w:asciiTheme="majorHAnsi" w:eastAsia="Georgia" w:hAnsiTheme="majorHAnsi" w:cstheme="majorHAnsi"/>
        </w:rPr>
        <w:t xml:space="preserve">function, creating an inability to absorb macronutrients, water, electrolytes, or a combination [1,2]. Short bowel syndrome secondary to massive intestinal resection is the most common cause of </w:t>
      </w:r>
      <w:r w:rsidR="003F53DE" w:rsidRPr="00CB6F4E">
        <w:rPr>
          <w:rFonts w:asciiTheme="majorHAnsi" w:eastAsia="Georgia" w:hAnsiTheme="majorHAnsi" w:cstheme="majorHAnsi"/>
        </w:rPr>
        <w:t>paediatric</w:t>
      </w:r>
      <w:r w:rsidRPr="00CB6F4E">
        <w:rPr>
          <w:rFonts w:asciiTheme="majorHAnsi" w:eastAsia="Georgia" w:hAnsiTheme="majorHAnsi" w:cstheme="majorHAnsi"/>
        </w:rPr>
        <w:t xml:space="preserve"> </w:t>
      </w:r>
      <w:r w:rsidR="00930396" w:rsidRPr="00CB6F4E">
        <w:rPr>
          <w:rFonts w:asciiTheme="majorHAnsi" w:eastAsia="Georgia" w:hAnsiTheme="majorHAnsi" w:cstheme="majorHAnsi"/>
        </w:rPr>
        <w:t>intestinal failure</w:t>
      </w:r>
      <w:r w:rsidRPr="00CB6F4E">
        <w:rPr>
          <w:rFonts w:asciiTheme="majorHAnsi" w:eastAsia="Georgia" w:hAnsiTheme="majorHAnsi" w:cstheme="majorHAnsi"/>
        </w:rPr>
        <w:t>. Up to 50% of cases are due to necroti</w:t>
      </w:r>
      <w:r w:rsidR="00EF5B61" w:rsidRPr="00CB6F4E">
        <w:rPr>
          <w:rFonts w:asciiTheme="majorHAnsi" w:eastAsia="Georgia" w:hAnsiTheme="majorHAnsi" w:cstheme="majorHAnsi"/>
        </w:rPr>
        <w:t>s</w:t>
      </w:r>
      <w:r w:rsidRPr="00CB6F4E">
        <w:rPr>
          <w:rFonts w:asciiTheme="majorHAnsi" w:eastAsia="Georgia" w:hAnsiTheme="majorHAnsi" w:cstheme="majorHAnsi"/>
        </w:rPr>
        <w:t>ing enterocolitis, especially in premature neonates [3</w:t>
      </w:r>
      <w:r w:rsidR="00392E5C">
        <w:rPr>
          <w:rFonts w:asciiTheme="majorHAnsi" w:eastAsia="Georgia" w:hAnsiTheme="majorHAnsi" w:cstheme="majorHAnsi"/>
        </w:rPr>
        <w:t>-</w:t>
      </w:r>
      <w:r w:rsidRPr="00CB6F4E">
        <w:rPr>
          <w:rFonts w:asciiTheme="majorHAnsi" w:eastAsia="Georgia" w:hAnsiTheme="majorHAnsi" w:cstheme="majorHAnsi"/>
        </w:rPr>
        <w:t xml:space="preserve">6]. </w:t>
      </w:r>
      <w:r w:rsidRPr="003E3836">
        <w:rPr>
          <w:rFonts w:asciiTheme="majorHAnsi" w:eastAsia="Georgia" w:hAnsiTheme="majorHAnsi" w:cstheme="majorHAnsi"/>
          <w:color w:val="2E2E2E"/>
        </w:rPr>
        <w:t xml:space="preserve">A small bowel double enterostomy is often performed in these cases at the time of resection, </w:t>
      </w:r>
      <w:r w:rsidR="00176606">
        <w:rPr>
          <w:rFonts w:asciiTheme="majorHAnsi" w:eastAsia="Georgia" w:hAnsiTheme="majorHAnsi" w:cstheme="majorHAnsi"/>
          <w:color w:val="2E2E2E"/>
        </w:rPr>
        <w:t>contributing</w:t>
      </w:r>
      <w:r w:rsidRPr="003E3836">
        <w:rPr>
          <w:rFonts w:asciiTheme="majorHAnsi" w:eastAsia="Georgia" w:hAnsiTheme="majorHAnsi" w:cstheme="majorHAnsi"/>
          <w:color w:val="2E2E2E"/>
        </w:rPr>
        <w:t xml:space="preserve"> to an insufficient functional gut </w:t>
      </w:r>
      <w:r w:rsidRPr="00392E5C">
        <w:rPr>
          <w:rFonts w:asciiTheme="majorHAnsi" w:eastAsia="Georgia" w:hAnsiTheme="majorHAnsi" w:cstheme="majorHAnsi"/>
        </w:rPr>
        <w:t>length [3].</w:t>
      </w:r>
    </w:p>
    <w:bookmarkEnd w:id="1"/>
    <w:p w14:paraId="231F1A95" w14:textId="7EA113B8" w:rsidR="00BB7A2B" w:rsidRPr="003E3836" w:rsidRDefault="00216550">
      <w:pPr>
        <w:spacing w:after="240"/>
        <w:jc w:val="both"/>
        <w:rPr>
          <w:rFonts w:asciiTheme="majorHAnsi" w:eastAsia="Georgia" w:hAnsiTheme="majorHAnsi" w:cstheme="majorHAnsi"/>
          <w:color w:val="2E2E2E"/>
        </w:rPr>
      </w:pPr>
      <w:r w:rsidRPr="003E3836">
        <w:rPr>
          <w:rFonts w:asciiTheme="majorHAnsi" w:eastAsia="Georgia" w:hAnsiTheme="majorHAnsi" w:cstheme="majorHAnsi"/>
          <w:color w:val="2E2E2E"/>
        </w:rPr>
        <w:t xml:space="preserve">Small bowel </w:t>
      </w:r>
      <w:r w:rsidR="004E3516">
        <w:rPr>
          <w:rFonts w:asciiTheme="majorHAnsi" w:eastAsia="Georgia" w:hAnsiTheme="majorHAnsi" w:cstheme="majorHAnsi"/>
          <w:color w:val="2E2E2E"/>
        </w:rPr>
        <w:t>double enterostomies</w:t>
      </w:r>
      <w:r w:rsidRPr="003E3836">
        <w:rPr>
          <w:rFonts w:asciiTheme="majorHAnsi" w:eastAsia="Georgia" w:hAnsiTheme="majorHAnsi" w:cstheme="majorHAnsi"/>
          <w:color w:val="2E2E2E"/>
        </w:rPr>
        <w:t xml:space="preserve"> </w:t>
      </w:r>
      <w:bookmarkStart w:id="2" w:name="_Hlk49624014"/>
      <w:r w:rsidRPr="003E3836">
        <w:rPr>
          <w:rFonts w:asciiTheme="majorHAnsi" w:eastAsia="Georgia" w:hAnsiTheme="majorHAnsi" w:cstheme="majorHAnsi"/>
          <w:color w:val="2E2E2E"/>
        </w:rPr>
        <w:t xml:space="preserve">often lead not only to </w:t>
      </w:r>
      <w:r w:rsidR="007A0346">
        <w:rPr>
          <w:rFonts w:asciiTheme="majorHAnsi" w:eastAsia="Georgia" w:hAnsiTheme="majorHAnsi" w:cstheme="majorHAnsi"/>
          <w:color w:val="2E2E2E"/>
        </w:rPr>
        <w:t>intestinal failure</w:t>
      </w:r>
      <w:r w:rsidRPr="003E3836">
        <w:rPr>
          <w:rFonts w:asciiTheme="majorHAnsi" w:eastAsia="Georgia" w:hAnsiTheme="majorHAnsi" w:cstheme="majorHAnsi"/>
          <w:color w:val="2E2E2E"/>
        </w:rPr>
        <w:t xml:space="preserve"> but also high-output losses. </w:t>
      </w:r>
      <w:r w:rsidR="00B14CB8">
        <w:rPr>
          <w:rFonts w:asciiTheme="majorHAnsi" w:eastAsia="Georgia" w:hAnsiTheme="majorHAnsi" w:cstheme="majorHAnsi"/>
          <w:color w:val="2E2E2E"/>
        </w:rPr>
        <w:t>S</w:t>
      </w:r>
      <w:r w:rsidRPr="003E3836">
        <w:rPr>
          <w:rFonts w:asciiTheme="majorHAnsi" w:eastAsia="Georgia" w:hAnsiTheme="majorHAnsi" w:cstheme="majorHAnsi"/>
          <w:color w:val="2E2E2E"/>
        </w:rPr>
        <w:t>upport</w:t>
      </w:r>
      <w:r w:rsidR="00E90CAB">
        <w:rPr>
          <w:rFonts w:asciiTheme="majorHAnsi" w:eastAsia="Georgia" w:hAnsiTheme="majorHAnsi" w:cstheme="majorHAnsi"/>
          <w:color w:val="2E2E2E"/>
        </w:rPr>
        <w:t>ive</w:t>
      </w:r>
      <w:r w:rsidRPr="003E3836">
        <w:rPr>
          <w:rFonts w:asciiTheme="majorHAnsi" w:eastAsia="Georgia" w:hAnsiTheme="majorHAnsi" w:cstheme="majorHAnsi"/>
          <w:color w:val="2E2E2E"/>
        </w:rPr>
        <w:t xml:space="preserve"> therapy </w:t>
      </w:r>
      <w:r w:rsidR="00B14CB8">
        <w:rPr>
          <w:rFonts w:asciiTheme="majorHAnsi" w:eastAsia="Georgia" w:hAnsiTheme="majorHAnsi" w:cstheme="majorHAnsi"/>
          <w:color w:val="2E2E2E"/>
        </w:rPr>
        <w:t>has two main goals: The first is to r</w:t>
      </w:r>
      <w:r w:rsidRPr="003E3836">
        <w:rPr>
          <w:rFonts w:asciiTheme="majorHAnsi" w:eastAsia="Georgia" w:hAnsiTheme="majorHAnsi" w:cstheme="majorHAnsi"/>
          <w:color w:val="2E2E2E"/>
        </w:rPr>
        <w:t>eplac</w:t>
      </w:r>
      <w:r w:rsidR="00B14CB8">
        <w:rPr>
          <w:rFonts w:asciiTheme="majorHAnsi" w:eastAsia="Georgia" w:hAnsiTheme="majorHAnsi" w:cstheme="majorHAnsi"/>
          <w:color w:val="2E2E2E"/>
        </w:rPr>
        <w:t>e</w:t>
      </w:r>
      <w:r w:rsidRPr="003E3836">
        <w:rPr>
          <w:rFonts w:asciiTheme="majorHAnsi" w:eastAsia="Georgia" w:hAnsiTheme="majorHAnsi" w:cstheme="majorHAnsi"/>
          <w:color w:val="2E2E2E"/>
        </w:rPr>
        <w:t xml:space="preserve"> electrolytes and </w:t>
      </w:r>
      <w:r w:rsidR="00B14CB8">
        <w:rPr>
          <w:rFonts w:asciiTheme="majorHAnsi" w:eastAsia="Georgia" w:hAnsiTheme="majorHAnsi" w:cstheme="majorHAnsi"/>
          <w:color w:val="2E2E2E"/>
        </w:rPr>
        <w:t>to minimise</w:t>
      </w:r>
      <w:r w:rsidR="00B14CB8" w:rsidRPr="003E3836">
        <w:rPr>
          <w:rFonts w:asciiTheme="majorHAnsi" w:eastAsia="Georgia" w:hAnsiTheme="majorHAnsi" w:cstheme="majorHAnsi"/>
          <w:color w:val="2E2E2E"/>
        </w:rPr>
        <w:t xml:space="preserve"> </w:t>
      </w:r>
      <w:r w:rsidR="00B14CB8">
        <w:rPr>
          <w:rFonts w:asciiTheme="majorHAnsi" w:eastAsia="Georgia" w:hAnsiTheme="majorHAnsi" w:cstheme="majorHAnsi"/>
          <w:color w:val="2E2E2E"/>
        </w:rPr>
        <w:t>stoma</w:t>
      </w:r>
      <w:r w:rsidR="00B14CB8" w:rsidRPr="003E3836">
        <w:rPr>
          <w:rFonts w:asciiTheme="majorHAnsi" w:eastAsia="Georgia" w:hAnsiTheme="majorHAnsi" w:cstheme="majorHAnsi"/>
          <w:color w:val="2E2E2E"/>
        </w:rPr>
        <w:t xml:space="preserve"> </w:t>
      </w:r>
      <w:r w:rsidRPr="003E3836">
        <w:rPr>
          <w:rFonts w:asciiTheme="majorHAnsi" w:eastAsia="Georgia" w:hAnsiTheme="majorHAnsi" w:cstheme="majorHAnsi"/>
          <w:color w:val="2E2E2E"/>
        </w:rPr>
        <w:t>output through restrictions in oral hypotonic fluids</w:t>
      </w:r>
      <w:r w:rsidR="00B14CB8">
        <w:rPr>
          <w:rFonts w:asciiTheme="majorHAnsi" w:eastAsia="Georgia" w:hAnsiTheme="majorHAnsi" w:cstheme="majorHAnsi"/>
          <w:color w:val="2E2E2E"/>
        </w:rPr>
        <w:t>.</w:t>
      </w:r>
      <w:r w:rsidRPr="003E3836">
        <w:rPr>
          <w:rFonts w:asciiTheme="majorHAnsi" w:eastAsia="Georgia" w:hAnsiTheme="majorHAnsi" w:cstheme="majorHAnsi"/>
          <w:color w:val="2E2E2E"/>
        </w:rPr>
        <w:t xml:space="preserve"> </w:t>
      </w:r>
      <w:r w:rsidR="00B14CB8">
        <w:rPr>
          <w:rFonts w:asciiTheme="majorHAnsi" w:eastAsia="Georgia" w:hAnsiTheme="majorHAnsi" w:cstheme="majorHAnsi"/>
          <w:color w:val="2E2E2E"/>
        </w:rPr>
        <w:t>The second goal is to s</w:t>
      </w:r>
      <w:r w:rsidRPr="003E3836">
        <w:rPr>
          <w:rFonts w:asciiTheme="majorHAnsi" w:eastAsia="Georgia" w:hAnsiTheme="majorHAnsi" w:cstheme="majorHAnsi"/>
          <w:color w:val="2E2E2E"/>
        </w:rPr>
        <w:t xml:space="preserve">uppress </w:t>
      </w:r>
      <w:r w:rsidR="00B14CB8">
        <w:rPr>
          <w:rFonts w:asciiTheme="majorHAnsi" w:eastAsia="Georgia" w:hAnsiTheme="majorHAnsi" w:cstheme="majorHAnsi"/>
          <w:color w:val="2E2E2E"/>
        </w:rPr>
        <w:t>stoma</w:t>
      </w:r>
      <w:r w:rsidR="00B14CB8" w:rsidRPr="003E3836">
        <w:rPr>
          <w:rFonts w:asciiTheme="majorHAnsi" w:eastAsia="Georgia" w:hAnsiTheme="majorHAnsi" w:cstheme="majorHAnsi"/>
          <w:color w:val="2E2E2E"/>
        </w:rPr>
        <w:t xml:space="preserve"> </w:t>
      </w:r>
      <w:r w:rsidRPr="003E3836">
        <w:rPr>
          <w:rFonts w:asciiTheme="majorHAnsi" w:eastAsia="Georgia" w:hAnsiTheme="majorHAnsi" w:cstheme="majorHAnsi"/>
          <w:color w:val="2E2E2E"/>
        </w:rPr>
        <w:t xml:space="preserve">output </w:t>
      </w:r>
      <w:r w:rsidR="000A5F8D">
        <w:rPr>
          <w:rFonts w:asciiTheme="majorHAnsi" w:eastAsia="Georgia" w:hAnsiTheme="majorHAnsi" w:cstheme="majorHAnsi"/>
          <w:color w:val="2E2E2E"/>
        </w:rPr>
        <w:t>by using</w:t>
      </w:r>
      <w:r w:rsidRPr="003E3836">
        <w:rPr>
          <w:rFonts w:asciiTheme="majorHAnsi" w:eastAsia="Georgia" w:hAnsiTheme="majorHAnsi" w:cstheme="majorHAnsi"/>
          <w:color w:val="2E2E2E"/>
        </w:rPr>
        <w:t xml:space="preserve"> anti-secretory and anti-motility agents [</w:t>
      </w:r>
      <w:r w:rsidRPr="00392E5C">
        <w:rPr>
          <w:rFonts w:asciiTheme="majorHAnsi" w:eastAsia="Georgia" w:hAnsiTheme="majorHAnsi" w:cstheme="majorHAnsi"/>
        </w:rPr>
        <w:t>1,2,7</w:t>
      </w:r>
      <w:r w:rsidRPr="003E3836">
        <w:rPr>
          <w:rFonts w:asciiTheme="majorHAnsi" w:eastAsia="Georgia" w:hAnsiTheme="majorHAnsi" w:cstheme="majorHAnsi"/>
          <w:color w:val="2E2E2E"/>
        </w:rPr>
        <w:t xml:space="preserve">]. Due to the functional nutritional absorption impairment, parenteral nutrition </w:t>
      </w:r>
      <w:r w:rsidR="00E90CAB">
        <w:rPr>
          <w:rFonts w:asciiTheme="majorHAnsi" w:eastAsia="Georgia" w:hAnsiTheme="majorHAnsi" w:cstheme="majorHAnsi"/>
          <w:color w:val="2E2E2E"/>
        </w:rPr>
        <w:t>may be</w:t>
      </w:r>
      <w:r w:rsidRPr="003E3836">
        <w:rPr>
          <w:rFonts w:asciiTheme="majorHAnsi" w:eastAsia="Georgia" w:hAnsiTheme="majorHAnsi" w:cstheme="majorHAnsi"/>
          <w:color w:val="2E2E2E"/>
        </w:rPr>
        <w:t xml:space="preserve"> </w:t>
      </w:r>
      <w:r w:rsidR="00E90CAB">
        <w:rPr>
          <w:rFonts w:asciiTheme="majorHAnsi" w:eastAsia="Georgia" w:hAnsiTheme="majorHAnsi" w:cstheme="majorHAnsi"/>
          <w:color w:val="2E2E2E"/>
        </w:rPr>
        <w:t>required</w:t>
      </w:r>
      <w:r w:rsidR="004031CB">
        <w:rPr>
          <w:rFonts w:asciiTheme="majorHAnsi" w:eastAsia="Georgia" w:hAnsiTheme="majorHAnsi" w:cstheme="majorHAnsi"/>
          <w:color w:val="2E2E2E"/>
        </w:rPr>
        <w:t>;</w:t>
      </w:r>
      <w:r w:rsidRPr="003E3836">
        <w:rPr>
          <w:rFonts w:asciiTheme="majorHAnsi" w:eastAsia="Georgia" w:hAnsiTheme="majorHAnsi" w:cstheme="majorHAnsi"/>
          <w:color w:val="2E2E2E"/>
        </w:rPr>
        <w:t xml:space="preserve"> however</w:t>
      </w:r>
      <w:r w:rsidR="00551768">
        <w:rPr>
          <w:rFonts w:asciiTheme="majorHAnsi" w:eastAsia="Georgia" w:hAnsiTheme="majorHAnsi" w:cstheme="majorHAnsi"/>
          <w:color w:val="2E2E2E"/>
        </w:rPr>
        <w:t>,</w:t>
      </w:r>
      <w:r w:rsidRPr="003E3836">
        <w:rPr>
          <w:rFonts w:asciiTheme="majorHAnsi" w:eastAsia="Georgia" w:hAnsiTheme="majorHAnsi" w:cstheme="majorHAnsi"/>
          <w:color w:val="2E2E2E"/>
        </w:rPr>
        <w:t xml:space="preserve"> the modality is ass</w:t>
      </w:r>
      <w:r w:rsidR="00B14CB8">
        <w:rPr>
          <w:rFonts w:asciiTheme="majorHAnsi" w:eastAsia="Georgia" w:hAnsiTheme="majorHAnsi" w:cstheme="majorHAnsi"/>
          <w:color w:val="2E2E2E"/>
        </w:rPr>
        <w:t>o</w:t>
      </w:r>
      <w:r w:rsidRPr="003E3836">
        <w:rPr>
          <w:rFonts w:asciiTheme="majorHAnsi" w:eastAsia="Georgia" w:hAnsiTheme="majorHAnsi" w:cstheme="majorHAnsi"/>
          <w:color w:val="2E2E2E"/>
        </w:rPr>
        <w:t>ciated with increased risks</w:t>
      </w:r>
      <w:r w:rsidR="005074FD">
        <w:rPr>
          <w:rFonts w:asciiTheme="majorHAnsi" w:eastAsia="Georgia" w:hAnsiTheme="majorHAnsi" w:cstheme="majorHAnsi"/>
          <w:color w:val="2E2E2E"/>
        </w:rPr>
        <w:t>,</w:t>
      </w:r>
      <w:r w:rsidRPr="003E3836">
        <w:rPr>
          <w:rFonts w:asciiTheme="majorHAnsi" w:eastAsia="Georgia" w:hAnsiTheme="majorHAnsi" w:cstheme="majorHAnsi"/>
          <w:color w:val="2E2E2E"/>
        </w:rPr>
        <w:t xml:space="preserve"> including central line-associated bloodstream infections, cholestatic liver disease, metabolic complications</w:t>
      </w:r>
      <w:r w:rsidR="001967C7">
        <w:rPr>
          <w:rFonts w:asciiTheme="majorHAnsi" w:eastAsia="Georgia" w:hAnsiTheme="majorHAnsi" w:cstheme="majorHAnsi"/>
          <w:color w:val="2E2E2E"/>
        </w:rPr>
        <w:t>,</w:t>
      </w:r>
      <w:r w:rsidRPr="003E3836">
        <w:rPr>
          <w:rFonts w:asciiTheme="majorHAnsi" w:eastAsia="Georgia" w:hAnsiTheme="majorHAnsi" w:cstheme="majorHAnsi"/>
          <w:color w:val="2E2E2E"/>
        </w:rPr>
        <w:t xml:space="preserve"> and thrombosis</w:t>
      </w:r>
      <w:r w:rsidR="006307D9">
        <w:rPr>
          <w:rFonts w:asciiTheme="majorHAnsi" w:eastAsia="Georgia" w:hAnsiTheme="majorHAnsi" w:cstheme="majorHAnsi"/>
          <w:color w:val="2E2E2E"/>
        </w:rPr>
        <w:t xml:space="preserve"> </w:t>
      </w:r>
      <w:r w:rsidRPr="003E3836">
        <w:rPr>
          <w:rFonts w:asciiTheme="majorHAnsi" w:eastAsia="Georgia" w:hAnsiTheme="majorHAnsi" w:cstheme="majorHAnsi"/>
          <w:color w:val="2E2E2E"/>
        </w:rPr>
        <w:t>[</w:t>
      </w:r>
      <w:r w:rsidR="00301FF4">
        <w:rPr>
          <w:rFonts w:asciiTheme="majorHAnsi" w:eastAsia="Georgia" w:hAnsiTheme="majorHAnsi" w:cstheme="majorHAnsi"/>
          <w:color w:val="2E2E2E"/>
        </w:rPr>
        <w:t>5, 6, 8-18]</w:t>
      </w:r>
      <w:r w:rsidRPr="003E3836">
        <w:rPr>
          <w:rFonts w:asciiTheme="majorHAnsi" w:eastAsia="Georgia" w:hAnsiTheme="majorHAnsi" w:cstheme="majorHAnsi"/>
          <w:color w:val="2E2E2E"/>
        </w:rPr>
        <w:t xml:space="preserve">. Also, this nutritional modality is exclusively administered in hospitals, leading to </w:t>
      </w:r>
      <w:r w:rsidR="0089061F">
        <w:rPr>
          <w:rFonts w:asciiTheme="majorHAnsi" w:eastAsia="Georgia" w:hAnsiTheme="majorHAnsi" w:cstheme="majorHAnsi"/>
          <w:color w:val="2E2E2E"/>
        </w:rPr>
        <w:t>prolonged</w:t>
      </w:r>
      <w:r w:rsidR="0089061F" w:rsidRPr="003E3836">
        <w:rPr>
          <w:rFonts w:asciiTheme="majorHAnsi" w:eastAsia="Georgia" w:hAnsiTheme="majorHAnsi" w:cstheme="majorHAnsi"/>
          <w:color w:val="2E2E2E"/>
        </w:rPr>
        <w:t xml:space="preserve"> </w:t>
      </w:r>
      <w:r w:rsidRPr="003E3836">
        <w:rPr>
          <w:rFonts w:asciiTheme="majorHAnsi" w:eastAsia="Georgia" w:hAnsiTheme="majorHAnsi" w:cstheme="majorHAnsi"/>
          <w:color w:val="2E2E2E"/>
        </w:rPr>
        <w:t xml:space="preserve">stays and increasing medical costs, currently estimated at US$100,000-$150,000 or more per patient per </w:t>
      </w:r>
      <w:r w:rsidRPr="006307D9">
        <w:rPr>
          <w:rFonts w:asciiTheme="majorHAnsi" w:eastAsia="Georgia" w:hAnsiTheme="majorHAnsi" w:cstheme="majorHAnsi"/>
        </w:rPr>
        <w:t>year [5,19</w:t>
      </w:r>
      <w:r w:rsidRPr="003E3836">
        <w:rPr>
          <w:rFonts w:asciiTheme="majorHAnsi" w:eastAsia="Georgia" w:hAnsiTheme="majorHAnsi" w:cstheme="majorHAnsi"/>
          <w:color w:val="2E2E2E"/>
        </w:rPr>
        <w:t>]. The development of alternative therapy has the potential to benefit thousands of patients yearly, improve outcomes and reduce costs and risks.</w:t>
      </w:r>
    </w:p>
    <w:p w14:paraId="220C5978" w14:textId="3DAC81CC" w:rsidR="00176606" w:rsidRDefault="00216550">
      <w:pPr>
        <w:spacing w:after="240"/>
        <w:jc w:val="both"/>
        <w:rPr>
          <w:rFonts w:asciiTheme="majorHAnsi" w:eastAsia="Georgia" w:hAnsiTheme="majorHAnsi" w:cstheme="majorHAnsi"/>
          <w:color w:val="2E2E2E"/>
        </w:rPr>
      </w:pPr>
      <w:r w:rsidRPr="003E3836">
        <w:rPr>
          <w:rFonts w:asciiTheme="majorHAnsi" w:eastAsia="Georgia" w:hAnsiTheme="majorHAnsi" w:cstheme="majorHAnsi"/>
          <w:color w:val="2E2E2E"/>
        </w:rPr>
        <w:t xml:space="preserve">Studies have shown that recycling chyme output from the proximal to distal </w:t>
      </w:r>
      <w:r w:rsidR="001B49DA">
        <w:rPr>
          <w:rFonts w:asciiTheme="majorHAnsi" w:eastAsia="Georgia" w:hAnsiTheme="majorHAnsi" w:cstheme="majorHAnsi"/>
          <w:color w:val="2E2E2E"/>
        </w:rPr>
        <w:t>double enterostomy</w:t>
      </w:r>
      <w:r w:rsidRPr="003E3836">
        <w:rPr>
          <w:rFonts w:asciiTheme="majorHAnsi" w:eastAsia="Georgia" w:hAnsiTheme="majorHAnsi" w:cstheme="majorHAnsi"/>
          <w:color w:val="2E2E2E"/>
        </w:rPr>
        <w:t xml:space="preserve"> limb is a beneficial therapeutic option</w:t>
      </w:r>
      <w:r w:rsidR="009C119E">
        <w:rPr>
          <w:rFonts w:asciiTheme="majorHAnsi" w:eastAsia="Georgia" w:hAnsiTheme="majorHAnsi" w:cstheme="majorHAnsi"/>
          <w:color w:val="2E2E2E"/>
        </w:rPr>
        <w:t xml:space="preserve"> in neonates</w:t>
      </w:r>
      <w:r w:rsidRPr="003E3836">
        <w:rPr>
          <w:rFonts w:asciiTheme="majorHAnsi" w:eastAsia="Georgia" w:hAnsiTheme="majorHAnsi" w:cstheme="majorHAnsi"/>
          <w:color w:val="2E2E2E"/>
        </w:rPr>
        <w:t>, thus alleviating the burden from the above complication</w:t>
      </w:r>
      <w:r w:rsidRPr="004E7032">
        <w:rPr>
          <w:rFonts w:asciiTheme="majorHAnsi" w:eastAsia="Georgia" w:hAnsiTheme="majorHAnsi" w:cstheme="majorHAnsi"/>
        </w:rPr>
        <w:t>s [3</w:t>
      </w:r>
      <w:r w:rsidRPr="003E3836">
        <w:rPr>
          <w:rFonts w:asciiTheme="majorHAnsi" w:eastAsia="Georgia" w:hAnsiTheme="majorHAnsi" w:cstheme="majorHAnsi"/>
          <w:color w:val="2E2E2E"/>
        </w:rPr>
        <w:t>,</w:t>
      </w:r>
      <w:r w:rsidR="004E7032">
        <w:rPr>
          <w:rFonts w:asciiTheme="majorHAnsi" w:eastAsia="Georgia" w:hAnsiTheme="majorHAnsi" w:cstheme="majorHAnsi"/>
          <w:color w:val="2E2E2E"/>
        </w:rPr>
        <w:t xml:space="preserve"> 20-22]</w:t>
      </w:r>
      <w:r w:rsidRPr="003E3836">
        <w:rPr>
          <w:rFonts w:asciiTheme="majorHAnsi" w:eastAsia="Georgia" w:hAnsiTheme="majorHAnsi" w:cstheme="majorHAnsi"/>
          <w:color w:val="2E2E2E"/>
        </w:rPr>
        <w:t xml:space="preserve">. </w:t>
      </w:r>
      <w:r w:rsidR="005A0442">
        <w:t xml:space="preserve">Studies in adults have </w:t>
      </w:r>
      <w:r w:rsidR="009C119E">
        <w:t xml:space="preserve">also </w:t>
      </w:r>
      <w:r w:rsidR="005A0442">
        <w:t>demonstrated that the strategy is safe and beneficial [23].</w:t>
      </w:r>
      <w:r w:rsidR="009C119E">
        <w:t xml:space="preserve"> </w:t>
      </w:r>
      <w:r w:rsidRPr="003E3836">
        <w:rPr>
          <w:rFonts w:asciiTheme="majorHAnsi" w:eastAsia="Georgia" w:hAnsiTheme="majorHAnsi" w:cstheme="majorHAnsi"/>
          <w:color w:val="2E2E2E"/>
        </w:rPr>
        <w:t>The adoption of this practice is growing in popularit</w:t>
      </w:r>
      <w:r w:rsidR="005465BF">
        <w:rPr>
          <w:rFonts w:asciiTheme="majorHAnsi" w:eastAsia="Georgia" w:hAnsiTheme="majorHAnsi" w:cstheme="majorHAnsi"/>
          <w:color w:val="2E2E2E"/>
        </w:rPr>
        <w:t>y in the last years.</w:t>
      </w:r>
      <w:r w:rsidRPr="003E3836">
        <w:rPr>
          <w:rFonts w:asciiTheme="majorHAnsi" w:eastAsia="Georgia" w:hAnsiTheme="majorHAnsi" w:cstheme="majorHAnsi"/>
          <w:color w:val="2E2E2E"/>
        </w:rPr>
        <w:t xml:space="preserve"> </w:t>
      </w:r>
      <w:r w:rsidR="005465BF">
        <w:rPr>
          <w:rFonts w:asciiTheme="majorHAnsi" w:eastAsia="Georgia" w:hAnsiTheme="majorHAnsi" w:cstheme="majorHAnsi"/>
          <w:color w:val="2E2E2E"/>
        </w:rPr>
        <w:t>However,</w:t>
      </w:r>
      <w:r w:rsidR="005465BF" w:rsidRPr="003E3836">
        <w:rPr>
          <w:rFonts w:asciiTheme="majorHAnsi" w:eastAsia="Georgia" w:hAnsiTheme="majorHAnsi" w:cstheme="majorHAnsi"/>
          <w:color w:val="2E2E2E"/>
        </w:rPr>
        <w:t xml:space="preserve"> </w:t>
      </w:r>
      <w:r w:rsidRPr="003E3836">
        <w:rPr>
          <w:rFonts w:asciiTheme="majorHAnsi" w:eastAsia="Georgia" w:hAnsiTheme="majorHAnsi" w:cstheme="majorHAnsi"/>
          <w:color w:val="2E2E2E"/>
        </w:rPr>
        <w:t>th</w:t>
      </w:r>
      <w:r w:rsidR="00090916">
        <w:rPr>
          <w:rFonts w:asciiTheme="majorHAnsi" w:eastAsia="Georgia" w:hAnsiTheme="majorHAnsi" w:cstheme="majorHAnsi"/>
          <w:color w:val="2E2E2E"/>
        </w:rPr>
        <w:t>is therapeutic option has been employed erratically in NICUs worldwide, with</w:t>
      </w:r>
      <w:r w:rsidR="005A0442">
        <w:rPr>
          <w:rFonts w:asciiTheme="majorHAnsi" w:eastAsia="Georgia" w:hAnsiTheme="majorHAnsi" w:cstheme="majorHAnsi"/>
          <w:color w:val="2E2E2E"/>
        </w:rPr>
        <w:t xml:space="preserve"> various</w:t>
      </w:r>
      <w:r w:rsidR="00090916">
        <w:rPr>
          <w:rFonts w:asciiTheme="majorHAnsi" w:eastAsia="Georgia" w:hAnsiTheme="majorHAnsi" w:cstheme="majorHAnsi"/>
          <w:color w:val="2E2E2E"/>
        </w:rPr>
        <w:t xml:space="preserve"> </w:t>
      </w:r>
      <w:r w:rsidR="005465BF">
        <w:rPr>
          <w:rFonts w:asciiTheme="majorHAnsi" w:eastAsia="Georgia" w:hAnsiTheme="majorHAnsi" w:cstheme="majorHAnsi"/>
          <w:color w:val="2E2E2E"/>
        </w:rPr>
        <w:t xml:space="preserve">indications, </w:t>
      </w:r>
      <w:r w:rsidR="00090916">
        <w:rPr>
          <w:rFonts w:asciiTheme="majorHAnsi" w:eastAsia="Georgia" w:hAnsiTheme="majorHAnsi" w:cstheme="majorHAnsi"/>
          <w:color w:val="2E2E2E"/>
        </w:rPr>
        <w:t>methods</w:t>
      </w:r>
      <w:r w:rsidR="005465BF">
        <w:rPr>
          <w:rFonts w:asciiTheme="majorHAnsi" w:eastAsia="Georgia" w:hAnsiTheme="majorHAnsi" w:cstheme="majorHAnsi"/>
          <w:color w:val="2E2E2E"/>
        </w:rPr>
        <w:t>,</w:t>
      </w:r>
      <w:r w:rsidR="00090916">
        <w:rPr>
          <w:rFonts w:asciiTheme="majorHAnsi" w:eastAsia="Georgia" w:hAnsiTheme="majorHAnsi" w:cstheme="majorHAnsi"/>
          <w:color w:val="2E2E2E"/>
        </w:rPr>
        <w:t xml:space="preserve"> and </w:t>
      </w:r>
      <w:r w:rsidR="00176606">
        <w:rPr>
          <w:rFonts w:asciiTheme="majorHAnsi" w:eastAsia="Georgia" w:hAnsiTheme="majorHAnsi" w:cstheme="majorHAnsi"/>
          <w:color w:val="2E2E2E"/>
        </w:rPr>
        <w:t xml:space="preserve">using </w:t>
      </w:r>
      <w:r w:rsidR="005A0442">
        <w:rPr>
          <w:rFonts w:asciiTheme="majorHAnsi" w:eastAsia="Georgia" w:hAnsiTheme="majorHAnsi" w:cstheme="majorHAnsi"/>
          <w:color w:val="2E2E2E"/>
        </w:rPr>
        <w:t xml:space="preserve">repurposed </w:t>
      </w:r>
      <w:r w:rsidR="00090916">
        <w:rPr>
          <w:rFonts w:asciiTheme="majorHAnsi" w:eastAsia="Georgia" w:hAnsiTheme="majorHAnsi" w:cstheme="majorHAnsi"/>
          <w:color w:val="2E2E2E"/>
        </w:rPr>
        <w:t>materials.</w:t>
      </w:r>
      <w:r w:rsidR="00826948">
        <w:rPr>
          <w:rFonts w:asciiTheme="majorHAnsi" w:eastAsia="Georgia" w:hAnsiTheme="majorHAnsi" w:cstheme="majorHAnsi"/>
          <w:color w:val="2E2E2E"/>
        </w:rPr>
        <w:t xml:space="preserve"> </w:t>
      </w:r>
    </w:p>
    <w:p w14:paraId="7B4B7DCC" w14:textId="209498EB" w:rsidR="00BB7A2B" w:rsidRDefault="00090916">
      <w:pPr>
        <w:spacing w:after="240"/>
        <w:jc w:val="both"/>
        <w:rPr>
          <w:rFonts w:asciiTheme="majorHAnsi" w:eastAsia="Georgia" w:hAnsiTheme="majorHAnsi" w:cstheme="majorHAnsi"/>
          <w:color w:val="2E2E2E"/>
        </w:rPr>
      </w:pPr>
      <w:r>
        <w:rPr>
          <w:rFonts w:asciiTheme="majorHAnsi" w:eastAsia="Georgia" w:hAnsiTheme="majorHAnsi" w:cstheme="majorHAnsi"/>
          <w:color w:val="2E2E2E"/>
        </w:rPr>
        <w:t xml:space="preserve">This lack of uniformity creates </w:t>
      </w:r>
      <w:r w:rsidR="005465BF">
        <w:rPr>
          <w:rFonts w:asciiTheme="majorHAnsi" w:eastAsia="Georgia" w:hAnsiTheme="majorHAnsi" w:cstheme="majorHAnsi"/>
          <w:color w:val="2E2E2E"/>
        </w:rPr>
        <w:t xml:space="preserve">practical </w:t>
      </w:r>
      <w:r>
        <w:rPr>
          <w:rFonts w:asciiTheme="majorHAnsi" w:eastAsia="Georgia" w:hAnsiTheme="majorHAnsi" w:cstheme="majorHAnsi"/>
          <w:color w:val="2E2E2E"/>
        </w:rPr>
        <w:t xml:space="preserve">challenges for the medical staff, most of </w:t>
      </w:r>
      <w:r w:rsidR="005074FD">
        <w:rPr>
          <w:rFonts w:asciiTheme="majorHAnsi" w:eastAsia="Georgia" w:hAnsiTheme="majorHAnsi" w:cstheme="majorHAnsi"/>
          <w:color w:val="2E2E2E"/>
        </w:rPr>
        <w:t xml:space="preserve">whom </w:t>
      </w:r>
      <w:r>
        <w:rPr>
          <w:rFonts w:asciiTheme="majorHAnsi" w:eastAsia="Georgia" w:hAnsiTheme="majorHAnsi" w:cstheme="majorHAnsi"/>
          <w:color w:val="2E2E2E"/>
        </w:rPr>
        <w:t xml:space="preserve">do not </w:t>
      </w:r>
      <w:r w:rsidR="00E249B9">
        <w:rPr>
          <w:rFonts w:asciiTheme="majorHAnsi" w:eastAsia="Georgia" w:hAnsiTheme="majorHAnsi" w:cstheme="majorHAnsi"/>
          <w:color w:val="2E2E2E"/>
        </w:rPr>
        <w:t xml:space="preserve">consider </w:t>
      </w:r>
      <w:r>
        <w:rPr>
          <w:rFonts w:asciiTheme="majorHAnsi" w:eastAsia="Georgia" w:hAnsiTheme="majorHAnsi" w:cstheme="majorHAnsi"/>
          <w:color w:val="2E2E2E"/>
        </w:rPr>
        <w:t xml:space="preserve">the </w:t>
      </w:r>
      <w:r w:rsidR="00176606">
        <w:rPr>
          <w:rFonts w:asciiTheme="majorHAnsi" w:eastAsia="Georgia" w:hAnsiTheme="majorHAnsi" w:cstheme="majorHAnsi"/>
          <w:color w:val="2E2E2E"/>
        </w:rPr>
        <w:t xml:space="preserve">current </w:t>
      </w:r>
      <w:r>
        <w:rPr>
          <w:rFonts w:asciiTheme="majorHAnsi" w:eastAsia="Georgia" w:hAnsiTheme="majorHAnsi" w:cstheme="majorHAnsi"/>
          <w:color w:val="2E2E2E"/>
        </w:rPr>
        <w:t>option</w:t>
      </w:r>
      <w:r w:rsidR="00176606">
        <w:rPr>
          <w:rFonts w:asciiTheme="majorHAnsi" w:eastAsia="Georgia" w:hAnsiTheme="majorHAnsi" w:cstheme="majorHAnsi"/>
          <w:color w:val="2E2E2E"/>
        </w:rPr>
        <w:t>s</w:t>
      </w:r>
      <w:r>
        <w:rPr>
          <w:rFonts w:asciiTheme="majorHAnsi" w:eastAsia="Georgia" w:hAnsiTheme="majorHAnsi" w:cstheme="majorHAnsi"/>
          <w:color w:val="2E2E2E"/>
        </w:rPr>
        <w:t xml:space="preserve"> </w:t>
      </w:r>
      <w:r w:rsidR="00826948">
        <w:rPr>
          <w:rFonts w:asciiTheme="majorHAnsi" w:eastAsia="Georgia" w:hAnsiTheme="majorHAnsi" w:cstheme="majorHAnsi"/>
          <w:color w:val="2E2E2E"/>
        </w:rPr>
        <w:t>user</w:t>
      </w:r>
      <w:r w:rsidR="005074FD">
        <w:rPr>
          <w:rFonts w:asciiTheme="majorHAnsi" w:eastAsia="Georgia" w:hAnsiTheme="majorHAnsi" w:cstheme="majorHAnsi"/>
          <w:color w:val="2E2E2E"/>
        </w:rPr>
        <w:t>-</w:t>
      </w:r>
      <w:r w:rsidR="00826948">
        <w:rPr>
          <w:rFonts w:asciiTheme="majorHAnsi" w:eastAsia="Georgia" w:hAnsiTheme="majorHAnsi" w:cstheme="majorHAnsi"/>
          <w:color w:val="2E2E2E"/>
        </w:rPr>
        <w:t xml:space="preserve">friendly. </w:t>
      </w:r>
      <w:r w:rsidR="005465BF">
        <w:rPr>
          <w:rFonts w:asciiTheme="majorHAnsi" w:eastAsia="Georgia" w:hAnsiTheme="majorHAnsi" w:cstheme="majorHAnsi"/>
          <w:color w:val="2E2E2E"/>
        </w:rPr>
        <w:t>Recycling chyme requires nurses to dedicate some time to reinfuse the enteric material. The reinfusion is an easy process</w:t>
      </w:r>
      <w:r w:rsidR="00176606">
        <w:rPr>
          <w:rFonts w:asciiTheme="majorHAnsi" w:eastAsia="Georgia" w:hAnsiTheme="majorHAnsi" w:cstheme="majorHAnsi"/>
          <w:color w:val="2E2E2E"/>
        </w:rPr>
        <w:t>,</w:t>
      </w:r>
      <w:r w:rsidR="005465BF">
        <w:rPr>
          <w:rFonts w:asciiTheme="majorHAnsi" w:eastAsia="Georgia" w:hAnsiTheme="majorHAnsi" w:cstheme="majorHAnsi"/>
          <w:color w:val="2E2E2E"/>
        </w:rPr>
        <w:t xml:space="preserve"> but it requires </w:t>
      </w:r>
      <w:r w:rsidR="003B497F">
        <w:rPr>
          <w:rFonts w:asciiTheme="majorHAnsi" w:eastAsia="Georgia" w:hAnsiTheme="majorHAnsi" w:cstheme="majorHAnsi"/>
          <w:color w:val="2E2E2E"/>
        </w:rPr>
        <w:t xml:space="preserve">manual </w:t>
      </w:r>
      <w:r w:rsidR="005465BF">
        <w:rPr>
          <w:rFonts w:asciiTheme="majorHAnsi" w:eastAsia="Georgia" w:hAnsiTheme="majorHAnsi" w:cstheme="majorHAnsi"/>
          <w:color w:val="2E2E2E"/>
        </w:rPr>
        <w:t xml:space="preserve">effort </w:t>
      </w:r>
      <w:r w:rsidR="003B497F">
        <w:rPr>
          <w:rFonts w:asciiTheme="majorHAnsi" w:eastAsia="Georgia" w:hAnsiTheme="majorHAnsi" w:cstheme="majorHAnsi"/>
          <w:color w:val="2E2E2E"/>
        </w:rPr>
        <w:t xml:space="preserve">and time </w:t>
      </w:r>
      <w:r w:rsidR="005465BF">
        <w:rPr>
          <w:rFonts w:asciiTheme="majorHAnsi" w:eastAsia="Georgia" w:hAnsiTheme="majorHAnsi" w:cstheme="majorHAnsi"/>
          <w:color w:val="2E2E2E"/>
        </w:rPr>
        <w:t>from the staff. Furthermore</w:t>
      </w:r>
      <w:r w:rsidR="00826948">
        <w:rPr>
          <w:rFonts w:asciiTheme="majorHAnsi" w:eastAsia="Georgia" w:hAnsiTheme="majorHAnsi" w:cstheme="majorHAnsi"/>
          <w:color w:val="2E2E2E"/>
        </w:rPr>
        <w:t>, the</w:t>
      </w:r>
      <w:r>
        <w:rPr>
          <w:rFonts w:asciiTheme="majorHAnsi" w:eastAsia="Georgia" w:hAnsiTheme="majorHAnsi" w:cstheme="majorHAnsi"/>
          <w:color w:val="2E2E2E"/>
        </w:rPr>
        <w:t xml:space="preserve"> literature currently presents </w:t>
      </w:r>
      <w:r w:rsidR="00216550" w:rsidRPr="003E3836">
        <w:rPr>
          <w:rFonts w:asciiTheme="majorHAnsi" w:eastAsia="Georgia" w:hAnsiTheme="majorHAnsi" w:cstheme="majorHAnsi"/>
          <w:color w:val="2E2E2E"/>
        </w:rPr>
        <w:t xml:space="preserve">a </w:t>
      </w:r>
      <w:r>
        <w:rPr>
          <w:rFonts w:asciiTheme="majorHAnsi" w:eastAsia="Georgia" w:hAnsiTheme="majorHAnsi" w:cstheme="majorHAnsi"/>
          <w:color w:val="2E2E2E"/>
        </w:rPr>
        <w:t>multitude of</w:t>
      </w:r>
      <w:r w:rsidRPr="003E3836">
        <w:rPr>
          <w:rFonts w:asciiTheme="majorHAnsi" w:eastAsia="Georgia" w:hAnsiTheme="majorHAnsi" w:cstheme="majorHAnsi"/>
          <w:color w:val="2E2E2E"/>
        </w:rPr>
        <w:t xml:space="preserve"> </w:t>
      </w:r>
      <w:r w:rsidR="00216550" w:rsidRPr="003E3836">
        <w:rPr>
          <w:rFonts w:asciiTheme="majorHAnsi" w:eastAsia="Georgia" w:hAnsiTheme="majorHAnsi" w:cstheme="majorHAnsi"/>
          <w:color w:val="2E2E2E"/>
        </w:rPr>
        <w:t>indication</w:t>
      </w:r>
      <w:r>
        <w:rPr>
          <w:rFonts w:asciiTheme="majorHAnsi" w:eastAsia="Georgia" w:hAnsiTheme="majorHAnsi" w:cstheme="majorHAnsi"/>
          <w:color w:val="2E2E2E"/>
        </w:rPr>
        <w:t xml:space="preserve"> criteria</w:t>
      </w:r>
      <w:r w:rsidR="00216550" w:rsidRPr="003E3836">
        <w:rPr>
          <w:rFonts w:asciiTheme="majorHAnsi" w:eastAsia="Georgia" w:hAnsiTheme="majorHAnsi" w:cstheme="majorHAnsi"/>
          <w:color w:val="2E2E2E"/>
        </w:rPr>
        <w:t xml:space="preserve">, methods, </w:t>
      </w:r>
      <w:r>
        <w:rPr>
          <w:rFonts w:asciiTheme="majorHAnsi" w:eastAsia="Georgia" w:hAnsiTheme="majorHAnsi" w:cstheme="majorHAnsi"/>
          <w:color w:val="2E2E2E"/>
        </w:rPr>
        <w:t xml:space="preserve">supplies </w:t>
      </w:r>
      <w:r w:rsidR="005A0442">
        <w:rPr>
          <w:rFonts w:asciiTheme="majorHAnsi" w:eastAsia="Georgia" w:hAnsiTheme="majorHAnsi" w:cstheme="majorHAnsi"/>
          <w:color w:val="2E2E2E"/>
        </w:rPr>
        <w:t>employed</w:t>
      </w:r>
      <w:r>
        <w:rPr>
          <w:rFonts w:asciiTheme="majorHAnsi" w:eastAsia="Georgia" w:hAnsiTheme="majorHAnsi" w:cstheme="majorHAnsi"/>
          <w:color w:val="2E2E2E"/>
        </w:rPr>
        <w:t xml:space="preserve">, </w:t>
      </w:r>
      <w:r w:rsidR="00216550" w:rsidRPr="003E3836">
        <w:rPr>
          <w:rFonts w:asciiTheme="majorHAnsi" w:eastAsia="Georgia" w:hAnsiTheme="majorHAnsi" w:cstheme="majorHAnsi"/>
          <w:color w:val="2E2E2E"/>
        </w:rPr>
        <w:t>and clinical outcomes. Creating a uniform protocol to optimise th</w:t>
      </w:r>
      <w:r w:rsidR="00176606">
        <w:rPr>
          <w:rFonts w:asciiTheme="majorHAnsi" w:eastAsia="Georgia" w:hAnsiTheme="majorHAnsi" w:cstheme="majorHAnsi"/>
          <w:color w:val="2E2E2E"/>
        </w:rPr>
        <w:t>is therapeutic option will enable properly measuring the benefits associated with it. It will also make</w:t>
      </w:r>
      <w:r>
        <w:rPr>
          <w:rFonts w:asciiTheme="majorHAnsi" w:eastAsia="Georgia" w:hAnsiTheme="majorHAnsi" w:cstheme="majorHAnsi"/>
          <w:color w:val="2E2E2E"/>
        </w:rPr>
        <w:t xml:space="preserve"> it more accessible an</w:t>
      </w:r>
      <w:r w:rsidR="005465BF">
        <w:rPr>
          <w:rFonts w:asciiTheme="majorHAnsi" w:eastAsia="Georgia" w:hAnsiTheme="majorHAnsi" w:cstheme="majorHAnsi"/>
          <w:color w:val="2E2E2E"/>
        </w:rPr>
        <w:t>d</w:t>
      </w:r>
      <w:r>
        <w:rPr>
          <w:rFonts w:asciiTheme="majorHAnsi" w:eastAsia="Georgia" w:hAnsiTheme="majorHAnsi" w:cstheme="majorHAnsi"/>
          <w:color w:val="2E2E2E"/>
        </w:rPr>
        <w:t xml:space="preserve"> practical to be adopted</w:t>
      </w:r>
      <w:r w:rsidR="005465BF">
        <w:rPr>
          <w:rFonts w:asciiTheme="majorHAnsi" w:eastAsia="Georgia" w:hAnsiTheme="majorHAnsi" w:cstheme="majorHAnsi"/>
          <w:color w:val="2E2E2E"/>
        </w:rPr>
        <w:t xml:space="preserve"> by the medical staff</w:t>
      </w:r>
      <w:r w:rsidR="00216550" w:rsidRPr="003E3836">
        <w:rPr>
          <w:rFonts w:asciiTheme="majorHAnsi" w:eastAsia="Georgia" w:hAnsiTheme="majorHAnsi" w:cstheme="majorHAnsi"/>
          <w:color w:val="2E2E2E"/>
        </w:rPr>
        <w:t>.</w:t>
      </w:r>
    </w:p>
    <w:p w14:paraId="35B92E3B" w14:textId="1D0A4323" w:rsidR="009C119E" w:rsidRDefault="003B497F" w:rsidP="00414D96">
      <w:pPr>
        <w:spacing w:after="240"/>
        <w:jc w:val="both"/>
        <w:rPr>
          <w:rFonts w:asciiTheme="majorHAnsi" w:eastAsia="Georgia" w:hAnsiTheme="majorHAnsi" w:cstheme="majorHAnsi"/>
          <w:color w:val="2E2E2E"/>
        </w:rPr>
      </w:pPr>
      <w:r>
        <w:rPr>
          <w:rFonts w:asciiTheme="majorHAnsi" w:eastAsia="Georgia" w:hAnsiTheme="majorHAnsi" w:cstheme="majorHAnsi"/>
          <w:color w:val="2E2E2E"/>
        </w:rPr>
        <w:t>Chyme reinfusion is often employed in Auckland, but using manual techniques that</w:t>
      </w:r>
      <w:r w:rsidR="005074FD">
        <w:rPr>
          <w:rFonts w:asciiTheme="majorHAnsi" w:eastAsia="Georgia" w:hAnsiTheme="majorHAnsi" w:cstheme="majorHAnsi"/>
          <w:color w:val="2E2E2E"/>
        </w:rPr>
        <w:t>,</w:t>
      </w:r>
      <w:r>
        <w:rPr>
          <w:rFonts w:asciiTheme="majorHAnsi" w:eastAsia="Georgia" w:hAnsiTheme="majorHAnsi" w:cstheme="majorHAnsi"/>
          <w:color w:val="2E2E2E"/>
        </w:rPr>
        <w:t xml:space="preserve"> as described above</w:t>
      </w:r>
      <w:r w:rsidR="005074FD">
        <w:rPr>
          <w:rFonts w:asciiTheme="majorHAnsi" w:eastAsia="Georgia" w:hAnsiTheme="majorHAnsi" w:cstheme="majorHAnsi"/>
          <w:color w:val="2E2E2E"/>
        </w:rPr>
        <w:t>,</w:t>
      </w:r>
      <w:r>
        <w:rPr>
          <w:rFonts w:asciiTheme="majorHAnsi" w:eastAsia="Georgia" w:hAnsiTheme="majorHAnsi" w:cstheme="majorHAnsi"/>
          <w:color w:val="2E2E2E"/>
        </w:rPr>
        <w:t xml:space="preserve"> are found to be </w:t>
      </w:r>
      <w:r w:rsidR="005074FD">
        <w:rPr>
          <w:rFonts w:asciiTheme="majorHAnsi" w:eastAsia="Georgia" w:hAnsiTheme="majorHAnsi" w:cstheme="majorHAnsi"/>
          <w:color w:val="2E2E2E"/>
        </w:rPr>
        <w:t>time-</w:t>
      </w:r>
      <w:r>
        <w:rPr>
          <w:rFonts w:asciiTheme="majorHAnsi" w:eastAsia="Georgia" w:hAnsiTheme="majorHAnsi" w:cstheme="majorHAnsi"/>
          <w:color w:val="2E2E2E"/>
        </w:rPr>
        <w:t>consuming and inefficient for staff.  In other New Zealand units</w:t>
      </w:r>
      <w:r w:rsidR="003F7B4F">
        <w:rPr>
          <w:rFonts w:asciiTheme="majorHAnsi" w:eastAsia="Georgia" w:hAnsiTheme="majorHAnsi" w:cstheme="majorHAnsi"/>
          <w:color w:val="2E2E2E"/>
        </w:rPr>
        <w:t>, chyme reinfusion is undertaken in selected cases but faces similar obstacles and disincentives.  New Zealand NICUs would benefit from improved methods and standard protocols for chyme reinfusion.</w:t>
      </w:r>
    </w:p>
    <w:p w14:paraId="5437C948" w14:textId="200D350E" w:rsidR="009C119E" w:rsidRDefault="009C119E" w:rsidP="009C119E">
      <w:pPr>
        <w:jc w:val="both"/>
        <w:rPr>
          <w:b/>
          <w:i/>
        </w:rPr>
      </w:pPr>
      <w:r>
        <w:rPr>
          <w:b/>
          <w:i/>
        </w:rPr>
        <w:t>Proposed Solution</w:t>
      </w:r>
    </w:p>
    <w:p w14:paraId="2707FB72" w14:textId="541BB020" w:rsidR="003032C6" w:rsidRDefault="00216550" w:rsidP="00A52152">
      <w:pPr>
        <w:spacing w:after="240"/>
        <w:jc w:val="both"/>
        <w:rPr>
          <w:rFonts w:asciiTheme="majorHAnsi" w:eastAsia="Georgia" w:hAnsiTheme="majorHAnsi" w:cstheme="majorHAnsi"/>
          <w:color w:val="2E2E2E"/>
        </w:rPr>
      </w:pPr>
      <w:r w:rsidRPr="003E3836">
        <w:rPr>
          <w:rFonts w:asciiTheme="majorHAnsi" w:eastAsia="Georgia" w:hAnsiTheme="majorHAnsi" w:cstheme="majorHAnsi"/>
          <w:color w:val="2E2E2E"/>
        </w:rPr>
        <w:lastRenderedPageBreak/>
        <w:t xml:space="preserve">The </w:t>
      </w:r>
      <w:r w:rsidR="005465BF">
        <w:rPr>
          <w:rFonts w:asciiTheme="majorHAnsi" w:eastAsia="Georgia" w:hAnsiTheme="majorHAnsi" w:cstheme="majorHAnsi"/>
          <w:color w:val="2E2E2E"/>
        </w:rPr>
        <w:t xml:space="preserve">development of a standardised </w:t>
      </w:r>
      <w:r w:rsidRPr="003E3836">
        <w:rPr>
          <w:rFonts w:asciiTheme="majorHAnsi" w:eastAsia="Georgia" w:hAnsiTheme="majorHAnsi" w:cstheme="majorHAnsi"/>
          <w:color w:val="2E2E2E"/>
        </w:rPr>
        <w:t xml:space="preserve">protocol may encourage clinicians to employ the strategy according to objective indication criteria, using adequate methodology, </w:t>
      </w:r>
      <w:r w:rsidR="00176606">
        <w:rPr>
          <w:rFonts w:asciiTheme="majorHAnsi" w:eastAsia="Georgia" w:hAnsiTheme="majorHAnsi" w:cstheme="majorHAnsi"/>
          <w:color w:val="2E2E2E"/>
        </w:rPr>
        <w:t>utilis</w:t>
      </w:r>
      <w:r w:rsidR="005465BF">
        <w:rPr>
          <w:rFonts w:asciiTheme="majorHAnsi" w:eastAsia="Georgia" w:hAnsiTheme="majorHAnsi" w:cstheme="majorHAnsi"/>
          <w:color w:val="2E2E2E"/>
        </w:rPr>
        <w:t xml:space="preserve">ing </w:t>
      </w:r>
      <w:r w:rsidR="003032C6">
        <w:rPr>
          <w:rFonts w:asciiTheme="majorHAnsi" w:eastAsia="Georgia" w:hAnsiTheme="majorHAnsi" w:cstheme="majorHAnsi"/>
          <w:color w:val="2E2E2E"/>
        </w:rPr>
        <w:t xml:space="preserve">materials designed specifically for the purpose they were created for, and </w:t>
      </w:r>
      <w:r w:rsidRPr="003E3836">
        <w:rPr>
          <w:rFonts w:asciiTheme="majorHAnsi" w:eastAsia="Georgia" w:hAnsiTheme="majorHAnsi" w:cstheme="majorHAnsi"/>
          <w:color w:val="2E2E2E"/>
        </w:rPr>
        <w:t>respecting safety guidelines</w:t>
      </w:r>
      <w:r w:rsidR="003032C6">
        <w:rPr>
          <w:rFonts w:asciiTheme="majorHAnsi" w:eastAsia="Georgia" w:hAnsiTheme="majorHAnsi" w:cstheme="majorHAnsi"/>
          <w:color w:val="2E2E2E"/>
        </w:rPr>
        <w:t>.</w:t>
      </w:r>
      <w:r w:rsidRPr="003E3836">
        <w:rPr>
          <w:rFonts w:asciiTheme="majorHAnsi" w:eastAsia="Georgia" w:hAnsiTheme="majorHAnsi" w:cstheme="majorHAnsi"/>
          <w:color w:val="2E2E2E"/>
        </w:rPr>
        <w:t xml:space="preserve"> </w:t>
      </w:r>
    </w:p>
    <w:p w14:paraId="3DEAA09A" w14:textId="6B711C5E" w:rsidR="00BB7A2B" w:rsidRDefault="003032C6" w:rsidP="00414D96">
      <w:pPr>
        <w:spacing w:after="0"/>
        <w:jc w:val="both"/>
        <w:rPr>
          <w:rFonts w:asciiTheme="majorHAnsi" w:eastAsia="Georgia" w:hAnsiTheme="majorHAnsi" w:cstheme="majorHAnsi"/>
          <w:color w:val="2E2E2E"/>
        </w:rPr>
      </w:pPr>
      <w:r>
        <w:rPr>
          <w:rFonts w:asciiTheme="majorHAnsi" w:eastAsia="Georgia" w:hAnsiTheme="majorHAnsi" w:cstheme="majorHAnsi"/>
          <w:color w:val="2E2E2E"/>
        </w:rPr>
        <w:t>Based on the literature</w:t>
      </w:r>
      <w:r w:rsidR="00176606">
        <w:rPr>
          <w:rFonts w:asciiTheme="majorHAnsi" w:eastAsia="Georgia" w:hAnsiTheme="majorHAnsi" w:cstheme="majorHAnsi"/>
          <w:color w:val="2E2E2E"/>
        </w:rPr>
        <w:t>, there are currently two therapeutic options:</w:t>
      </w:r>
      <w:r>
        <w:rPr>
          <w:rFonts w:asciiTheme="majorHAnsi" w:eastAsia="Georgia" w:hAnsiTheme="majorHAnsi" w:cstheme="majorHAnsi"/>
          <w:color w:val="2E2E2E"/>
        </w:rPr>
        <w:t xml:space="preserve"> chyme recycling </w:t>
      </w:r>
      <w:r w:rsidR="00176606">
        <w:rPr>
          <w:rFonts w:asciiTheme="majorHAnsi" w:eastAsia="Georgia" w:hAnsiTheme="majorHAnsi" w:cstheme="majorHAnsi"/>
          <w:color w:val="2E2E2E"/>
        </w:rPr>
        <w:t>and</w:t>
      </w:r>
      <w:r>
        <w:rPr>
          <w:rFonts w:asciiTheme="majorHAnsi" w:eastAsia="Georgia" w:hAnsiTheme="majorHAnsi" w:cstheme="majorHAnsi"/>
          <w:color w:val="2E2E2E"/>
        </w:rPr>
        <w:t xml:space="preserve"> prescribing parenteral nutrition while discarding the enteric material</w:t>
      </w:r>
      <w:r w:rsidR="00176606">
        <w:rPr>
          <w:rFonts w:asciiTheme="majorHAnsi" w:eastAsia="Georgia" w:hAnsiTheme="majorHAnsi" w:cstheme="majorHAnsi"/>
          <w:color w:val="2E2E2E"/>
        </w:rPr>
        <w:t>.</w:t>
      </w:r>
      <w:r>
        <w:rPr>
          <w:rFonts w:asciiTheme="majorHAnsi" w:eastAsia="Georgia" w:hAnsiTheme="majorHAnsi" w:cstheme="majorHAnsi"/>
          <w:color w:val="2E2E2E"/>
        </w:rPr>
        <w:t xml:space="preserve"> </w:t>
      </w:r>
      <w:r w:rsidR="003F7B4F">
        <w:rPr>
          <w:rFonts w:asciiTheme="majorHAnsi" w:eastAsia="Georgia" w:hAnsiTheme="majorHAnsi" w:cstheme="majorHAnsi"/>
          <w:color w:val="2E2E2E"/>
        </w:rPr>
        <w:t xml:space="preserve">Based on </w:t>
      </w:r>
      <w:r w:rsidR="005074FD">
        <w:rPr>
          <w:rFonts w:asciiTheme="majorHAnsi" w:eastAsia="Georgia" w:hAnsiTheme="majorHAnsi" w:cstheme="majorHAnsi"/>
          <w:color w:val="2E2E2E"/>
        </w:rPr>
        <w:t xml:space="preserve">the </w:t>
      </w:r>
      <w:r w:rsidR="003F7B4F">
        <w:rPr>
          <w:rFonts w:asciiTheme="majorHAnsi" w:eastAsia="Georgia" w:hAnsiTheme="majorHAnsi" w:cstheme="majorHAnsi"/>
          <w:color w:val="2E2E2E"/>
        </w:rPr>
        <w:t>literature review, it is found that</w:t>
      </w:r>
      <w:r>
        <w:rPr>
          <w:rFonts w:asciiTheme="majorHAnsi" w:eastAsia="Georgia" w:hAnsiTheme="majorHAnsi" w:cstheme="majorHAnsi"/>
          <w:color w:val="2E2E2E"/>
        </w:rPr>
        <w:t xml:space="preserve"> chyme recycling has demonstrated numerous benefits compared with the therapeutic option more widely employed</w:t>
      </w:r>
      <w:r w:rsidR="005A0442">
        <w:rPr>
          <w:rFonts w:asciiTheme="majorHAnsi" w:eastAsia="Georgia" w:hAnsiTheme="majorHAnsi" w:cstheme="majorHAnsi"/>
          <w:color w:val="2E2E2E"/>
        </w:rPr>
        <w:t xml:space="preserve"> [3, 20-22]</w:t>
      </w:r>
      <w:r>
        <w:rPr>
          <w:rFonts w:asciiTheme="majorHAnsi" w:eastAsia="Georgia" w:hAnsiTheme="majorHAnsi" w:cstheme="majorHAnsi"/>
          <w:color w:val="2E2E2E"/>
        </w:rPr>
        <w:t xml:space="preserve">). The current challenge is to promote the chyme recycling option by making it more user friendly and less burdensome </w:t>
      </w:r>
      <w:r w:rsidR="005074FD">
        <w:rPr>
          <w:rFonts w:asciiTheme="majorHAnsi" w:eastAsia="Georgia" w:hAnsiTheme="majorHAnsi" w:cstheme="majorHAnsi"/>
          <w:color w:val="2E2E2E"/>
        </w:rPr>
        <w:t xml:space="preserve">for </w:t>
      </w:r>
      <w:r>
        <w:rPr>
          <w:rFonts w:asciiTheme="majorHAnsi" w:eastAsia="Georgia" w:hAnsiTheme="majorHAnsi" w:cstheme="majorHAnsi"/>
          <w:color w:val="2E2E2E"/>
        </w:rPr>
        <w:t xml:space="preserve">the medical staff. </w:t>
      </w:r>
      <w:bookmarkEnd w:id="2"/>
      <w:r w:rsidR="00176606">
        <w:t>Creating</w:t>
      </w:r>
      <w:r w:rsidR="009C119E">
        <w:t xml:space="preserve"> a standardised protocol will give further information on possible benefits </w:t>
      </w:r>
      <w:r w:rsidR="00176606">
        <w:t>associated with using</w:t>
      </w:r>
      <w:r w:rsidR="009C119E">
        <w:t xml:space="preserve"> a novel low-risk device </w:t>
      </w:r>
      <w:r w:rsidR="00176606">
        <w:t>developed explicitly</w:t>
      </w:r>
      <w:r w:rsidR="009C119E">
        <w:t xml:space="preserve"> for chyme reinfusion in the Neonatal Intensive Care Unit (NICU).</w:t>
      </w:r>
    </w:p>
    <w:p w14:paraId="109DD18D" w14:textId="77777777" w:rsidR="005710AE" w:rsidRDefault="005710AE" w:rsidP="000167DA">
      <w:pPr>
        <w:pBdr>
          <w:top w:val="nil"/>
          <w:left w:val="nil"/>
          <w:bottom w:val="nil"/>
          <w:right w:val="nil"/>
          <w:between w:val="nil"/>
        </w:pBdr>
        <w:spacing w:line="240" w:lineRule="auto"/>
        <w:jc w:val="both"/>
        <w:rPr>
          <w:color w:val="000000"/>
        </w:rPr>
      </w:pPr>
    </w:p>
    <w:p w14:paraId="34556FB7" w14:textId="77777777" w:rsidR="00BB7A2B" w:rsidRDefault="00216550" w:rsidP="00414D96">
      <w:pPr>
        <w:spacing w:after="0"/>
        <w:jc w:val="both"/>
        <w:rPr>
          <w:b/>
          <w:u w:val="single"/>
        </w:rPr>
      </w:pPr>
      <w:r>
        <w:rPr>
          <w:b/>
          <w:sz w:val="28"/>
          <w:szCs w:val="28"/>
          <w:u w:val="single"/>
        </w:rPr>
        <w:t>Motives for Intervention:</w:t>
      </w:r>
    </w:p>
    <w:p w14:paraId="2D5DC0ED" w14:textId="77777777" w:rsidR="00EA0D56" w:rsidRDefault="00EA0D56" w:rsidP="00414D96">
      <w:pPr>
        <w:spacing w:after="0"/>
        <w:jc w:val="both"/>
      </w:pPr>
    </w:p>
    <w:p w14:paraId="4CAB9F63" w14:textId="1A3A0734" w:rsidR="00BB7A2B" w:rsidRDefault="00176606">
      <w:pPr>
        <w:jc w:val="both"/>
      </w:pPr>
      <w:r>
        <w:t>We aim to i</w:t>
      </w:r>
      <w:r w:rsidR="00826175">
        <w:t>mprov</w:t>
      </w:r>
      <w:r>
        <w:t>e</w:t>
      </w:r>
      <w:r w:rsidR="00826175">
        <w:t xml:space="preserve"> outcomes in neonates with enterostomies.</w:t>
      </w:r>
    </w:p>
    <w:p w14:paraId="6B4643CC" w14:textId="6F7A522D" w:rsidR="00103957" w:rsidRDefault="00D91378">
      <w:pPr>
        <w:pBdr>
          <w:top w:val="nil"/>
          <w:left w:val="nil"/>
          <w:bottom w:val="nil"/>
          <w:right w:val="nil"/>
          <w:between w:val="nil"/>
        </w:pBdr>
        <w:spacing w:after="0" w:line="240" w:lineRule="auto"/>
        <w:jc w:val="both"/>
      </w:pPr>
      <w:r>
        <w:t xml:space="preserve">There are three </w:t>
      </w:r>
      <w:r w:rsidR="00103957">
        <w:t>main</w:t>
      </w:r>
      <w:r>
        <w:t xml:space="preserve"> reasons to </w:t>
      </w:r>
      <w:r w:rsidR="00176606">
        <w:t xml:space="preserve">change therapeutic care currently being offered to </w:t>
      </w:r>
      <w:r>
        <w:t xml:space="preserve">neonates with </w:t>
      </w:r>
      <w:r w:rsidR="007A175D">
        <w:t xml:space="preserve">high-output </w:t>
      </w:r>
      <w:r w:rsidR="00216550">
        <w:t xml:space="preserve">enterostomies and </w:t>
      </w:r>
      <w:r w:rsidR="00E4653C">
        <w:t xml:space="preserve">entero-atmospheric </w:t>
      </w:r>
      <w:r w:rsidR="00216550">
        <w:t>fistulas</w:t>
      </w:r>
      <w:r w:rsidR="0002729E">
        <w:t xml:space="preserve"> </w:t>
      </w:r>
      <w:r w:rsidR="00176606">
        <w:t>–</w:t>
      </w:r>
      <w:r w:rsidR="0002729E">
        <w:t xml:space="preserve"> 1. Reduce morbidity and mortality</w:t>
      </w:r>
      <w:r w:rsidR="003052D1">
        <w:t>;</w:t>
      </w:r>
      <w:r w:rsidR="0002729E">
        <w:t xml:space="preserve"> 2. </w:t>
      </w:r>
      <w:r w:rsidR="009B5E8F">
        <w:t>Reduce distal stoma atrophy</w:t>
      </w:r>
      <w:r w:rsidR="00490EC5">
        <w:t xml:space="preserve"> and f</w:t>
      </w:r>
      <w:r w:rsidR="0002729E">
        <w:t>acilitate the</w:t>
      </w:r>
      <w:r w:rsidR="00325E9E">
        <w:t xml:space="preserve"> intestinal anastomosis</w:t>
      </w:r>
      <w:r w:rsidR="00490EC5">
        <w:t xml:space="preserve"> when the patient conditions improve</w:t>
      </w:r>
      <w:r w:rsidR="003052D1">
        <w:t>;</w:t>
      </w:r>
      <w:r w:rsidR="00614F60">
        <w:t xml:space="preserve"> and 3. Reduce costs associated with lengthy hospital stays.</w:t>
      </w:r>
      <w:r w:rsidR="00216550">
        <w:t xml:space="preserve"> </w:t>
      </w:r>
      <w:r w:rsidR="00963F11">
        <w:t xml:space="preserve">Some of these difficulties </w:t>
      </w:r>
      <w:r w:rsidR="001967C7">
        <w:t>can be</w:t>
      </w:r>
      <w:r w:rsidR="00963F11">
        <w:t xml:space="preserve"> </w:t>
      </w:r>
      <w:r w:rsidR="000518A4">
        <w:t xml:space="preserve">reduced by </w:t>
      </w:r>
      <w:r w:rsidR="00963F11">
        <w:t xml:space="preserve">using this </w:t>
      </w:r>
      <w:r w:rsidR="000518A4">
        <w:t>therapeutic option</w:t>
      </w:r>
      <w:r w:rsidR="00963F11">
        <w:t>, which is considered more physiologica</w:t>
      </w:r>
      <w:r w:rsidR="000518A4">
        <w:t xml:space="preserve">l. </w:t>
      </w:r>
      <w:r w:rsidR="00176606">
        <w:t xml:space="preserve">A </w:t>
      </w:r>
      <w:r w:rsidR="000518A4">
        <w:t xml:space="preserve">competing strategy </w:t>
      </w:r>
      <w:r w:rsidR="00176606">
        <w:t xml:space="preserve">– </w:t>
      </w:r>
      <w:r w:rsidR="000518A4">
        <w:t>parenteral nutrition in conjunction with discarding the enteric material</w:t>
      </w:r>
      <w:r w:rsidR="00176606">
        <w:t xml:space="preserve"> –</w:t>
      </w:r>
      <w:r w:rsidR="000518A4">
        <w:t xml:space="preserve"> </w:t>
      </w:r>
      <w:r w:rsidR="00176606">
        <w:t xml:space="preserve">is </w:t>
      </w:r>
      <w:r w:rsidR="000518A4">
        <w:t xml:space="preserve">still </w:t>
      </w:r>
      <w:r w:rsidR="00176606">
        <w:t>employed</w:t>
      </w:r>
      <w:r w:rsidR="000518A4">
        <w:t xml:space="preserve"> </w:t>
      </w:r>
      <w:r w:rsidR="00176606">
        <w:t>today. It only exists</w:t>
      </w:r>
      <w:r w:rsidR="000518A4">
        <w:t xml:space="preserve"> </w:t>
      </w:r>
      <w:r w:rsidR="00176606">
        <w:t>due to</w:t>
      </w:r>
      <w:r w:rsidR="000518A4">
        <w:t xml:space="preserve"> some practical challenges associated with the chyme recycling option. The</w:t>
      </w:r>
      <w:r w:rsidR="00176606">
        <w:t xml:space="preserve"> proposed protocol may reduce these challenges</w:t>
      </w:r>
      <w:r w:rsidR="000518A4">
        <w:t>.</w:t>
      </w:r>
    </w:p>
    <w:p w14:paraId="053256BB" w14:textId="246BFF6D" w:rsidR="00103957" w:rsidRDefault="00103957">
      <w:pPr>
        <w:pBdr>
          <w:top w:val="nil"/>
          <w:left w:val="nil"/>
          <w:bottom w:val="nil"/>
          <w:right w:val="nil"/>
          <w:between w:val="nil"/>
        </w:pBdr>
        <w:spacing w:after="0" w:line="240" w:lineRule="auto"/>
        <w:jc w:val="both"/>
      </w:pPr>
    </w:p>
    <w:p w14:paraId="5E32B80F" w14:textId="77777777" w:rsidR="000518A4" w:rsidRDefault="000518A4">
      <w:pPr>
        <w:pBdr>
          <w:top w:val="nil"/>
          <w:left w:val="nil"/>
          <w:bottom w:val="nil"/>
          <w:right w:val="nil"/>
          <w:between w:val="nil"/>
        </w:pBdr>
        <w:spacing w:after="0" w:line="240" w:lineRule="auto"/>
        <w:jc w:val="both"/>
      </w:pPr>
    </w:p>
    <w:p w14:paraId="76FCC827" w14:textId="01B14542" w:rsidR="00490EC5" w:rsidRDefault="00490EC5">
      <w:pPr>
        <w:pBdr>
          <w:top w:val="nil"/>
          <w:left w:val="nil"/>
          <w:bottom w:val="nil"/>
          <w:right w:val="nil"/>
          <w:between w:val="nil"/>
        </w:pBdr>
        <w:spacing w:after="0" w:line="240" w:lineRule="auto"/>
        <w:jc w:val="both"/>
        <w:rPr>
          <w:b/>
          <w:bCs/>
        </w:rPr>
      </w:pPr>
      <w:r w:rsidRPr="00E14773">
        <w:rPr>
          <w:b/>
          <w:bCs/>
        </w:rPr>
        <w:t>Morbidity and Mortality</w:t>
      </w:r>
    </w:p>
    <w:p w14:paraId="08BA9ABE" w14:textId="77777777" w:rsidR="00CB2458" w:rsidRPr="00E14773" w:rsidRDefault="00CB2458">
      <w:pPr>
        <w:pBdr>
          <w:top w:val="nil"/>
          <w:left w:val="nil"/>
          <w:bottom w:val="nil"/>
          <w:right w:val="nil"/>
          <w:between w:val="nil"/>
        </w:pBdr>
        <w:spacing w:after="0" w:line="240" w:lineRule="auto"/>
        <w:jc w:val="both"/>
        <w:rPr>
          <w:b/>
          <w:bCs/>
        </w:rPr>
      </w:pPr>
    </w:p>
    <w:p w14:paraId="6F75BA45" w14:textId="0F5E22E3" w:rsidR="002F2CB9" w:rsidRPr="00DB079A" w:rsidRDefault="00A47FE5">
      <w:pPr>
        <w:pBdr>
          <w:top w:val="nil"/>
          <w:left w:val="nil"/>
          <w:bottom w:val="nil"/>
          <w:right w:val="nil"/>
          <w:between w:val="nil"/>
        </w:pBdr>
        <w:spacing w:after="0" w:line="240" w:lineRule="auto"/>
        <w:jc w:val="both"/>
      </w:pPr>
      <w:r>
        <w:t xml:space="preserve">These patients </w:t>
      </w:r>
      <w:r w:rsidR="00216550">
        <w:t>often</w:t>
      </w:r>
      <w:r w:rsidR="00216550">
        <w:rPr>
          <w:color w:val="000000"/>
        </w:rPr>
        <w:t xml:space="preserve"> suffer</w:t>
      </w:r>
      <w:r w:rsidR="00216550" w:rsidRPr="00DB079A">
        <w:t xml:space="preserve"> from dehydration, malnourishment, growth impairment, compromised immunity, and high infection rates. </w:t>
      </w:r>
      <w:r w:rsidR="00E90CAB">
        <w:t>One</w:t>
      </w:r>
      <w:r w:rsidR="00A26246" w:rsidRPr="00DB079A">
        <w:t xml:space="preserve"> study </w:t>
      </w:r>
      <w:r w:rsidR="00E90CAB">
        <w:t>evaluated</w:t>
      </w:r>
      <w:r w:rsidR="00E90CAB" w:rsidRPr="00DB079A">
        <w:t xml:space="preserve"> </w:t>
      </w:r>
      <w:r w:rsidR="00A26246" w:rsidRPr="00DB079A">
        <w:t xml:space="preserve">175 </w:t>
      </w:r>
      <w:r w:rsidR="00F8294F" w:rsidRPr="00DB079A">
        <w:t xml:space="preserve">premature </w:t>
      </w:r>
      <w:r w:rsidR="00A26246" w:rsidRPr="00DB079A">
        <w:t>neonates divided into two groups</w:t>
      </w:r>
      <w:r w:rsidR="0067152B" w:rsidRPr="00DB079A">
        <w:t xml:space="preserve"> according to the presence o</w:t>
      </w:r>
      <w:r w:rsidR="0067152B" w:rsidRPr="00DB079A">
        <w:rPr>
          <w:rFonts w:asciiTheme="majorHAnsi" w:hAnsiTheme="majorHAnsi" w:cstheme="majorHAnsi"/>
        </w:rPr>
        <w:t>f short bowel syndrome</w:t>
      </w:r>
      <w:r w:rsidR="00CB6F4E">
        <w:rPr>
          <w:rFonts w:asciiTheme="majorHAnsi" w:hAnsiTheme="majorHAnsi" w:cstheme="majorHAnsi"/>
        </w:rPr>
        <w:t xml:space="preserve"> [6]</w:t>
      </w:r>
      <w:r w:rsidR="0067152B" w:rsidRPr="00DB079A">
        <w:rPr>
          <w:rFonts w:asciiTheme="majorHAnsi" w:hAnsiTheme="majorHAnsi" w:cstheme="majorHAnsi"/>
        </w:rPr>
        <w:t xml:space="preserve">. The group with </w:t>
      </w:r>
      <w:r w:rsidR="00E90CAB">
        <w:rPr>
          <w:rFonts w:asciiTheme="majorHAnsi" w:hAnsiTheme="majorHAnsi" w:cstheme="majorHAnsi"/>
        </w:rPr>
        <w:t>short bowel syndrome</w:t>
      </w:r>
      <w:r w:rsidR="0067152B" w:rsidRPr="00DB079A">
        <w:rPr>
          <w:rFonts w:asciiTheme="majorHAnsi" w:hAnsiTheme="majorHAnsi" w:cstheme="majorHAnsi"/>
        </w:rPr>
        <w:t xml:space="preserve"> </w:t>
      </w:r>
      <w:r w:rsidR="00A26246" w:rsidRPr="00DB079A">
        <w:rPr>
          <w:rFonts w:asciiTheme="majorHAnsi" w:hAnsiTheme="majorHAnsi" w:cstheme="majorHAnsi"/>
        </w:rPr>
        <w:t xml:space="preserve">suffered significantly </w:t>
      </w:r>
      <w:r w:rsidR="00176606">
        <w:rPr>
          <w:rFonts w:asciiTheme="majorHAnsi" w:hAnsiTheme="majorHAnsi" w:cstheme="majorHAnsi"/>
        </w:rPr>
        <w:t xml:space="preserve">higher morbidity </w:t>
      </w:r>
      <w:r w:rsidR="00A26246" w:rsidRPr="00DB079A">
        <w:rPr>
          <w:rFonts w:asciiTheme="majorHAnsi" w:hAnsiTheme="majorHAnsi" w:cstheme="majorHAnsi"/>
        </w:rPr>
        <w:t>than the group without</w:t>
      </w:r>
      <w:r w:rsidR="0067152B" w:rsidRPr="00DB079A">
        <w:rPr>
          <w:rFonts w:asciiTheme="majorHAnsi" w:hAnsiTheme="majorHAnsi" w:cstheme="majorHAnsi"/>
        </w:rPr>
        <w:t xml:space="preserve"> it</w:t>
      </w:r>
      <w:r w:rsidR="00A26246" w:rsidRPr="00DB079A">
        <w:rPr>
          <w:rFonts w:asciiTheme="majorHAnsi" w:hAnsiTheme="majorHAnsi" w:cstheme="majorHAnsi"/>
        </w:rPr>
        <w:t xml:space="preserve"> in all </w:t>
      </w:r>
      <w:r w:rsidR="00E12958" w:rsidRPr="00DB079A">
        <w:rPr>
          <w:rFonts w:asciiTheme="majorHAnsi" w:hAnsiTheme="majorHAnsi" w:cstheme="majorHAnsi"/>
        </w:rPr>
        <w:t>investigated variables</w:t>
      </w:r>
      <w:r w:rsidR="00A26246" w:rsidRPr="00DB079A">
        <w:rPr>
          <w:rFonts w:asciiTheme="majorHAnsi" w:hAnsiTheme="majorHAnsi" w:cstheme="majorHAnsi"/>
        </w:rPr>
        <w:t xml:space="preserve"> (</w:t>
      </w:r>
      <w:r w:rsidR="00E12958" w:rsidRPr="00DB079A">
        <w:rPr>
          <w:rFonts w:asciiTheme="majorHAnsi" w:hAnsiTheme="majorHAnsi" w:cstheme="majorHAnsi"/>
        </w:rPr>
        <w:t xml:space="preserve">septic events, </w:t>
      </w:r>
      <w:r w:rsidR="00A26246" w:rsidRPr="00DB079A">
        <w:rPr>
          <w:rFonts w:asciiTheme="majorHAnsi" w:hAnsiTheme="majorHAnsi" w:cstheme="majorHAnsi"/>
        </w:rPr>
        <w:t>surgical complications,</w:t>
      </w:r>
      <w:r w:rsidR="00E12958" w:rsidRPr="00DB079A">
        <w:rPr>
          <w:rFonts w:asciiTheme="majorHAnsi" w:hAnsiTheme="majorHAnsi" w:cstheme="majorHAnsi"/>
        </w:rPr>
        <w:t xml:space="preserve"> </w:t>
      </w:r>
      <w:r w:rsidR="00A26246" w:rsidRPr="00DB079A">
        <w:rPr>
          <w:rFonts w:asciiTheme="majorHAnsi" w:hAnsiTheme="majorHAnsi" w:cstheme="majorHAnsi"/>
        </w:rPr>
        <w:t xml:space="preserve">central venous line complications, cholestasis and liver failure, </w:t>
      </w:r>
      <w:r w:rsidR="00E12958" w:rsidRPr="00DB079A">
        <w:rPr>
          <w:rFonts w:asciiTheme="majorHAnsi" w:hAnsiTheme="majorHAnsi" w:cstheme="majorHAnsi"/>
        </w:rPr>
        <w:t xml:space="preserve">duration to adaptation and parenteral nutrition independence, </w:t>
      </w:r>
      <w:r w:rsidR="00A26246" w:rsidRPr="00DB079A">
        <w:rPr>
          <w:rFonts w:asciiTheme="majorHAnsi" w:hAnsiTheme="majorHAnsi" w:cstheme="majorHAnsi"/>
        </w:rPr>
        <w:t xml:space="preserve">and </w:t>
      </w:r>
      <w:r w:rsidR="00456C41" w:rsidRPr="00DB079A">
        <w:rPr>
          <w:rFonts w:asciiTheme="majorHAnsi" w:hAnsiTheme="majorHAnsi" w:cstheme="majorHAnsi"/>
        </w:rPr>
        <w:t>length</w:t>
      </w:r>
      <w:r w:rsidR="00A26246" w:rsidRPr="00DB079A">
        <w:rPr>
          <w:rFonts w:asciiTheme="majorHAnsi" w:hAnsiTheme="majorHAnsi" w:cstheme="majorHAnsi"/>
        </w:rPr>
        <w:t xml:space="preserve"> of hospitali</w:t>
      </w:r>
      <w:r w:rsidR="00456C41" w:rsidRPr="00DB079A">
        <w:rPr>
          <w:rFonts w:asciiTheme="majorHAnsi" w:hAnsiTheme="majorHAnsi" w:cstheme="majorHAnsi"/>
        </w:rPr>
        <w:t>s</w:t>
      </w:r>
      <w:r w:rsidR="00A26246" w:rsidRPr="00DB079A">
        <w:rPr>
          <w:rFonts w:asciiTheme="majorHAnsi" w:hAnsiTheme="majorHAnsi" w:cstheme="majorHAnsi"/>
        </w:rPr>
        <w:t>ation). The case fatality rate was 3</w:t>
      </w:r>
      <w:r w:rsidR="00456C41" w:rsidRPr="00DB079A">
        <w:rPr>
          <w:rFonts w:asciiTheme="majorHAnsi" w:hAnsiTheme="majorHAnsi" w:cstheme="majorHAnsi"/>
        </w:rPr>
        <w:t>8</w:t>
      </w:r>
      <w:r w:rsidR="00A26246" w:rsidRPr="00DB079A">
        <w:rPr>
          <w:rFonts w:asciiTheme="majorHAnsi" w:hAnsiTheme="majorHAnsi" w:cstheme="majorHAnsi"/>
        </w:rPr>
        <w:t xml:space="preserve">% in patients with </w:t>
      </w:r>
      <w:r w:rsidR="004728CB" w:rsidRPr="00DB079A">
        <w:rPr>
          <w:rFonts w:asciiTheme="majorHAnsi" w:hAnsiTheme="majorHAnsi" w:cstheme="majorHAnsi"/>
        </w:rPr>
        <w:t>short bowel syndrome</w:t>
      </w:r>
      <w:r w:rsidR="00A26246" w:rsidRPr="00DB079A">
        <w:rPr>
          <w:rFonts w:asciiTheme="majorHAnsi" w:hAnsiTheme="majorHAnsi" w:cstheme="majorHAnsi"/>
        </w:rPr>
        <w:t xml:space="preserve"> vs 13% in patients without </w:t>
      </w:r>
      <w:r w:rsidR="004728CB" w:rsidRPr="00DB079A">
        <w:rPr>
          <w:rFonts w:asciiTheme="majorHAnsi" w:hAnsiTheme="majorHAnsi" w:cstheme="majorHAnsi"/>
        </w:rPr>
        <w:t>it</w:t>
      </w:r>
      <w:r w:rsidR="00A26246" w:rsidRPr="00DB079A">
        <w:rPr>
          <w:rFonts w:asciiTheme="majorHAnsi" w:hAnsiTheme="majorHAnsi" w:cstheme="majorHAnsi"/>
        </w:rPr>
        <w:t xml:space="preserve"> (</w:t>
      </w:r>
      <w:r w:rsidR="004728CB" w:rsidRPr="00DB079A">
        <w:rPr>
          <w:rStyle w:val="Emphasis"/>
          <w:rFonts w:asciiTheme="majorHAnsi" w:hAnsiTheme="majorHAnsi" w:cstheme="majorHAnsi"/>
        </w:rPr>
        <w:t>p</w:t>
      </w:r>
      <w:r w:rsidR="00A26246" w:rsidRPr="00DB079A">
        <w:rPr>
          <w:rFonts w:asciiTheme="majorHAnsi" w:hAnsiTheme="majorHAnsi" w:cstheme="majorHAnsi"/>
        </w:rPr>
        <w:t xml:space="preserve"> = .001). </w:t>
      </w:r>
      <w:r w:rsidR="008906D4" w:rsidRPr="00DB079A">
        <w:rPr>
          <w:rFonts w:asciiTheme="majorHAnsi" w:hAnsiTheme="majorHAnsi" w:cstheme="majorHAnsi"/>
        </w:rPr>
        <w:t xml:space="preserve">The two </w:t>
      </w:r>
      <w:r w:rsidR="00447914" w:rsidRPr="00DB079A">
        <w:rPr>
          <w:rFonts w:asciiTheme="majorHAnsi" w:hAnsiTheme="majorHAnsi" w:cstheme="majorHAnsi"/>
        </w:rPr>
        <w:t>leading</w:t>
      </w:r>
      <w:r w:rsidR="008906D4" w:rsidRPr="00DB079A">
        <w:rPr>
          <w:rFonts w:asciiTheme="majorHAnsi" w:hAnsiTheme="majorHAnsi" w:cstheme="majorHAnsi"/>
        </w:rPr>
        <w:t xml:space="preserve"> causes of death were </w:t>
      </w:r>
      <w:r w:rsidR="00A26246" w:rsidRPr="00DB079A">
        <w:rPr>
          <w:rFonts w:asciiTheme="majorHAnsi" w:hAnsiTheme="majorHAnsi" w:cstheme="majorHAnsi"/>
        </w:rPr>
        <w:t xml:space="preserve">liver failure </w:t>
      </w:r>
      <w:r w:rsidR="008906D4" w:rsidRPr="00DB079A">
        <w:rPr>
          <w:rFonts w:asciiTheme="majorHAnsi" w:hAnsiTheme="majorHAnsi" w:cstheme="majorHAnsi"/>
        </w:rPr>
        <w:t>and</w:t>
      </w:r>
      <w:r w:rsidR="00A26246" w:rsidRPr="00DB079A">
        <w:rPr>
          <w:rFonts w:asciiTheme="majorHAnsi" w:hAnsiTheme="majorHAnsi" w:cstheme="majorHAnsi"/>
        </w:rPr>
        <w:t xml:space="preserve"> sepsis.</w:t>
      </w:r>
      <w:r w:rsidR="000518A4">
        <w:rPr>
          <w:rFonts w:asciiTheme="majorHAnsi" w:hAnsiTheme="majorHAnsi" w:cstheme="majorHAnsi"/>
        </w:rPr>
        <w:t xml:space="preserve"> These indicators refer to patients who under</w:t>
      </w:r>
      <w:r w:rsidR="00EA0D56">
        <w:rPr>
          <w:rFonts w:asciiTheme="majorHAnsi" w:hAnsiTheme="majorHAnsi" w:cstheme="majorHAnsi"/>
        </w:rPr>
        <w:t xml:space="preserve">went the traditional parenteral nutrition approach, as chyme recycling has </w:t>
      </w:r>
      <w:r w:rsidR="00176606">
        <w:rPr>
          <w:rFonts w:asciiTheme="majorHAnsi" w:hAnsiTheme="majorHAnsi" w:cstheme="majorHAnsi"/>
        </w:rPr>
        <w:t xml:space="preserve">only </w:t>
      </w:r>
      <w:r w:rsidR="00EA0D56">
        <w:rPr>
          <w:rFonts w:asciiTheme="majorHAnsi" w:hAnsiTheme="majorHAnsi" w:cstheme="majorHAnsi"/>
        </w:rPr>
        <w:t>been proposed more recently.</w:t>
      </w:r>
    </w:p>
    <w:p w14:paraId="1CFAB0B7" w14:textId="4D528C78" w:rsidR="002F2CB9" w:rsidRDefault="002F2CB9" w:rsidP="00414D96">
      <w:pPr>
        <w:pBdr>
          <w:top w:val="nil"/>
          <w:left w:val="nil"/>
          <w:bottom w:val="nil"/>
          <w:right w:val="nil"/>
          <w:between w:val="nil"/>
        </w:pBdr>
        <w:spacing w:after="0" w:line="240" w:lineRule="auto"/>
        <w:jc w:val="both"/>
      </w:pPr>
    </w:p>
    <w:p w14:paraId="72E3A3B8" w14:textId="77777777" w:rsidR="00EA0D56" w:rsidRPr="00DB079A" w:rsidRDefault="00EA0D56" w:rsidP="00414D96">
      <w:pPr>
        <w:pBdr>
          <w:top w:val="nil"/>
          <w:left w:val="nil"/>
          <w:bottom w:val="nil"/>
          <w:right w:val="nil"/>
          <w:between w:val="nil"/>
        </w:pBdr>
        <w:spacing w:after="0" w:line="240" w:lineRule="auto"/>
        <w:jc w:val="both"/>
      </w:pPr>
    </w:p>
    <w:p w14:paraId="14C67D4A" w14:textId="049D8EFF" w:rsidR="002F2CB9" w:rsidRPr="00E14773" w:rsidRDefault="00E14773">
      <w:pPr>
        <w:pBdr>
          <w:top w:val="nil"/>
          <w:left w:val="nil"/>
          <w:bottom w:val="nil"/>
          <w:right w:val="nil"/>
          <w:between w:val="nil"/>
        </w:pBdr>
        <w:spacing w:after="0" w:line="240" w:lineRule="auto"/>
        <w:jc w:val="both"/>
        <w:rPr>
          <w:b/>
          <w:bCs/>
          <w:color w:val="000000"/>
        </w:rPr>
      </w:pPr>
      <w:r w:rsidRPr="00E14773">
        <w:rPr>
          <w:b/>
          <w:bCs/>
          <w:color w:val="000000"/>
        </w:rPr>
        <w:t>Distal stoma atrophy</w:t>
      </w:r>
    </w:p>
    <w:p w14:paraId="376E9F70" w14:textId="77777777" w:rsidR="00E14773" w:rsidRDefault="00E14773">
      <w:pPr>
        <w:pBdr>
          <w:top w:val="nil"/>
          <w:left w:val="nil"/>
          <w:bottom w:val="nil"/>
          <w:right w:val="nil"/>
          <w:between w:val="nil"/>
        </w:pBdr>
        <w:spacing w:after="0" w:line="240" w:lineRule="auto"/>
        <w:jc w:val="both"/>
        <w:rPr>
          <w:color w:val="000000"/>
        </w:rPr>
      </w:pPr>
    </w:p>
    <w:p w14:paraId="1663930A" w14:textId="1B0A735E" w:rsidR="002F2CB9" w:rsidRDefault="00E14773">
      <w:pPr>
        <w:pBdr>
          <w:top w:val="nil"/>
          <w:left w:val="nil"/>
          <w:bottom w:val="nil"/>
          <w:right w:val="nil"/>
          <w:between w:val="nil"/>
        </w:pBdr>
        <w:spacing w:after="0" w:line="240" w:lineRule="auto"/>
        <w:jc w:val="both"/>
        <w:rPr>
          <w:color w:val="000000"/>
        </w:rPr>
      </w:pPr>
      <w:r>
        <w:rPr>
          <w:color w:val="000000"/>
        </w:rPr>
        <w:t>Due to the absence of chyme flow</w:t>
      </w:r>
      <w:r w:rsidR="00E90CAB">
        <w:rPr>
          <w:color w:val="000000"/>
        </w:rPr>
        <w:t>,</w:t>
      </w:r>
      <w:r>
        <w:rPr>
          <w:color w:val="000000"/>
        </w:rPr>
        <w:t xml:space="preserve"> </w:t>
      </w:r>
      <w:r w:rsidR="001B3664">
        <w:rPr>
          <w:color w:val="000000"/>
        </w:rPr>
        <w:t xml:space="preserve">which plays a </w:t>
      </w:r>
      <w:r w:rsidR="00447914">
        <w:rPr>
          <w:color w:val="000000"/>
        </w:rPr>
        <w:t>significant</w:t>
      </w:r>
      <w:r w:rsidR="001B3664">
        <w:rPr>
          <w:color w:val="000000"/>
        </w:rPr>
        <w:t xml:space="preserve"> role in the nutrition of </w:t>
      </w:r>
      <w:r w:rsidR="00A76CC5">
        <w:rPr>
          <w:color w:val="000000"/>
        </w:rPr>
        <w:t>the</w:t>
      </w:r>
      <w:r w:rsidR="00176606">
        <w:rPr>
          <w:color w:val="000000"/>
        </w:rPr>
        <w:t xml:space="preserve"> </w:t>
      </w:r>
      <w:r w:rsidR="005074FD">
        <w:rPr>
          <w:color w:val="000000"/>
        </w:rPr>
        <w:t xml:space="preserve">bowel’s </w:t>
      </w:r>
      <w:r w:rsidR="00A76CC5">
        <w:rPr>
          <w:color w:val="000000"/>
        </w:rPr>
        <w:t>inner layers</w:t>
      </w:r>
      <w:r w:rsidR="00176606">
        <w:rPr>
          <w:color w:val="000000"/>
        </w:rPr>
        <w:t>,</w:t>
      </w:r>
      <w:r w:rsidR="00A76CC5">
        <w:rPr>
          <w:color w:val="000000"/>
        </w:rPr>
        <w:t xml:space="preserve"> </w:t>
      </w:r>
      <w:r>
        <w:rPr>
          <w:color w:val="000000"/>
        </w:rPr>
        <w:t xml:space="preserve">most patients </w:t>
      </w:r>
      <w:r w:rsidR="00E90CAB">
        <w:rPr>
          <w:color w:val="000000"/>
        </w:rPr>
        <w:t xml:space="preserve">develop </w:t>
      </w:r>
      <w:r w:rsidR="00CB29BA">
        <w:rPr>
          <w:color w:val="000000"/>
        </w:rPr>
        <w:t xml:space="preserve">distal </w:t>
      </w:r>
      <w:r w:rsidR="00216550">
        <w:rPr>
          <w:color w:val="000000"/>
        </w:rPr>
        <w:t>gut atrophy</w:t>
      </w:r>
      <w:r w:rsidR="00CB29BA">
        <w:rPr>
          <w:color w:val="000000"/>
        </w:rPr>
        <w:t>, which</w:t>
      </w:r>
      <w:r w:rsidR="00216550">
        <w:rPr>
          <w:color w:val="000000"/>
        </w:rPr>
        <w:t xml:space="preserve"> </w:t>
      </w:r>
      <w:r w:rsidR="00216550">
        <w:t xml:space="preserve">imposes a technical challenge </w:t>
      </w:r>
      <w:r w:rsidR="00216550">
        <w:rPr>
          <w:color w:val="000000"/>
        </w:rPr>
        <w:t xml:space="preserve">at reversal. </w:t>
      </w:r>
      <w:r w:rsidR="00EB6E05">
        <w:rPr>
          <w:color w:val="000000"/>
        </w:rPr>
        <w:t xml:space="preserve">A study with </w:t>
      </w:r>
      <w:r w:rsidR="006548A6">
        <w:rPr>
          <w:color w:val="000000"/>
        </w:rPr>
        <w:t>68 neonate</w:t>
      </w:r>
      <w:r w:rsidR="0045439C">
        <w:rPr>
          <w:color w:val="000000"/>
        </w:rPr>
        <w:t>s</w:t>
      </w:r>
      <w:r w:rsidR="006548A6">
        <w:rPr>
          <w:color w:val="000000"/>
        </w:rPr>
        <w:t xml:space="preserve"> showed distal stoma </w:t>
      </w:r>
      <w:r w:rsidR="0045439C">
        <w:rPr>
          <w:color w:val="000000"/>
        </w:rPr>
        <w:t>stricture</w:t>
      </w:r>
      <w:r w:rsidR="006548A6">
        <w:rPr>
          <w:color w:val="000000"/>
        </w:rPr>
        <w:t xml:space="preserve"> led to complications</w:t>
      </w:r>
      <w:r w:rsidR="000506BE">
        <w:rPr>
          <w:color w:val="000000"/>
        </w:rPr>
        <w:t xml:space="preserve"> requiring further resection in 40% of</w:t>
      </w:r>
      <w:r w:rsidR="0045439C">
        <w:rPr>
          <w:color w:val="000000"/>
        </w:rPr>
        <w:t xml:space="preserve"> the surviving</w:t>
      </w:r>
      <w:r w:rsidR="000506BE">
        <w:rPr>
          <w:color w:val="000000"/>
        </w:rPr>
        <w:t xml:space="preserve"> individuals, </w:t>
      </w:r>
      <w:r w:rsidR="0045439C">
        <w:rPr>
          <w:color w:val="000000"/>
        </w:rPr>
        <w:t>alongside an additional 12% who required surgical anastomotic revision</w:t>
      </w:r>
      <w:r w:rsidR="005C4ACC">
        <w:rPr>
          <w:color w:val="000000"/>
        </w:rPr>
        <w:t xml:space="preserve"> [</w:t>
      </w:r>
      <w:r w:rsidR="00B82F66">
        <w:rPr>
          <w:color w:val="000000"/>
        </w:rPr>
        <w:t>21]</w:t>
      </w:r>
      <w:r w:rsidR="0045439C">
        <w:rPr>
          <w:color w:val="000000"/>
        </w:rPr>
        <w:t>.</w:t>
      </w:r>
      <w:r w:rsidR="00EA0D56">
        <w:rPr>
          <w:color w:val="000000"/>
        </w:rPr>
        <w:t xml:space="preserve"> This complication is less frequent in patients who underwent chyme recycling</w:t>
      </w:r>
      <w:r w:rsidR="00176606">
        <w:rPr>
          <w:color w:val="000000"/>
        </w:rPr>
        <w:t xml:space="preserve"> than in recipients who had their enteral content discarded</w:t>
      </w:r>
      <w:r w:rsidR="00EA0D56">
        <w:rPr>
          <w:color w:val="000000"/>
        </w:rPr>
        <w:t xml:space="preserve"> [20].</w:t>
      </w:r>
    </w:p>
    <w:p w14:paraId="4FDA11D5" w14:textId="1F6B15C5" w:rsidR="002F2CB9" w:rsidRDefault="002F2CB9" w:rsidP="00414D96">
      <w:pPr>
        <w:pBdr>
          <w:top w:val="nil"/>
          <w:left w:val="nil"/>
          <w:bottom w:val="nil"/>
          <w:right w:val="nil"/>
          <w:between w:val="nil"/>
        </w:pBdr>
        <w:spacing w:after="0" w:line="240" w:lineRule="auto"/>
        <w:jc w:val="both"/>
        <w:rPr>
          <w:color w:val="000000"/>
        </w:rPr>
      </w:pPr>
    </w:p>
    <w:p w14:paraId="6A2EF89C" w14:textId="77777777" w:rsidR="00EA0D56" w:rsidRDefault="00EA0D56" w:rsidP="00414D96">
      <w:pPr>
        <w:pBdr>
          <w:top w:val="nil"/>
          <w:left w:val="nil"/>
          <w:bottom w:val="nil"/>
          <w:right w:val="nil"/>
          <w:between w:val="nil"/>
        </w:pBdr>
        <w:spacing w:after="0" w:line="240" w:lineRule="auto"/>
        <w:jc w:val="both"/>
        <w:rPr>
          <w:color w:val="000000"/>
        </w:rPr>
      </w:pPr>
    </w:p>
    <w:p w14:paraId="2F8BB7B4" w14:textId="10E46D97" w:rsidR="00CB29BA" w:rsidRPr="00760545" w:rsidRDefault="00760545">
      <w:pPr>
        <w:pBdr>
          <w:top w:val="nil"/>
          <w:left w:val="nil"/>
          <w:bottom w:val="nil"/>
          <w:right w:val="nil"/>
          <w:between w:val="nil"/>
        </w:pBdr>
        <w:spacing w:after="0" w:line="240" w:lineRule="auto"/>
        <w:jc w:val="both"/>
        <w:rPr>
          <w:b/>
          <w:bCs/>
        </w:rPr>
      </w:pPr>
      <w:r w:rsidRPr="00760545">
        <w:rPr>
          <w:b/>
          <w:bCs/>
        </w:rPr>
        <w:lastRenderedPageBreak/>
        <w:t xml:space="preserve">Lengthy </w:t>
      </w:r>
      <w:r w:rsidR="003F53DE">
        <w:rPr>
          <w:b/>
          <w:bCs/>
        </w:rPr>
        <w:t xml:space="preserve">and expensive </w:t>
      </w:r>
      <w:r w:rsidRPr="00760545">
        <w:rPr>
          <w:b/>
          <w:bCs/>
        </w:rPr>
        <w:t>stays</w:t>
      </w:r>
    </w:p>
    <w:p w14:paraId="625A2562" w14:textId="77777777" w:rsidR="00CB29BA" w:rsidRDefault="00CB29BA">
      <w:pPr>
        <w:pBdr>
          <w:top w:val="nil"/>
          <w:left w:val="nil"/>
          <w:bottom w:val="nil"/>
          <w:right w:val="nil"/>
          <w:between w:val="nil"/>
        </w:pBdr>
        <w:spacing w:after="0" w:line="240" w:lineRule="auto"/>
        <w:jc w:val="both"/>
      </w:pPr>
    </w:p>
    <w:p w14:paraId="6F0E85FC" w14:textId="599B76B3" w:rsidR="00BB7A2B" w:rsidRDefault="00216550">
      <w:pPr>
        <w:pBdr>
          <w:top w:val="nil"/>
          <w:left w:val="nil"/>
          <w:bottom w:val="nil"/>
          <w:right w:val="nil"/>
          <w:between w:val="nil"/>
        </w:pBdr>
        <w:spacing w:after="0" w:line="240" w:lineRule="auto"/>
        <w:jc w:val="both"/>
        <w:rPr>
          <w:color w:val="000000"/>
        </w:rPr>
      </w:pPr>
      <w:r>
        <w:t xml:space="preserve">The prolonged use of </w:t>
      </w:r>
      <w:r>
        <w:rPr>
          <w:color w:val="000000"/>
        </w:rPr>
        <w:t>parenteral (</w:t>
      </w:r>
      <w:r w:rsidR="001B49DA" w:rsidRPr="006A06D3">
        <w:rPr>
          <w:rFonts w:asciiTheme="majorHAnsi" w:hAnsiTheme="majorHAnsi" w:cstheme="majorHAnsi"/>
          <w:color w:val="000000"/>
        </w:rPr>
        <w:t>intravenous</w:t>
      </w:r>
      <w:r w:rsidRPr="006A06D3">
        <w:rPr>
          <w:rFonts w:asciiTheme="majorHAnsi" w:hAnsiTheme="majorHAnsi" w:cstheme="majorHAnsi"/>
          <w:color w:val="000000"/>
        </w:rPr>
        <w:t xml:space="preserve">) nutrition </w:t>
      </w:r>
      <w:r w:rsidRPr="006A06D3">
        <w:rPr>
          <w:rFonts w:asciiTheme="majorHAnsi" w:hAnsiTheme="majorHAnsi" w:cstheme="majorHAnsi"/>
        </w:rPr>
        <w:t xml:space="preserve">prolongs the </w:t>
      </w:r>
      <w:r w:rsidR="00963F11" w:rsidRPr="006A06D3">
        <w:rPr>
          <w:rFonts w:asciiTheme="majorHAnsi" w:hAnsiTheme="majorHAnsi" w:cstheme="majorHAnsi"/>
        </w:rPr>
        <w:t xml:space="preserve">average </w:t>
      </w:r>
      <w:r w:rsidRPr="006A06D3">
        <w:rPr>
          <w:rFonts w:asciiTheme="majorHAnsi" w:hAnsiTheme="majorHAnsi" w:cstheme="majorHAnsi"/>
        </w:rPr>
        <w:t>stay and increases its costs</w:t>
      </w:r>
      <w:r w:rsidRPr="006A06D3">
        <w:rPr>
          <w:rFonts w:asciiTheme="majorHAnsi" w:hAnsiTheme="majorHAnsi" w:cstheme="majorHAnsi"/>
          <w:color w:val="000000"/>
        </w:rPr>
        <w:t xml:space="preserve">. </w:t>
      </w:r>
      <w:r w:rsidR="001F2056" w:rsidRPr="006A06D3">
        <w:rPr>
          <w:rFonts w:asciiTheme="majorHAnsi" w:hAnsiTheme="majorHAnsi" w:cstheme="majorHAnsi"/>
          <w:color w:val="000000"/>
        </w:rPr>
        <w:t xml:space="preserve">A study </w:t>
      </w:r>
      <w:r w:rsidR="00F17E34">
        <w:rPr>
          <w:rFonts w:asciiTheme="majorHAnsi" w:hAnsiTheme="majorHAnsi" w:cstheme="majorHAnsi"/>
          <w:color w:val="000000"/>
        </w:rPr>
        <w:t>with 41 neonates in the U</w:t>
      </w:r>
      <w:r w:rsidR="00B14CB8">
        <w:rPr>
          <w:rFonts w:asciiTheme="majorHAnsi" w:hAnsiTheme="majorHAnsi" w:cstheme="majorHAnsi"/>
          <w:color w:val="000000"/>
        </w:rPr>
        <w:t>.S.</w:t>
      </w:r>
      <w:r w:rsidR="00F17E34">
        <w:rPr>
          <w:rFonts w:asciiTheme="majorHAnsi" w:hAnsiTheme="majorHAnsi" w:cstheme="majorHAnsi"/>
          <w:color w:val="000000"/>
        </w:rPr>
        <w:t xml:space="preserve"> </w:t>
      </w:r>
      <w:r w:rsidR="001F2056" w:rsidRPr="006A06D3">
        <w:rPr>
          <w:rFonts w:asciiTheme="majorHAnsi" w:hAnsiTheme="majorHAnsi" w:cstheme="majorHAnsi"/>
          <w:color w:val="000000"/>
        </w:rPr>
        <w:t xml:space="preserve">found </w:t>
      </w:r>
      <w:r w:rsidR="001F2056" w:rsidRPr="006A06D3">
        <w:rPr>
          <w:rFonts w:asciiTheme="majorHAnsi" w:hAnsiTheme="majorHAnsi" w:cstheme="majorHAnsi"/>
          <w:color w:val="212121"/>
          <w:shd w:val="clear" w:color="auto" w:fill="FFFFFF"/>
        </w:rPr>
        <w:t>that the mean</w:t>
      </w:r>
      <w:r w:rsidR="007A6E91" w:rsidRPr="006A06D3">
        <w:rPr>
          <w:rFonts w:asciiTheme="majorHAnsi" w:hAnsiTheme="majorHAnsi" w:cstheme="majorHAnsi"/>
          <w:color w:val="212121"/>
          <w:shd w:val="clear" w:color="auto" w:fill="FFFFFF"/>
        </w:rPr>
        <w:t xml:space="preserve"> </w:t>
      </w:r>
      <w:r w:rsidR="001F2056" w:rsidRPr="006A06D3">
        <w:rPr>
          <w:rFonts w:asciiTheme="majorHAnsi" w:hAnsiTheme="majorHAnsi" w:cstheme="majorHAnsi"/>
          <w:color w:val="212121"/>
          <w:shd w:val="clear" w:color="auto" w:fill="FFFFFF"/>
        </w:rPr>
        <w:t xml:space="preserve">total cost of care for </w:t>
      </w:r>
      <w:r w:rsidR="003F53DE" w:rsidRPr="006A06D3">
        <w:rPr>
          <w:rFonts w:asciiTheme="majorHAnsi" w:hAnsiTheme="majorHAnsi" w:cstheme="majorHAnsi"/>
          <w:color w:val="212121"/>
          <w:shd w:val="clear" w:color="auto" w:fill="FFFFFF"/>
        </w:rPr>
        <w:t>paediatric</w:t>
      </w:r>
      <w:r w:rsidR="001F2056" w:rsidRPr="006A06D3">
        <w:rPr>
          <w:rFonts w:asciiTheme="majorHAnsi" w:hAnsiTheme="majorHAnsi" w:cstheme="majorHAnsi"/>
          <w:color w:val="212121"/>
          <w:shd w:val="clear" w:color="auto" w:fill="FFFFFF"/>
        </w:rPr>
        <w:t xml:space="preserve"> </w:t>
      </w:r>
      <w:r w:rsidR="008E2562" w:rsidRPr="006A06D3">
        <w:rPr>
          <w:rFonts w:asciiTheme="majorHAnsi" w:hAnsiTheme="majorHAnsi" w:cstheme="majorHAnsi"/>
          <w:color w:val="212121"/>
          <w:shd w:val="clear" w:color="auto" w:fill="FFFFFF"/>
        </w:rPr>
        <w:t>short bowel syndrome</w:t>
      </w:r>
      <w:r w:rsidR="001F2056" w:rsidRPr="006A06D3">
        <w:rPr>
          <w:rFonts w:asciiTheme="majorHAnsi" w:hAnsiTheme="majorHAnsi" w:cstheme="majorHAnsi"/>
          <w:color w:val="212121"/>
          <w:shd w:val="clear" w:color="auto" w:fill="FFFFFF"/>
        </w:rPr>
        <w:t xml:space="preserve"> was US$505</w:t>
      </w:r>
      <w:r w:rsidR="008E2562" w:rsidRPr="006A06D3">
        <w:rPr>
          <w:rFonts w:asciiTheme="majorHAnsi" w:hAnsiTheme="majorHAnsi" w:cstheme="majorHAnsi"/>
          <w:color w:val="212121"/>
          <w:shd w:val="clear" w:color="auto" w:fill="FFFFFF"/>
        </w:rPr>
        <w:t>,</w:t>
      </w:r>
      <w:r w:rsidR="001F2056" w:rsidRPr="006A06D3">
        <w:rPr>
          <w:rFonts w:asciiTheme="majorHAnsi" w:hAnsiTheme="majorHAnsi" w:cstheme="majorHAnsi"/>
          <w:color w:val="212121"/>
          <w:shd w:val="clear" w:color="auto" w:fill="FFFFFF"/>
        </w:rPr>
        <w:t>25</w:t>
      </w:r>
      <w:r w:rsidR="008E2562" w:rsidRPr="006A06D3">
        <w:rPr>
          <w:rFonts w:asciiTheme="majorHAnsi" w:hAnsiTheme="majorHAnsi" w:cstheme="majorHAnsi"/>
          <w:color w:val="212121"/>
          <w:shd w:val="clear" w:color="auto" w:fill="FFFFFF"/>
        </w:rPr>
        <w:t>0</w:t>
      </w:r>
      <w:r w:rsidR="001F2056" w:rsidRPr="006A06D3">
        <w:rPr>
          <w:rFonts w:asciiTheme="majorHAnsi" w:hAnsiTheme="majorHAnsi" w:cstheme="majorHAnsi"/>
          <w:color w:val="212121"/>
          <w:shd w:val="clear" w:color="auto" w:fill="FFFFFF"/>
        </w:rPr>
        <w:t xml:space="preserve"> for the first year of care alone</w:t>
      </w:r>
      <w:r w:rsidR="005057A8">
        <w:rPr>
          <w:rFonts w:asciiTheme="majorHAnsi" w:hAnsiTheme="majorHAnsi" w:cstheme="majorHAnsi"/>
          <w:color w:val="212121"/>
          <w:shd w:val="clear" w:color="auto" w:fill="FFFFFF"/>
        </w:rPr>
        <w:t xml:space="preserve"> </w:t>
      </w:r>
      <w:r w:rsidR="00DA5329">
        <w:rPr>
          <w:rFonts w:asciiTheme="majorHAnsi" w:hAnsiTheme="majorHAnsi" w:cstheme="majorHAnsi"/>
          <w:color w:val="212121"/>
          <w:shd w:val="clear" w:color="auto" w:fill="FFFFFF"/>
        </w:rPr>
        <w:t>[22]</w:t>
      </w:r>
      <w:r w:rsidR="001F2056" w:rsidRPr="006A06D3">
        <w:rPr>
          <w:rFonts w:asciiTheme="majorHAnsi" w:hAnsiTheme="majorHAnsi" w:cstheme="majorHAnsi"/>
          <w:color w:val="212121"/>
          <w:shd w:val="clear" w:color="auto" w:fill="FFFFFF"/>
        </w:rPr>
        <w:t>. Inpatient hospitali</w:t>
      </w:r>
      <w:r w:rsidR="00E42FF4" w:rsidRPr="006A06D3">
        <w:rPr>
          <w:rFonts w:asciiTheme="majorHAnsi" w:hAnsiTheme="majorHAnsi" w:cstheme="majorHAnsi"/>
          <w:color w:val="212121"/>
          <w:shd w:val="clear" w:color="auto" w:fill="FFFFFF"/>
        </w:rPr>
        <w:t>s</w:t>
      </w:r>
      <w:r w:rsidR="001F2056" w:rsidRPr="006A06D3">
        <w:rPr>
          <w:rFonts w:asciiTheme="majorHAnsi" w:hAnsiTheme="majorHAnsi" w:cstheme="majorHAnsi"/>
          <w:color w:val="212121"/>
          <w:shd w:val="clear" w:color="auto" w:fill="FFFFFF"/>
        </w:rPr>
        <w:t xml:space="preserve">ation accounted </w:t>
      </w:r>
      <w:r w:rsidR="00C25745">
        <w:rPr>
          <w:rFonts w:asciiTheme="majorHAnsi" w:hAnsiTheme="majorHAnsi" w:cstheme="majorHAnsi"/>
          <w:color w:val="212121"/>
          <w:shd w:val="clear" w:color="auto" w:fill="FFFFFF"/>
        </w:rPr>
        <w:t xml:space="preserve">for </w:t>
      </w:r>
      <w:r w:rsidR="001F2056" w:rsidRPr="006A06D3">
        <w:rPr>
          <w:rFonts w:asciiTheme="majorHAnsi" w:hAnsiTheme="majorHAnsi" w:cstheme="majorHAnsi"/>
          <w:color w:val="212121"/>
          <w:shd w:val="clear" w:color="auto" w:fill="FFFFFF"/>
        </w:rPr>
        <w:t>82% of the total, and this was attribut</w:t>
      </w:r>
      <w:r w:rsidR="00E42FF4" w:rsidRPr="006A06D3">
        <w:rPr>
          <w:rFonts w:asciiTheme="majorHAnsi" w:hAnsiTheme="majorHAnsi" w:cstheme="majorHAnsi"/>
          <w:color w:val="212121"/>
          <w:shd w:val="clear" w:color="auto" w:fill="FFFFFF"/>
        </w:rPr>
        <w:t>ed</w:t>
      </w:r>
      <w:r w:rsidR="001F2056" w:rsidRPr="006A06D3">
        <w:rPr>
          <w:rFonts w:asciiTheme="majorHAnsi" w:hAnsiTheme="majorHAnsi" w:cstheme="majorHAnsi"/>
          <w:color w:val="212121"/>
          <w:shd w:val="clear" w:color="auto" w:fill="FFFFFF"/>
        </w:rPr>
        <w:t xml:space="preserve"> to prolonged </w:t>
      </w:r>
      <w:r w:rsidR="00111513" w:rsidRPr="006A06D3">
        <w:rPr>
          <w:rFonts w:asciiTheme="majorHAnsi" w:hAnsiTheme="majorHAnsi" w:cstheme="majorHAnsi"/>
          <w:color w:val="212121"/>
          <w:shd w:val="clear" w:color="auto" w:fill="FFFFFF"/>
        </w:rPr>
        <w:t>stays</w:t>
      </w:r>
      <w:r w:rsidR="001F2056" w:rsidRPr="006A06D3">
        <w:rPr>
          <w:rFonts w:asciiTheme="majorHAnsi" w:hAnsiTheme="majorHAnsi" w:cstheme="majorHAnsi"/>
          <w:color w:val="212121"/>
          <w:shd w:val="clear" w:color="auto" w:fill="FFFFFF"/>
        </w:rPr>
        <w:t xml:space="preserve"> </w:t>
      </w:r>
      <w:r w:rsidR="00111513" w:rsidRPr="006A06D3">
        <w:rPr>
          <w:rFonts w:asciiTheme="majorHAnsi" w:hAnsiTheme="majorHAnsi" w:cstheme="majorHAnsi"/>
          <w:color w:val="212121"/>
          <w:shd w:val="clear" w:color="auto" w:fill="FFFFFF"/>
        </w:rPr>
        <w:t>in</w:t>
      </w:r>
      <w:r w:rsidR="001F2056" w:rsidRPr="006A06D3">
        <w:rPr>
          <w:rFonts w:asciiTheme="majorHAnsi" w:hAnsiTheme="majorHAnsi" w:cstheme="majorHAnsi"/>
          <w:color w:val="212121"/>
          <w:shd w:val="clear" w:color="auto" w:fill="FFFFFF"/>
        </w:rPr>
        <w:t xml:space="preserve"> intensive care </w:t>
      </w:r>
      <w:r w:rsidR="00111513" w:rsidRPr="006A06D3">
        <w:rPr>
          <w:rFonts w:asciiTheme="majorHAnsi" w:hAnsiTheme="majorHAnsi" w:cstheme="majorHAnsi"/>
          <w:color w:val="212121"/>
          <w:shd w:val="clear" w:color="auto" w:fill="FFFFFF"/>
        </w:rPr>
        <w:t>units</w:t>
      </w:r>
      <w:r w:rsidR="001F2056" w:rsidRPr="006A06D3">
        <w:rPr>
          <w:rFonts w:asciiTheme="majorHAnsi" w:hAnsiTheme="majorHAnsi" w:cstheme="majorHAnsi"/>
          <w:color w:val="212121"/>
          <w:shd w:val="clear" w:color="auto" w:fill="FFFFFF"/>
        </w:rPr>
        <w:t xml:space="preserve">, numerous surgical </w:t>
      </w:r>
      <w:r w:rsidR="00111513" w:rsidRPr="006A06D3">
        <w:rPr>
          <w:rFonts w:asciiTheme="majorHAnsi" w:hAnsiTheme="majorHAnsi" w:cstheme="majorHAnsi"/>
          <w:color w:val="212121"/>
          <w:shd w:val="clear" w:color="auto" w:fill="FFFFFF"/>
        </w:rPr>
        <w:t>interventions</w:t>
      </w:r>
      <w:r w:rsidR="001F2056" w:rsidRPr="006A06D3">
        <w:rPr>
          <w:rFonts w:asciiTheme="majorHAnsi" w:hAnsiTheme="majorHAnsi" w:cstheme="majorHAnsi"/>
          <w:color w:val="212121"/>
          <w:shd w:val="clear" w:color="auto" w:fill="FFFFFF"/>
        </w:rPr>
        <w:t xml:space="preserve">, and multiple readmissions during the first year of diagnosis. Hospital-based costs steadily declined in </w:t>
      </w:r>
      <w:r w:rsidR="00C25745">
        <w:rPr>
          <w:rFonts w:asciiTheme="majorHAnsi" w:hAnsiTheme="majorHAnsi" w:cstheme="majorHAnsi"/>
          <w:color w:val="212121"/>
          <w:shd w:val="clear" w:color="auto" w:fill="FFFFFF"/>
        </w:rPr>
        <w:t xml:space="preserve">the </w:t>
      </w:r>
      <w:r w:rsidR="00312185" w:rsidRPr="006A06D3">
        <w:rPr>
          <w:rFonts w:asciiTheme="majorHAnsi" w:hAnsiTheme="majorHAnsi" w:cstheme="majorHAnsi"/>
          <w:color w:val="212121"/>
          <w:shd w:val="clear" w:color="auto" w:fill="FFFFFF"/>
        </w:rPr>
        <w:t>following year</w:t>
      </w:r>
      <w:r w:rsidR="001F2056" w:rsidRPr="006A06D3">
        <w:rPr>
          <w:rFonts w:asciiTheme="majorHAnsi" w:hAnsiTheme="majorHAnsi" w:cstheme="majorHAnsi"/>
          <w:color w:val="212121"/>
          <w:shd w:val="clear" w:color="auto" w:fill="FFFFFF"/>
        </w:rPr>
        <w:t>s, but</w:t>
      </w:r>
      <w:r w:rsidR="00D77E04" w:rsidRPr="006A06D3">
        <w:rPr>
          <w:rFonts w:asciiTheme="majorHAnsi" w:hAnsiTheme="majorHAnsi" w:cstheme="majorHAnsi"/>
          <w:color w:val="212121"/>
          <w:shd w:val="clear" w:color="auto" w:fill="FFFFFF"/>
        </w:rPr>
        <w:t>, in contrast,</w:t>
      </w:r>
      <w:r w:rsidR="001F2056" w:rsidRPr="006A06D3">
        <w:rPr>
          <w:rFonts w:asciiTheme="majorHAnsi" w:hAnsiTheme="majorHAnsi" w:cstheme="majorHAnsi"/>
          <w:color w:val="212121"/>
          <w:shd w:val="clear" w:color="auto" w:fill="FFFFFF"/>
        </w:rPr>
        <w:t xml:space="preserve"> home-care services, increased </w:t>
      </w:r>
      <w:r w:rsidR="00D77E04" w:rsidRPr="006A06D3">
        <w:rPr>
          <w:rFonts w:asciiTheme="majorHAnsi" w:hAnsiTheme="majorHAnsi" w:cstheme="majorHAnsi"/>
          <w:color w:val="212121"/>
          <w:shd w:val="clear" w:color="auto" w:fill="FFFFFF"/>
        </w:rPr>
        <w:t xml:space="preserve">yearly </w:t>
      </w:r>
      <w:r w:rsidR="001F2056" w:rsidRPr="006A06D3">
        <w:rPr>
          <w:rFonts w:asciiTheme="majorHAnsi" w:hAnsiTheme="majorHAnsi" w:cstheme="majorHAnsi"/>
          <w:color w:val="212121"/>
          <w:shd w:val="clear" w:color="auto" w:fill="FFFFFF"/>
        </w:rPr>
        <w:t xml:space="preserve">for the first </w:t>
      </w:r>
      <w:r w:rsidR="00D77E04" w:rsidRPr="006A06D3">
        <w:rPr>
          <w:rFonts w:asciiTheme="majorHAnsi" w:hAnsiTheme="majorHAnsi" w:cstheme="majorHAnsi"/>
          <w:color w:val="212121"/>
          <w:shd w:val="clear" w:color="auto" w:fill="FFFFFF"/>
        </w:rPr>
        <w:t>five</w:t>
      </w:r>
      <w:r w:rsidR="001F2056" w:rsidRPr="006A06D3">
        <w:rPr>
          <w:rFonts w:asciiTheme="majorHAnsi" w:hAnsiTheme="majorHAnsi" w:cstheme="majorHAnsi"/>
          <w:color w:val="212121"/>
          <w:shd w:val="clear" w:color="auto" w:fill="FFFFFF"/>
        </w:rPr>
        <w:t xml:space="preserve"> y</w:t>
      </w:r>
      <w:r w:rsidR="00D77E04" w:rsidRPr="006A06D3">
        <w:rPr>
          <w:rFonts w:asciiTheme="majorHAnsi" w:hAnsiTheme="majorHAnsi" w:cstheme="majorHAnsi"/>
          <w:color w:val="212121"/>
          <w:shd w:val="clear" w:color="auto" w:fill="FFFFFF"/>
        </w:rPr>
        <w:t>ears</w:t>
      </w:r>
      <w:r w:rsidR="001F2056" w:rsidRPr="006A06D3">
        <w:rPr>
          <w:rFonts w:asciiTheme="majorHAnsi" w:hAnsiTheme="majorHAnsi" w:cstheme="majorHAnsi"/>
          <w:color w:val="212121"/>
          <w:shd w:val="clear" w:color="auto" w:fill="FFFFFF"/>
        </w:rPr>
        <w:t xml:space="preserve"> of diagnosis</w:t>
      </w:r>
      <w:r w:rsidR="000A3842" w:rsidRPr="006A06D3">
        <w:rPr>
          <w:rFonts w:asciiTheme="majorHAnsi" w:hAnsiTheme="majorHAnsi" w:cstheme="majorHAnsi"/>
          <w:color w:val="212121"/>
          <w:shd w:val="clear" w:color="auto" w:fill="FFFFFF"/>
        </w:rPr>
        <w:t>,</w:t>
      </w:r>
      <w:r w:rsidR="001F2056" w:rsidRPr="006A06D3">
        <w:rPr>
          <w:rFonts w:asciiTheme="majorHAnsi" w:hAnsiTheme="majorHAnsi" w:cstheme="majorHAnsi"/>
          <w:color w:val="212121"/>
          <w:shd w:val="clear" w:color="auto" w:fill="FFFFFF"/>
        </w:rPr>
        <w:t xml:space="preserve"> reaching US$</w:t>
      </w:r>
      <w:r w:rsidR="00D77E04" w:rsidRPr="006A06D3">
        <w:rPr>
          <w:rFonts w:asciiTheme="majorHAnsi" w:hAnsiTheme="majorHAnsi" w:cstheme="majorHAnsi"/>
          <w:color w:val="212121"/>
          <w:shd w:val="clear" w:color="auto" w:fill="FFFFFF"/>
        </w:rPr>
        <w:t xml:space="preserve"> </w:t>
      </w:r>
      <w:r w:rsidR="001F2056" w:rsidRPr="006A06D3">
        <w:rPr>
          <w:rFonts w:asciiTheme="majorHAnsi" w:hAnsiTheme="majorHAnsi" w:cstheme="majorHAnsi"/>
          <w:color w:val="212121"/>
          <w:shd w:val="clear" w:color="auto" w:fill="FFFFFF"/>
        </w:rPr>
        <w:t>184</w:t>
      </w:r>
      <w:r w:rsidR="000A3842" w:rsidRPr="006A06D3">
        <w:rPr>
          <w:rFonts w:asciiTheme="majorHAnsi" w:hAnsiTheme="majorHAnsi" w:cstheme="majorHAnsi"/>
          <w:color w:val="212121"/>
          <w:shd w:val="clear" w:color="auto" w:fill="FFFFFF"/>
        </w:rPr>
        <w:t>,</w:t>
      </w:r>
      <w:r w:rsidR="001F2056" w:rsidRPr="006A06D3">
        <w:rPr>
          <w:rFonts w:asciiTheme="majorHAnsi" w:hAnsiTheme="majorHAnsi" w:cstheme="majorHAnsi"/>
          <w:color w:val="212121"/>
          <w:shd w:val="clear" w:color="auto" w:fill="FFFFFF"/>
        </w:rPr>
        <w:t xml:space="preserve">520 for </w:t>
      </w:r>
      <w:r w:rsidR="00D534A5" w:rsidRPr="006A06D3">
        <w:rPr>
          <w:rFonts w:asciiTheme="majorHAnsi" w:hAnsiTheme="majorHAnsi" w:cstheme="majorHAnsi"/>
          <w:color w:val="212121"/>
          <w:shd w:val="clear" w:color="auto" w:fill="FFFFFF"/>
        </w:rPr>
        <w:t>a single</w:t>
      </w:r>
      <w:r w:rsidR="001F2056" w:rsidRPr="006A06D3">
        <w:rPr>
          <w:rFonts w:asciiTheme="majorHAnsi" w:hAnsiTheme="majorHAnsi" w:cstheme="majorHAnsi"/>
          <w:color w:val="212121"/>
          <w:shd w:val="clear" w:color="auto" w:fill="FFFFFF"/>
        </w:rPr>
        <w:t xml:space="preserve"> year of home care. This increasing cost was attribut</w:t>
      </w:r>
      <w:r w:rsidR="000A3842" w:rsidRPr="006A06D3">
        <w:rPr>
          <w:rFonts w:asciiTheme="majorHAnsi" w:hAnsiTheme="majorHAnsi" w:cstheme="majorHAnsi"/>
          <w:color w:val="212121"/>
          <w:shd w:val="clear" w:color="auto" w:fill="FFFFFF"/>
        </w:rPr>
        <w:t>ed</w:t>
      </w:r>
      <w:r w:rsidR="001F2056" w:rsidRPr="006A06D3">
        <w:rPr>
          <w:rFonts w:asciiTheme="majorHAnsi" w:hAnsiTheme="majorHAnsi" w:cstheme="majorHAnsi"/>
          <w:color w:val="212121"/>
          <w:shd w:val="clear" w:color="auto" w:fill="FFFFFF"/>
        </w:rPr>
        <w:t xml:space="preserve"> to </w:t>
      </w:r>
      <w:r w:rsidR="00B14CB8">
        <w:rPr>
          <w:rFonts w:asciiTheme="majorHAnsi" w:hAnsiTheme="majorHAnsi" w:cstheme="majorHAnsi"/>
          <w:color w:val="212121"/>
          <w:shd w:val="clear" w:color="auto" w:fill="FFFFFF"/>
        </w:rPr>
        <w:t>ri</w:t>
      </w:r>
      <w:r w:rsidR="00B14CB8" w:rsidRPr="006A06D3">
        <w:rPr>
          <w:rFonts w:asciiTheme="majorHAnsi" w:hAnsiTheme="majorHAnsi" w:cstheme="majorHAnsi"/>
          <w:color w:val="212121"/>
          <w:shd w:val="clear" w:color="auto" w:fill="FFFFFF"/>
        </w:rPr>
        <w:t xml:space="preserve">sing </w:t>
      </w:r>
      <w:r w:rsidR="001F2056" w:rsidRPr="006A06D3">
        <w:rPr>
          <w:rFonts w:asciiTheme="majorHAnsi" w:hAnsiTheme="majorHAnsi" w:cstheme="majorHAnsi"/>
          <w:color w:val="212121"/>
          <w:shd w:val="clear" w:color="auto" w:fill="FFFFFF"/>
        </w:rPr>
        <w:t xml:space="preserve">complications of parenteral nutrition. </w:t>
      </w:r>
      <w:r w:rsidR="006A06D3" w:rsidRPr="006A06D3">
        <w:rPr>
          <w:rFonts w:asciiTheme="majorHAnsi" w:hAnsiTheme="majorHAnsi" w:cstheme="majorHAnsi"/>
          <w:color w:val="212121"/>
          <w:shd w:val="clear" w:color="auto" w:fill="FFFFFF"/>
        </w:rPr>
        <w:t>T</w:t>
      </w:r>
      <w:r w:rsidR="001F2056" w:rsidRPr="006A06D3">
        <w:rPr>
          <w:rFonts w:asciiTheme="majorHAnsi" w:hAnsiTheme="majorHAnsi" w:cstheme="majorHAnsi"/>
          <w:color w:val="212121"/>
          <w:shd w:val="clear" w:color="auto" w:fill="FFFFFF"/>
        </w:rPr>
        <w:t xml:space="preserve">he mean total cost of care per child over </w:t>
      </w:r>
      <w:r w:rsidR="004A4EE6">
        <w:rPr>
          <w:rFonts w:asciiTheme="majorHAnsi" w:hAnsiTheme="majorHAnsi" w:cstheme="majorHAnsi"/>
          <w:color w:val="212121"/>
          <w:shd w:val="clear" w:color="auto" w:fill="FFFFFF"/>
        </w:rPr>
        <w:t>five</w:t>
      </w:r>
      <w:r w:rsidR="00B14CB8">
        <w:rPr>
          <w:rFonts w:asciiTheme="majorHAnsi" w:hAnsiTheme="majorHAnsi" w:cstheme="majorHAnsi"/>
          <w:color w:val="212121"/>
          <w:shd w:val="clear" w:color="auto" w:fill="FFFFFF"/>
        </w:rPr>
        <w:t xml:space="preserve"> </w:t>
      </w:r>
      <w:r w:rsidR="004A4EE6">
        <w:rPr>
          <w:rFonts w:asciiTheme="majorHAnsi" w:hAnsiTheme="majorHAnsi" w:cstheme="majorHAnsi"/>
          <w:color w:val="212121"/>
          <w:shd w:val="clear" w:color="auto" w:fill="FFFFFF"/>
        </w:rPr>
        <w:t>year</w:t>
      </w:r>
      <w:r w:rsidR="00B14CB8">
        <w:rPr>
          <w:rFonts w:asciiTheme="majorHAnsi" w:hAnsiTheme="majorHAnsi" w:cstheme="majorHAnsi"/>
          <w:color w:val="212121"/>
          <w:shd w:val="clear" w:color="auto" w:fill="FFFFFF"/>
        </w:rPr>
        <w:t>s</w:t>
      </w:r>
      <w:r w:rsidR="001F2056" w:rsidRPr="006A06D3">
        <w:rPr>
          <w:rFonts w:asciiTheme="majorHAnsi" w:hAnsiTheme="majorHAnsi" w:cstheme="majorHAnsi"/>
          <w:color w:val="212121"/>
          <w:shd w:val="clear" w:color="auto" w:fill="FFFFFF"/>
        </w:rPr>
        <w:t xml:space="preserve"> was US$</w:t>
      </w:r>
      <w:r w:rsidR="00D77E04" w:rsidRPr="006A06D3">
        <w:rPr>
          <w:rFonts w:asciiTheme="majorHAnsi" w:hAnsiTheme="majorHAnsi" w:cstheme="majorHAnsi"/>
          <w:color w:val="212121"/>
          <w:shd w:val="clear" w:color="auto" w:fill="FFFFFF"/>
        </w:rPr>
        <w:t xml:space="preserve"> </w:t>
      </w:r>
      <w:r w:rsidR="001F2056" w:rsidRPr="006A06D3">
        <w:rPr>
          <w:rFonts w:asciiTheme="majorHAnsi" w:hAnsiTheme="majorHAnsi" w:cstheme="majorHAnsi"/>
          <w:color w:val="212121"/>
          <w:shd w:val="clear" w:color="auto" w:fill="FFFFFF"/>
        </w:rPr>
        <w:t>1</w:t>
      </w:r>
      <w:r w:rsidR="00D421E2" w:rsidRPr="006A06D3">
        <w:rPr>
          <w:rFonts w:asciiTheme="majorHAnsi" w:hAnsiTheme="majorHAnsi" w:cstheme="majorHAnsi"/>
          <w:color w:val="212121"/>
          <w:shd w:val="clear" w:color="auto" w:fill="FFFFFF"/>
        </w:rPr>
        <w:t>,</w:t>
      </w:r>
      <w:r w:rsidR="001F2056" w:rsidRPr="006A06D3">
        <w:rPr>
          <w:rFonts w:asciiTheme="majorHAnsi" w:hAnsiTheme="majorHAnsi" w:cstheme="majorHAnsi"/>
          <w:color w:val="212121"/>
          <w:shd w:val="clear" w:color="auto" w:fill="FFFFFF"/>
        </w:rPr>
        <w:t>619</w:t>
      </w:r>
      <w:r w:rsidR="00D421E2" w:rsidRPr="006A06D3">
        <w:rPr>
          <w:rFonts w:asciiTheme="majorHAnsi" w:hAnsiTheme="majorHAnsi" w:cstheme="majorHAnsi"/>
          <w:color w:val="212121"/>
          <w:shd w:val="clear" w:color="auto" w:fill="FFFFFF"/>
        </w:rPr>
        <w:t>,</w:t>
      </w:r>
      <w:r w:rsidR="001F2056" w:rsidRPr="006A06D3">
        <w:rPr>
          <w:rFonts w:asciiTheme="majorHAnsi" w:hAnsiTheme="majorHAnsi" w:cstheme="majorHAnsi"/>
          <w:color w:val="212121"/>
          <w:shd w:val="clear" w:color="auto" w:fill="FFFFFF"/>
        </w:rPr>
        <w:t>851.</w:t>
      </w:r>
      <w:r w:rsidR="00EA0D56">
        <w:rPr>
          <w:rFonts w:asciiTheme="majorHAnsi" w:hAnsiTheme="majorHAnsi" w:cstheme="majorHAnsi"/>
          <w:color w:val="212121"/>
          <w:shd w:val="clear" w:color="auto" w:fill="FFFFFF"/>
        </w:rPr>
        <w:t xml:space="preserve"> Chyme recycling has been employed</w:t>
      </w:r>
      <w:r w:rsidR="00176606">
        <w:rPr>
          <w:rFonts w:asciiTheme="majorHAnsi" w:hAnsiTheme="majorHAnsi" w:cstheme="majorHAnsi"/>
          <w:color w:val="212121"/>
          <w:shd w:val="clear" w:color="auto" w:fill="FFFFFF"/>
        </w:rPr>
        <w:t>,</w:t>
      </w:r>
      <w:r w:rsidR="00EA0D56">
        <w:rPr>
          <w:rFonts w:asciiTheme="majorHAnsi" w:hAnsiTheme="majorHAnsi" w:cstheme="majorHAnsi"/>
          <w:color w:val="212121"/>
          <w:shd w:val="clear" w:color="auto" w:fill="FFFFFF"/>
        </w:rPr>
        <w:t xml:space="preserve"> </w:t>
      </w:r>
      <w:r w:rsidR="00176606">
        <w:rPr>
          <w:rFonts w:asciiTheme="majorHAnsi" w:hAnsiTheme="majorHAnsi" w:cstheme="majorHAnsi"/>
          <w:color w:val="212121"/>
          <w:shd w:val="clear" w:color="auto" w:fill="FFFFFF"/>
        </w:rPr>
        <w:t xml:space="preserve">and it has significantly reduced </w:t>
      </w:r>
      <w:r w:rsidR="00EA0D56">
        <w:rPr>
          <w:rFonts w:asciiTheme="majorHAnsi" w:hAnsiTheme="majorHAnsi" w:cstheme="majorHAnsi"/>
          <w:color w:val="212121"/>
          <w:shd w:val="clear" w:color="auto" w:fill="FFFFFF"/>
        </w:rPr>
        <w:t>parenteral nutrition</w:t>
      </w:r>
      <w:r w:rsidR="00176606">
        <w:rPr>
          <w:rFonts w:asciiTheme="majorHAnsi" w:hAnsiTheme="majorHAnsi" w:cstheme="majorHAnsi"/>
          <w:color w:val="212121"/>
          <w:shd w:val="clear" w:color="auto" w:fill="FFFFFF"/>
        </w:rPr>
        <w:t xml:space="preserve"> prescription</w:t>
      </w:r>
      <w:r w:rsidR="00EA0D56">
        <w:rPr>
          <w:rFonts w:asciiTheme="majorHAnsi" w:hAnsiTheme="majorHAnsi" w:cstheme="majorHAnsi"/>
          <w:color w:val="212121"/>
          <w:shd w:val="clear" w:color="auto" w:fill="FFFFFF"/>
        </w:rPr>
        <w:t>, associated costs, and length of stay. However, the currently employed protocols vary widely</w:t>
      </w:r>
      <w:r w:rsidR="00176606">
        <w:rPr>
          <w:rFonts w:asciiTheme="majorHAnsi" w:hAnsiTheme="majorHAnsi" w:cstheme="majorHAnsi"/>
          <w:color w:val="212121"/>
          <w:shd w:val="clear" w:color="auto" w:fill="FFFFFF"/>
        </w:rPr>
        <w:t>,</w:t>
      </w:r>
      <w:r w:rsidR="00EA0D56">
        <w:rPr>
          <w:rFonts w:asciiTheme="majorHAnsi" w:hAnsiTheme="majorHAnsi" w:cstheme="majorHAnsi"/>
          <w:color w:val="212121"/>
          <w:shd w:val="clear" w:color="auto" w:fill="FFFFFF"/>
        </w:rPr>
        <w:t xml:space="preserve"> and some patients do not tolerate the approach, forcing i</w:t>
      </w:r>
      <w:r w:rsidR="0053584F">
        <w:rPr>
          <w:rFonts w:asciiTheme="majorHAnsi" w:hAnsiTheme="majorHAnsi" w:cstheme="majorHAnsi"/>
          <w:color w:val="212121"/>
          <w:shd w:val="clear" w:color="auto" w:fill="FFFFFF"/>
        </w:rPr>
        <w:t>ntensivist</w:t>
      </w:r>
      <w:r w:rsidR="00176606">
        <w:rPr>
          <w:rFonts w:asciiTheme="majorHAnsi" w:hAnsiTheme="majorHAnsi" w:cstheme="majorHAnsi"/>
          <w:color w:val="212121"/>
          <w:shd w:val="clear" w:color="auto" w:fill="FFFFFF"/>
        </w:rPr>
        <w:t>s</w:t>
      </w:r>
      <w:r w:rsidR="0053584F">
        <w:rPr>
          <w:rFonts w:asciiTheme="majorHAnsi" w:hAnsiTheme="majorHAnsi" w:cstheme="majorHAnsi"/>
          <w:color w:val="212121"/>
          <w:shd w:val="clear" w:color="auto" w:fill="FFFFFF"/>
        </w:rPr>
        <w:t xml:space="preserve"> to switch back to</w:t>
      </w:r>
      <w:r w:rsidR="00EA0D56">
        <w:rPr>
          <w:rFonts w:asciiTheme="majorHAnsi" w:hAnsiTheme="majorHAnsi" w:cstheme="majorHAnsi"/>
          <w:color w:val="212121"/>
          <w:shd w:val="clear" w:color="auto" w:fill="FFFFFF"/>
        </w:rPr>
        <w:t xml:space="preserve"> </w:t>
      </w:r>
      <w:r w:rsidR="0053584F">
        <w:rPr>
          <w:rFonts w:asciiTheme="majorHAnsi" w:hAnsiTheme="majorHAnsi" w:cstheme="majorHAnsi"/>
          <w:color w:val="212121"/>
          <w:shd w:val="clear" w:color="auto" w:fill="FFFFFF"/>
        </w:rPr>
        <w:t xml:space="preserve">the </w:t>
      </w:r>
      <w:r w:rsidR="00EA0D56">
        <w:rPr>
          <w:rFonts w:asciiTheme="majorHAnsi" w:hAnsiTheme="majorHAnsi" w:cstheme="majorHAnsi"/>
          <w:color w:val="212121"/>
          <w:shd w:val="clear" w:color="auto" w:fill="FFFFFF"/>
        </w:rPr>
        <w:t>parenteral nu</w:t>
      </w:r>
      <w:r w:rsidR="0053584F">
        <w:rPr>
          <w:rFonts w:asciiTheme="majorHAnsi" w:hAnsiTheme="majorHAnsi" w:cstheme="majorHAnsi"/>
          <w:color w:val="212121"/>
          <w:shd w:val="clear" w:color="auto" w:fill="FFFFFF"/>
        </w:rPr>
        <w:t>trition option.</w:t>
      </w:r>
    </w:p>
    <w:p w14:paraId="34D1CB99" w14:textId="71C350C2" w:rsidR="00BB7A2B" w:rsidRDefault="00BB7A2B" w:rsidP="00414D96">
      <w:pPr>
        <w:spacing w:after="0"/>
      </w:pPr>
    </w:p>
    <w:p w14:paraId="6CFE047B" w14:textId="77777777" w:rsidR="0053584F" w:rsidRDefault="0053584F" w:rsidP="00414D96">
      <w:pPr>
        <w:spacing w:after="0"/>
      </w:pPr>
    </w:p>
    <w:p w14:paraId="6F7C6E11" w14:textId="77777777" w:rsidR="00BB7A2B" w:rsidRDefault="00216550">
      <w:r>
        <w:t xml:space="preserve"> </w:t>
      </w:r>
      <w:r>
        <w:rPr>
          <w:b/>
          <w:sz w:val="28"/>
          <w:szCs w:val="28"/>
          <w:u w:val="single"/>
        </w:rPr>
        <w:t>Study Objectives</w:t>
      </w:r>
    </w:p>
    <w:p w14:paraId="139778F1" w14:textId="77777777" w:rsidR="00BB7A2B" w:rsidRDefault="00216550">
      <w:pPr>
        <w:rPr>
          <w:b/>
          <w:u w:val="single"/>
        </w:rPr>
      </w:pPr>
      <w:r>
        <w:rPr>
          <w:b/>
          <w:u w:val="single"/>
        </w:rPr>
        <w:t xml:space="preserve">Aim </w:t>
      </w:r>
    </w:p>
    <w:p w14:paraId="35076548" w14:textId="40D4CCC9" w:rsidR="00BB7A2B" w:rsidRDefault="00216550">
      <w:pPr>
        <w:jc w:val="both"/>
        <w:rPr>
          <w:b/>
        </w:rPr>
      </w:pPr>
      <w:r>
        <w:rPr>
          <w:b/>
        </w:rPr>
        <w:t xml:space="preserve">To </w:t>
      </w:r>
      <w:r w:rsidR="0053584F">
        <w:rPr>
          <w:b/>
          <w:i/>
        </w:rPr>
        <w:t>d</w:t>
      </w:r>
      <w:r>
        <w:rPr>
          <w:b/>
          <w:i/>
        </w:rPr>
        <w:t>evelop</w:t>
      </w:r>
      <w:r>
        <w:rPr>
          <w:b/>
        </w:rPr>
        <w:t xml:space="preserve"> and </w:t>
      </w:r>
      <w:r w:rsidR="0053584F">
        <w:rPr>
          <w:b/>
          <w:i/>
        </w:rPr>
        <w:t>v</w:t>
      </w:r>
      <w:r>
        <w:rPr>
          <w:b/>
          <w:i/>
        </w:rPr>
        <w:t>alidate</w:t>
      </w:r>
      <w:r>
        <w:rPr>
          <w:b/>
        </w:rPr>
        <w:t xml:space="preserve"> </w:t>
      </w:r>
      <w:r w:rsidR="00B65953">
        <w:rPr>
          <w:b/>
        </w:rPr>
        <w:t>a</w:t>
      </w:r>
      <w:r>
        <w:rPr>
          <w:b/>
        </w:rPr>
        <w:t xml:space="preserve"> stoma </w:t>
      </w:r>
      <w:r w:rsidR="00B65953">
        <w:rPr>
          <w:b/>
        </w:rPr>
        <w:t>refeeding</w:t>
      </w:r>
      <w:r>
        <w:rPr>
          <w:b/>
        </w:rPr>
        <w:t xml:space="preserve"> </w:t>
      </w:r>
      <w:r w:rsidR="0053584F">
        <w:rPr>
          <w:b/>
        </w:rPr>
        <w:t xml:space="preserve">protocol which utilises a novel device </w:t>
      </w:r>
      <w:r>
        <w:rPr>
          <w:b/>
        </w:rPr>
        <w:t>with the ultimate goal</w:t>
      </w:r>
      <w:r w:rsidR="0053584F">
        <w:rPr>
          <w:b/>
        </w:rPr>
        <w:t>s</w:t>
      </w:r>
      <w:r>
        <w:rPr>
          <w:b/>
        </w:rPr>
        <w:t xml:space="preserve"> of enabling patient</w:t>
      </w:r>
      <w:r w:rsidR="005057A8">
        <w:rPr>
          <w:b/>
        </w:rPr>
        <w:t>s</w:t>
      </w:r>
      <w:r w:rsidR="00377FBF">
        <w:rPr>
          <w:b/>
        </w:rPr>
        <w:t xml:space="preserve"> to</w:t>
      </w:r>
      <w:r>
        <w:rPr>
          <w:b/>
        </w:rPr>
        <w:t>:</w:t>
      </w:r>
      <w:r w:rsidR="00377FBF">
        <w:rPr>
          <w:b/>
        </w:rPr>
        <w:t xml:space="preserve"> </w:t>
      </w:r>
      <w:r w:rsidR="005710AE">
        <w:rPr>
          <w:b/>
        </w:rPr>
        <w:t xml:space="preserve"> </w:t>
      </w:r>
      <w:r w:rsidR="00B65953">
        <w:rPr>
          <w:b/>
        </w:rPr>
        <w:t xml:space="preserve">resume enteral nutrition, quit parenteral nutrition, </w:t>
      </w:r>
      <w:r>
        <w:rPr>
          <w:b/>
        </w:rPr>
        <w:t xml:space="preserve">gain </w:t>
      </w:r>
      <w:r w:rsidR="00B65953">
        <w:rPr>
          <w:b/>
        </w:rPr>
        <w:t>weight</w:t>
      </w:r>
      <w:r>
        <w:rPr>
          <w:b/>
        </w:rPr>
        <w:t>, reduc</w:t>
      </w:r>
      <w:r w:rsidR="00B65953">
        <w:rPr>
          <w:b/>
        </w:rPr>
        <w:t>e</w:t>
      </w:r>
      <w:r>
        <w:rPr>
          <w:b/>
        </w:rPr>
        <w:t xml:space="preserve"> </w:t>
      </w:r>
      <w:r w:rsidR="00B65953">
        <w:rPr>
          <w:b/>
        </w:rPr>
        <w:t>distal enterostomy discrepancy in size, thus facilitating the</w:t>
      </w:r>
      <w:r>
        <w:rPr>
          <w:b/>
        </w:rPr>
        <w:t xml:space="preserve"> revers</w:t>
      </w:r>
      <w:r w:rsidR="00B65953">
        <w:rPr>
          <w:b/>
        </w:rPr>
        <w:t>al procedure</w:t>
      </w:r>
      <w:r>
        <w:rPr>
          <w:b/>
        </w:rPr>
        <w:t>.</w:t>
      </w:r>
    </w:p>
    <w:p w14:paraId="2A6ED222" w14:textId="51FA823F" w:rsidR="005057A8" w:rsidRPr="000167DA" w:rsidRDefault="00216550">
      <w:pPr>
        <w:pBdr>
          <w:top w:val="nil"/>
          <w:left w:val="nil"/>
          <w:bottom w:val="nil"/>
          <w:right w:val="nil"/>
          <w:between w:val="nil"/>
        </w:pBdr>
        <w:spacing w:after="0" w:line="240" w:lineRule="auto"/>
        <w:jc w:val="both"/>
        <w:rPr>
          <w:color w:val="000000"/>
        </w:rPr>
      </w:pPr>
      <w:r>
        <w:rPr>
          <w:color w:val="000000"/>
        </w:rPr>
        <w:t xml:space="preserve">The stoma </w:t>
      </w:r>
      <w:r w:rsidR="00B65953">
        <w:rPr>
          <w:color w:val="000000"/>
        </w:rPr>
        <w:t>refeeding</w:t>
      </w:r>
      <w:r>
        <w:rPr>
          <w:color w:val="000000"/>
        </w:rPr>
        <w:t xml:space="preserve"> device is a simple </w:t>
      </w:r>
      <w:r w:rsidR="005057A8">
        <w:rPr>
          <w:color w:val="000000"/>
        </w:rPr>
        <w:t>directional flow appliance, which connects to three standard off</w:t>
      </w:r>
      <w:r w:rsidR="0089061F">
        <w:rPr>
          <w:color w:val="000000"/>
        </w:rPr>
        <w:t>-</w:t>
      </w:r>
      <w:r w:rsidR="005057A8">
        <w:rPr>
          <w:color w:val="000000"/>
        </w:rPr>
        <w:t>the</w:t>
      </w:r>
      <w:r w:rsidR="0089061F">
        <w:rPr>
          <w:color w:val="000000"/>
        </w:rPr>
        <w:t>-</w:t>
      </w:r>
      <w:r w:rsidR="005057A8">
        <w:rPr>
          <w:color w:val="000000"/>
        </w:rPr>
        <w:t>shelf components: i) a</w:t>
      </w:r>
      <w:r w:rsidR="00B14CB8">
        <w:rPr>
          <w:color w:val="000000"/>
        </w:rPr>
        <w:t xml:space="preserve">n ordinary </w:t>
      </w:r>
      <w:r w:rsidR="00B65953">
        <w:rPr>
          <w:color w:val="000000"/>
        </w:rPr>
        <w:t xml:space="preserve">stoma bag </w:t>
      </w:r>
      <w:r w:rsidR="005057A8">
        <w:rPr>
          <w:color w:val="000000"/>
        </w:rPr>
        <w:t xml:space="preserve">on one side; ii) a standard syringe on the other side; iii) coupling to a </w:t>
      </w:r>
      <w:r w:rsidR="00B14CB8">
        <w:rPr>
          <w:color w:val="000000"/>
        </w:rPr>
        <w:t xml:space="preserve">traditional </w:t>
      </w:r>
      <w:r w:rsidR="005057A8">
        <w:rPr>
          <w:color w:val="000000"/>
        </w:rPr>
        <w:t>soft</w:t>
      </w:r>
      <w:r w:rsidR="00E222B2">
        <w:rPr>
          <w:color w:val="000000"/>
        </w:rPr>
        <w:t>,</w:t>
      </w:r>
      <w:r w:rsidR="005057A8">
        <w:rPr>
          <w:color w:val="000000"/>
        </w:rPr>
        <w:t xml:space="preserve"> flexible enteral feeding / nasogastric tube.  The tube </w:t>
      </w:r>
      <w:r w:rsidR="00B65953">
        <w:rPr>
          <w:color w:val="000000"/>
        </w:rPr>
        <w:t>is inserted in the distal enterostomy to allow chyme reinfusion and enteral feeding when appropriate</w:t>
      </w:r>
      <w:r>
        <w:rPr>
          <w:color w:val="000000"/>
        </w:rPr>
        <w:t xml:space="preserve">. </w:t>
      </w:r>
      <w:r w:rsidR="00B65953">
        <w:rPr>
          <w:color w:val="000000"/>
        </w:rPr>
        <w:t xml:space="preserve">The bottom of the </w:t>
      </w:r>
      <w:r w:rsidR="005057A8">
        <w:rPr>
          <w:color w:val="000000"/>
        </w:rPr>
        <w:t xml:space="preserve">device </w:t>
      </w:r>
      <w:r w:rsidR="00B65953">
        <w:rPr>
          <w:color w:val="000000"/>
        </w:rPr>
        <w:t xml:space="preserve">is equipped with a valve that </w:t>
      </w:r>
      <w:r w:rsidR="00B14CB8">
        <w:rPr>
          <w:color w:val="000000"/>
        </w:rPr>
        <w:t>enables</w:t>
      </w:r>
      <w:r w:rsidR="00B65953">
        <w:rPr>
          <w:color w:val="000000"/>
        </w:rPr>
        <w:t xml:space="preserve"> the </w:t>
      </w:r>
      <w:r w:rsidR="005057A8">
        <w:rPr>
          <w:color w:val="000000"/>
        </w:rPr>
        <w:t xml:space="preserve">simple </w:t>
      </w:r>
      <w:r w:rsidR="00B65953">
        <w:rPr>
          <w:color w:val="000000"/>
        </w:rPr>
        <w:t>retrieval of accumulated chyme</w:t>
      </w:r>
      <w:r w:rsidR="005057A8">
        <w:rPr>
          <w:color w:val="000000"/>
        </w:rPr>
        <w:t xml:space="preserve"> from the stoma bag when the syringe is drawn back</w:t>
      </w:r>
      <w:r w:rsidR="00FB407B">
        <w:rPr>
          <w:color w:val="000000"/>
        </w:rPr>
        <w:t>.</w:t>
      </w:r>
      <w:r w:rsidR="00B65953">
        <w:rPr>
          <w:color w:val="000000"/>
        </w:rPr>
        <w:t xml:space="preserve"> </w:t>
      </w:r>
      <w:r w:rsidR="002519E2">
        <w:rPr>
          <w:color w:val="000000"/>
        </w:rPr>
        <w:t xml:space="preserve">Pushing the </w:t>
      </w:r>
      <w:r w:rsidR="00B14CB8">
        <w:rPr>
          <w:color w:val="000000"/>
        </w:rPr>
        <w:t xml:space="preserve">plunger </w:t>
      </w:r>
      <w:r w:rsidR="002519E2">
        <w:rPr>
          <w:color w:val="000000"/>
        </w:rPr>
        <w:t xml:space="preserve">then </w:t>
      </w:r>
      <w:r w:rsidR="000E4576">
        <w:rPr>
          <w:color w:val="000000"/>
        </w:rPr>
        <w:t>re</w:t>
      </w:r>
      <w:r w:rsidR="00B65953">
        <w:rPr>
          <w:color w:val="000000"/>
        </w:rPr>
        <w:t>infus</w:t>
      </w:r>
      <w:r w:rsidR="00B14CB8">
        <w:rPr>
          <w:color w:val="000000"/>
        </w:rPr>
        <w:t>es</w:t>
      </w:r>
      <w:r w:rsidR="00B65953">
        <w:rPr>
          <w:color w:val="000000"/>
        </w:rPr>
        <w:t xml:space="preserve"> </w:t>
      </w:r>
      <w:r w:rsidR="000E4576">
        <w:rPr>
          <w:color w:val="000000"/>
        </w:rPr>
        <w:t>the</w:t>
      </w:r>
      <w:r w:rsidR="00B65953">
        <w:rPr>
          <w:color w:val="000000"/>
        </w:rPr>
        <w:t xml:space="preserve"> content directly to the flexible catheter</w:t>
      </w:r>
      <w:r w:rsidR="005057A8">
        <w:rPr>
          <w:color w:val="000000"/>
        </w:rPr>
        <w:t xml:space="preserve"> and distal limb</w:t>
      </w:r>
      <w:r w:rsidR="00B65953">
        <w:rPr>
          <w:color w:val="000000"/>
        </w:rPr>
        <w:t>, without reflux back to the bag</w:t>
      </w:r>
      <w:r>
        <w:rPr>
          <w:color w:val="000000"/>
        </w:rPr>
        <w:t xml:space="preserve">. </w:t>
      </w:r>
      <w:r w:rsidR="00B14CB8">
        <w:rPr>
          <w:color w:val="000000"/>
        </w:rPr>
        <w:t xml:space="preserve">The use of a pump connected to the syringe may help to control the rate of infusion, thus reducing the likelihood of reflux. </w:t>
      </w:r>
      <w:r w:rsidR="00B65953">
        <w:rPr>
          <w:color w:val="000000"/>
        </w:rPr>
        <w:t xml:space="preserve">This presentation </w:t>
      </w:r>
      <w:r w:rsidR="00785493">
        <w:rPr>
          <w:color w:val="000000"/>
        </w:rPr>
        <w:t xml:space="preserve">with a single access point </w:t>
      </w:r>
      <w:r w:rsidR="002519E2">
        <w:rPr>
          <w:color w:val="000000"/>
        </w:rPr>
        <w:t xml:space="preserve">gives </w:t>
      </w:r>
      <w:r w:rsidR="00785493">
        <w:rPr>
          <w:color w:val="000000"/>
        </w:rPr>
        <w:t xml:space="preserve">the refeeding process </w:t>
      </w:r>
      <w:r w:rsidR="002519E2">
        <w:rPr>
          <w:color w:val="000000"/>
        </w:rPr>
        <w:t xml:space="preserve">a substantially improved clinical workflow, </w:t>
      </w:r>
      <w:r w:rsidR="00785493">
        <w:rPr>
          <w:color w:val="000000"/>
        </w:rPr>
        <w:t xml:space="preserve">while </w:t>
      </w:r>
      <w:r w:rsidR="002519E2">
        <w:rPr>
          <w:color w:val="000000"/>
        </w:rPr>
        <w:t xml:space="preserve">also </w:t>
      </w:r>
      <w:r w:rsidR="00785493">
        <w:rPr>
          <w:color w:val="000000"/>
        </w:rPr>
        <w:t>enabling the use of mechanical pumps to slowly reinfuse chyme into the distal bowel</w:t>
      </w:r>
      <w:r w:rsidR="00483FB8">
        <w:rPr>
          <w:color w:val="000000"/>
        </w:rPr>
        <w:t>.</w:t>
      </w:r>
      <w:r w:rsidR="00785493">
        <w:rPr>
          <w:color w:val="000000"/>
        </w:rPr>
        <w:t xml:space="preserve"> </w:t>
      </w:r>
    </w:p>
    <w:p w14:paraId="68AC2B54" w14:textId="300714E7" w:rsidR="005057A8" w:rsidRDefault="005057A8" w:rsidP="000167DA">
      <w:pPr>
        <w:pBdr>
          <w:top w:val="nil"/>
          <w:left w:val="nil"/>
          <w:bottom w:val="nil"/>
          <w:right w:val="nil"/>
          <w:between w:val="nil"/>
        </w:pBdr>
        <w:spacing w:line="240" w:lineRule="auto"/>
        <w:jc w:val="both"/>
        <w:rPr>
          <w:b/>
          <w:color w:val="000000"/>
        </w:rPr>
      </w:pPr>
    </w:p>
    <w:p w14:paraId="1AB99E2A" w14:textId="2498695C" w:rsidR="005057A8" w:rsidRDefault="002519E2">
      <w:pPr>
        <w:pBdr>
          <w:top w:val="nil"/>
          <w:left w:val="nil"/>
          <w:bottom w:val="nil"/>
          <w:right w:val="nil"/>
          <w:between w:val="nil"/>
        </w:pBdr>
        <w:spacing w:after="0" w:line="240" w:lineRule="auto"/>
        <w:jc w:val="both"/>
        <w:rPr>
          <w:b/>
          <w:color w:val="000000"/>
        </w:rPr>
      </w:pPr>
      <w:r>
        <w:rPr>
          <w:b/>
          <w:noProof/>
          <w:color w:val="000000"/>
        </w:rPr>
        <w:drawing>
          <wp:inline distT="0" distB="0" distL="0" distR="0" wp14:anchorId="060EA679" wp14:editId="1EC0BCB6">
            <wp:extent cx="2770094" cy="2439262"/>
            <wp:effectExtent l="12700" t="12700" r="11430" b="12065"/>
            <wp:docPr id="2" name="Picture 2" descr="A picture containing indoor, table, sitting,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table, sitting, holding&#10;&#10;Description automatically generated"/>
                    <pic:cNvPicPr/>
                  </pic:nvPicPr>
                  <pic:blipFill rotWithShape="1">
                    <a:blip r:embed="rId14">
                      <a:extLst>
                        <a:ext uri="{28A0092B-C50C-407E-A947-70E740481C1C}">
                          <a14:useLocalDpi xmlns:a14="http://schemas.microsoft.com/office/drawing/2010/main" val="0"/>
                        </a:ext>
                      </a:extLst>
                    </a:blip>
                    <a:srcRect l="21212" t="6511" r="27968" b="7464"/>
                    <a:stretch/>
                  </pic:blipFill>
                  <pic:spPr bwMode="auto">
                    <a:xfrm>
                      <a:off x="0" y="0"/>
                      <a:ext cx="2783744" cy="24512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5057A8">
        <w:rPr>
          <w:b/>
          <w:noProof/>
          <w:color w:val="000000"/>
        </w:rPr>
        <w:drawing>
          <wp:inline distT="0" distB="0" distL="0" distR="0" wp14:anchorId="49924F21" wp14:editId="5222DE8E">
            <wp:extent cx="2787390" cy="2449195"/>
            <wp:effectExtent l="12700" t="12700" r="6985" b="14605"/>
            <wp:docPr id="1" name="Picture 1" descr="A picture containing flying, light, remot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ying, light, remote, air&#10;&#10;Description automatically generated"/>
                    <pic:cNvPicPr/>
                  </pic:nvPicPr>
                  <pic:blipFill rotWithShape="1">
                    <a:blip r:embed="rId15">
                      <a:extLst>
                        <a:ext uri="{28A0092B-C50C-407E-A947-70E740481C1C}">
                          <a14:useLocalDpi xmlns:a14="http://schemas.microsoft.com/office/drawing/2010/main" val="0"/>
                        </a:ext>
                      </a:extLst>
                    </a:blip>
                    <a:srcRect l="20738" r="20059"/>
                    <a:stretch/>
                  </pic:blipFill>
                  <pic:spPr bwMode="auto">
                    <a:xfrm>
                      <a:off x="0" y="0"/>
                      <a:ext cx="2819125" cy="24770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A68AD0D" w14:textId="1ACA1879" w:rsidR="00BB7A2B" w:rsidRDefault="00216550">
      <w:pPr>
        <w:pBdr>
          <w:top w:val="nil"/>
          <w:left w:val="nil"/>
          <w:bottom w:val="nil"/>
          <w:right w:val="nil"/>
          <w:between w:val="nil"/>
        </w:pBdr>
        <w:spacing w:after="0" w:line="240" w:lineRule="auto"/>
        <w:rPr>
          <w:color w:val="000000"/>
        </w:rPr>
      </w:pPr>
      <w:r>
        <w:rPr>
          <w:color w:val="000000"/>
        </w:rPr>
        <w:lastRenderedPageBreak/>
        <w:t xml:space="preserve">Figure </w:t>
      </w:r>
      <w:r w:rsidR="001D50ED">
        <w:rPr>
          <w:color w:val="000000"/>
        </w:rPr>
        <w:t>1</w:t>
      </w:r>
      <w:r>
        <w:rPr>
          <w:color w:val="000000"/>
        </w:rPr>
        <w:t xml:space="preserve">. </w:t>
      </w:r>
      <w:bookmarkStart w:id="3" w:name="_Hlk49626499"/>
      <w:r w:rsidR="00B14CB8">
        <w:rPr>
          <w:color w:val="000000"/>
        </w:rPr>
        <w:t>Shows t</w:t>
      </w:r>
      <w:r w:rsidR="002519E2">
        <w:rPr>
          <w:color w:val="000000"/>
        </w:rPr>
        <w:t xml:space="preserve">he directional flow appliance that will be used for chyme reinfusion in the study (left) and connected to a syringe (right).  The device couples to a </w:t>
      </w:r>
      <w:r w:rsidR="00785493">
        <w:rPr>
          <w:color w:val="000000"/>
        </w:rPr>
        <w:t xml:space="preserve">stoma bag </w:t>
      </w:r>
      <w:r w:rsidR="002519E2">
        <w:rPr>
          <w:color w:val="000000"/>
        </w:rPr>
        <w:t xml:space="preserve">and </w:t>
      </w:r>
      <w:r w:rsidR="00176606">
        <w:rPr>
          <w:color w:val="000000"/>
        </w:rPr>
        <w:t xml:space="preserve">a </w:t>
      </w:r>
      <w:r w:rsidR="002519E2">
        <w:rPr>
          <w:color w:val="000000"/>
        </w:rPr>
        <w:t>reinfusion tube (not shown)</w:t>
      </w:r>
      <w:r>
        <w:rPr>
          <w:color w:val="000000"/>
        </w:rPr>
        <w:t>.</w:t>
      </w:r>
      <w:bookmarkEnd w:id="3"/>
    </w:p>
    <w:p w14:paraId="7CC3C268" w14:textId="77777777" w:rsidR="00BB7A2B" w:rsidRDefault="00BB7A2B" w:rsidP="00414D96">
      <w:pPr>
        <w:pBdr>
          <w:top w:val="nil"/>
          <w:left w:val="nil"/>
          <w:bottom w:val="nil"/>
          <w:right w:val="nil"/>
          <w:between w:val="nil"/>
        </w:pBdr>
        <w:spacing w:after="0" w:line="240" w:lineRule="auto"/>
        <w:jc w:val="both"/>
        <w:rPr>
          <w:color w:val="000000"/>
        </w:rPr>
      </w:pPr>
    </w:p>
    <w:p w14:paraId="6422E1AD" w14:textId="77777777" w:rsidR="0053584F" w:rsidRDefault="0053584F">
      <w:pPr>
        <w:pBdr>
          <w:top w:val="nil"/>
          <w:left w:val="nil"/>
          <w:bottom w:val="nil"/>
          <w:right w:val="nil"/>
          <w:between w:val="nil"/>
        </w:pBdr>
        <w:spacing w:after="0" w:line="240" w:lineRule="auto"/>
        <w:jc w:val="both"/>
        <w:rPr>
          <w:b/>
          <w:i/>
          <w:color w:val="000000"/>
        </w:rPr>
      </w:pPr>
    </w:p>
    <w:p w14:paraId="7D060531" w14:textId="16F58603" w:rsidR="00BB7A2B" w:rsidRDefault="00216550">
      <w:pPr>
        <w:pBdr>
          <w:top w:val="nil"/>
          <w:left w:val="nil"/>
          <w:bottom w:val="nil"/>
          <w:right w:val="nil"/>
          <w:between w:val="nil"/>
        </w:pBdr>
        <w:spacing w:after="0" w:line="240" w:lineRule="auto"/>
        <w:jc w:val="both"/>
        <w:rPr>
          <w:b/>
          <w:i/>
          <w:color w:val="000000"/>
        </w:rPr>
      </w:pPr>
      <w:r>
        <w:rPr>
          <w:b/>
          <w:i/>
          <w:color w:val="000000"/>
        </w:rPr>
        <w:t>Prior Research</w:t>
      </w:r>
    </w:p>
    <w:p w14:paraId="6B021AEA" w14:textId="77777777" w:rsidR="00BB7A2B" w:rsidRDefault="00BB7A2B">
      <w:pPr>
        <w:pBdr>
          <w:top w:val="nil"/>
          <w:left w:val="nil"/>
          <w:bottom w:val="nil"/>
          <w:right w:val="nil"/>
          <w:between w:val="nil"/>
        </w:pBdr>
        <w:spacing w:after="0" w:line="240" w:lineRule="auto"/>
        <w:jc w:val="both"/>
        <w:rPr>
          <w:color w:val="000000"/>
        </w:rPr>
      </w:pPr>
    </w:p>
    <w:p w14:paraId="4ACF756C" w14:textId="7AF89D35" w:rsidR="00BB7A2B" w:rsidRDefault="00785493">
      <w:pPr>
        <w:pBdr>
          <w:top w:val="nil"/>
          <w:left w:val="nil"/>
          <w:bottom w:val="nil"/>
          <w:right w:val="nil"/>
          <w:between w:val="nil"/>
        </w:pBdr>
        <w:spacing w:after="0" w:line="240" w:lineRule="auto"/>
        <w:jc w:val="both"/>
        <w:rPr>
          <w:color w:val="000000"/>
        </w:rPr>
      </w:pPr>
      <w:r>
        <w:rPr>
          <w:color w:val="000000"/>
        </w:rPr>
        <w:t>F</w:t>
      </w:r>
      <w:r w:rsidR="00216550">
        <w:rPr>
          <w:color w:val="000000"/>
        </w:rPr>
        <w:t xml:space="preserve">easibility studies </w:t>
      </w:r>
      <w:r w:rsidR="002519E2">
        <w:rPr>
          <w:color w:val="000000"/>
        </w:rPr>
        <w:t xml:space="preserve">by our group </w:t>
      </w:r>
      <w:r w:rsidR="00216550">
        <w:rPr>
          <w:color w:val="000000"/>
        </w:rPr>
        <w:t xml:space="preserve">using </w:t>
      </w:r>
      <w:r>
        <w:rPr>
          <w:color w:val="000000"/>
        </w:rPr>
        <w:t xml:space="preserve">a </w:t>
      </w:r>
      <w:r w:rsidR="002519E2">
        <w:rPr>
          <w:color w:val="000000"/>
        </w:rPr>
        <w:t xml:space="preserve">more complex </w:t>
      </w:r>
      <w:r>
        <w:rPr>
          <w:color w:val="000000"/>
        </w:rPr>
        <w:t>concept in adults</w:t>
      </w:r>
      <w:r w:rsidR="00216550">
        <w:rPr>
          <w:color w:val="000000"/>
        </w:rPr>
        <w:t xml:space="preserve"> </w:t>
      </w:r>
      <w:r>
        <w:rPr>
          <w:color w:val="000000"/>
        </w:rPr>
        <w:t>have been conducted with promising results</w:t>
      </w:r>
      <w:r w:rsidR="004350CD">
        <w:rPr>
          <w:color w:val="000000"/>
        </w:rPr>
        <w:t xml:space="preserve"> [23]</w:t>
      </w:r>
      <w:r>
        <w:rPr>
          <w:color w:val="000000"/>
        </w:rPr>
        <w:t xml:space="preserve">. </w:t>
      </w:r>
      <w:r w:rsidR="00216550">
        <w:rPr>
          <w:color w:val="000000"/>
        </w:rPr>
        <w:t>Benchtop validation showed &gt;</w:t>
      </w:r>
      <w:r w:rsidR="00056E15">
        <w:rPr>
          <w:color w:val="000000"/>
        </w:rPr>
        <w:t xml:space="preserve"> </w:t>
      </w:r>
      <w:r w:rsidR="00216550">
        <w:rPr>
          <w:color w:val="000000"/>
        </w:rPr>
        <w:t xml:space="preserve">95% emptying completion with minimal disruption to the stoma point across a range of fluid viscosities. </w:t>
      </w:r>
      <w:r>
        <w:rPr>
          <w:color w:val="000000"/>
        </w:rPr>
        <w:t xml:space="preserve">The </w:t>
      </w:r>
      <w:r w:rsidR="002519E2">
        <w:rPr>
          <w:color w:val="000000"/>
        </w:rPr>
        <w:t xml:space="preserve">adult </w:t>
      </w:r>
      <w:r>
        <w:rPr>
          <w:color w:val="000000"/>
        </w:rPr>
        <w:t>device</w:t>
      </w:r>
      <w:r w:rsidR="00216550">
        <w:rPr>
          <w:color w:val="000000"/>
        </w:rPr>
        <w:t xml:space="preserve"> works well for patients on liquid, pureed </w:t>
      </w:r>
      <w:r>
        <w:rPr>
          <w:color w:val="000000"/>
        </w:rPr>
        <w:t>and even</w:t>
      </w:r>
      <w:r w:rsidR="00216550">
        <w:rPr>
          <w:color w:val="000000"/>
        </w:rPr>
        <w:t xml:space="preserve"> low-residue diets</w:t>
      </w:r>
      <w:r>
        <w:rPr>
          <w:color w:val="000000"/>
        </w:rPr>
        <w:t>. Neonates usually present liquid or semi-liquid enteric contents</w:t>
      </w:r>
      <w:r w:rsidR="00702560">
        <w:rPr>
          <w:color w:val="000000"/>
        </w:rPr>
        <w:t>;</w:t>
      </w:r>
      <w:r>
        <w:rPr>
          <w:color w:val="000000"/>
        </w:rPr>
        <w:t xml:space="preserve"> therefore</w:t>
      </w:r>
      <w:r w:rsidR="00702560">
        <w:rPr>
          <w:color w:val="000000"/>
        </w:rPr>
        <w:t>,</w:t>
      </w:r>
      <w:r>
        <w:rPr>
          <w:color w:val="000000"/>
        </w:rPr>
        <w:t xml:space="preserve"> issues with </w:t>
      </w:r>
      <w:r w:rsidR="00176606">
        <w:rPr>
          <w:color w:val="000000"/>
        </w:rPr>
        <w:t xml:space="preserve">the </w:t>
      </w:r>
      <w:r w:rsidR="005074FD">
        <w:rPr>
          <w:color w:val="000000"/>
        </w:rPr>
        <w:t xml:space="preserve">system’s </w:t>
      </w:r>
      <w:r w:rsidR="00176606">
        <w:rPr>
          <w:color w:val="000000"/>
        </w:rPr>
        <w:t>clogging</w:t>
      </w:r>
      <w:r>
        <w:rPr>
          <w:color w:val="000000"/>
        </w:rPr>
        <w:t xml:space="preserve"> due to high viscosity enteric contents are unlikely, even with the small calibre of the catheter</w:t>
      </w:r>
      <w:r w:rsidR="002519E2">
        <w:rPr>
          <w:color w:val="000000"/>
        </w:rPr>
        <w:t xml:space="preserve">, meaning that </w:t>
      </w:r>
      <w:r w:rsidR="00176606">
        <w:rPr>
          <w:color w:val="000000"/>
        </w:rPr>
        <w:t xml:space="preserve">the same results can be achieved with </w:t>
      </w:r>
      <w:r w:rsidR="002519E2">
        <w:rPr>
          <w:color w:val="000000"/>
        </w:rPr>
        <w:t>a much simpler device</w:t>
      </w:r>
      <w:r>
        <w:rPr>
          <w:color w:val="000000"/>
        </w:rPr>
        <w:t xml:space="preserve">. </w:t>
      </w:r>
    </w:p>
    <w:p w14:paraId="13D8982A" w14:textId="77777777" w:rsidR="00BB7A2B" w:rsidRDefault="00BB7A2B" w:rsidP="00A52152">
      <w:pPr>
        <w:pBdr>
          <w:top w:val="nil"/>
          <w:left w:val="nil"/>
          <w:bottom w:val="nil"/>
          <w:right w:val="nil"/>
          <w:between w:val="nil"/>
        </w:pBdr>
        <w:spacing w:line="240" w:lineRule="auto"/>
        <w:jc w:val="both"/>
        <w:rPr>
          <w:b/>
          <w:color w:val="000000"/>
        </w:rPr>
      </w:pPr>
    </w:p>
    <w:p w14:paraId="77523442" w14:textId="77777777" w:rsidR="00BB7A2B" w:rsidRDefault="00216550">
      <w:pPr>
        <w:pBdr>
          <w:top w:val="nil"/>
          <w:left w:val="nil"/>
          <w:bottom w:val="nil"/>
          <w:right w:val="nil"/>
          <w:between w:val="nil"/>
        </w:pBdr>
        <w:spacing w:after="0" w:line="240" w:lineRule="auto"/>
        <w:jc w:val="both"/>
        <w:rPr>
          <w:color w:val="000000"/>
        </w:rPr>
      </w:pPr>
      <w:r>
        <w:rPr>
          <w:b/>
          <w:color w:val="000000"/>
          <w:u w:val="single"/>
        </w:rPr>
        <w:t>Hypothesis</w:t>
      </w:r>
    </w:p>
    <w:p w14:paraId="27ABC03D" w14:textId="77777777" w:rsidR="00BB7A2B" w:rsidRDefault="00BB7A2B">
      <w:pPr>
        <w:pBdr>
          <w:top w:val="nil"/>
          <w:left w:val="nil"/>
          <w:bottom w:val="nil"/>
          <w:right w:val="nil"/>
          <w:between w:val="nil"/>
        </w:pBdr>
        <w:spacing w:after="0" w:line="240" w:lineRule="auto"/>
        <w:jc w:val="both"/>
        <w:rPr>
          <w:color w:val="000000"/>
        </w:rPr>
      </w:pPr>
    </w:p>
    <w:p w14:paraId="02FAAC2C" w14:textId="77777777" w:rsidR="00BB7A2B" w:rsidRDefault="00216550">
      <w:pPr>
        <w:pBdr>
          <w:top w:val="nil"/>
          <w:left w:val="nil"/>
          <w:bottom w:val="nil"/>
          <w:right w:val="nil"/>
          <w:between w:val="nil"/>
        </w:pBdr>
        <w:spacing w:after="0" w:line="240" w:lineRule="auto"/>
        <w:jc w:val="both"/>
        <w:rPr>
          <w:color w:val="000000"/>
        </w:rPr>
      </w:pPr>
      <w:r>
        <w:rPr>
          <w:color w:val="000000"/>
        </w:rPr>
        <w:t>The current trial is a feasibility study conducted with the following hypothesis:</w:t>
      </w:r>
    </w:p>
    <w:p w14:paraId="65ABB673" w14:textId="77777777" w:rsidR="00BB7A2B" w:rsidRDefault="00BB7A2B">
      <w:pPr>
        <w:pBdr>
          <w:top w:val="nil"/>
          <w:left w:val="nil"/>
          <w:bottom w:val="nil"/>
          <w:right w:val="nil"/>
          <w:between w:val="nil"/>
        </w:pBdr>
        <w:spacing w:after="0" w:line="240" w:lineRule="auto"/>
        <w:jc w:val="both"/>
        <w:rPr>
          <w:color w:val="000000"/>
        </w:rPr>
      </w:pPr>
    </w:p>
    <w:p w14:paraId="078348E7" w14:textId="5962248D" w:rsidR="00BB7A2B" w:rsidRDefault="00216550">
      <w:pPr>
        <w:pBdr>
          <w:top w:val="nil"/>
          <w:left w:val="nil"/>
          <w:bottom w:val="nil"/>
          <w:right w:val="nil"/>
          <w:between w:val="nil"/>
        </w:pBdr>
        <w:spacing w:after="0" w:line="240" w:lineRule="auto"/>
        <w:jc w:val="both"/>
        <w:rPr>
          <w:i/>
          <w:color w:val="000000"/>
        </w:rPr>
      </w:pPr>
      <w:r>
        <w:rPr>
          <w:i/>
          <w:color w:val="000000"/>
        </w:rPr>
        <w:t xml:space="preserve">The novel </w:t>
      </w:r>
      <w:r w:rsidR="007B28DC">
        <w:rPr>
          <w:i/>
          <w:color w:val="000000"/>
        </w:rPr>
        <w:t>refeeding</w:t>
      </w:r>
      <w:r>
        <w:rPr>
          <w:i/>
          <w:color w:val="000000"/>
        </w:rPr>
        <w:t xml:space="preserve"> </w:t>
      </w:r>
      <w:r w:rsidR="0053584F">
        <w:rPr>
          <w:i/>
          <w:color w:val="000000"/>
        </w:rPr>
        <w:t xml:space="preserve">protocol which employs a novel </w:t>
      </w:r>
      <w:r>
        <w:rPr>
          <w:i/>
          <w:color w:val="000000"/>
        </w:rPr>
        <w:t xml:space="preserve">device </w:t>
      </w:r>
      <w:r w:rsidR="0053584F">
        <w:rPr>
          <w:i/>
          <w:color w:val="000000"/>
        </w:rPr>
        <w:t>c</w:t>
      </w:r>
      <w:r>
        <w:rPr>
          <w:i/>
          <w:color w:val="000000"/>
        </w:rPr>
        <w:t xml:space="preserve">an safely and effectively return </w:t>
      </w:r>
      <w:r w:rsidR="002519E2">
        <w:rPr>
          <w:i/>
          <w:color w:val="000000"/>
        </w:rPr>
        <w:t xml:space="preserve">gut </w:t>
      </w:r>
      <w:r>
        <w:rPr>
          <w:i/>
          <w:color w:val="000000"/>
        </w:rPr>
        <w:t>contents</w:t>
      </w:r>
      <w:r w:rsidR="007B28DC">
        <w:rPr>
          <w:i/>
          <w:color w:val="000000"/>
        </w:rPr>
        <w:t xml:space="preserve"> </w:t>
      </w:r>
      <w:r>
        <w:rPr>
          <w:i/>
          <w:color w:val="000000"/>
        </w:rPr>
        <w:t>in a manner that is</w:t>
      </w:r>
      <w:r w:rsidR="007B28DC">
        <w:rPr>
          <w:i/>
          <w:color w:val="000000"/>
        </w:rPr>
        <w:t xml:space="preserve"> beneficial to</w:t>
      </w:r>
      <w:r>
        <w:rPr>
          <w:i/>
          <w:color w:val="000000"/>
        </w:rPr>
        <w:t xml:space="preserve"> patients</w:t>
      </w:r>
      <w:r w:rsidR="002519E2">
        <w:rPr>
          <w:i/>
          <w:color w:val="000000"/>
        </w:rPr>
        <w:t xml:space="preserve"> and with an improved workflow for the clinical team.</w:t>
      </w:r>
    </w:p>
    <w:p w14:paraId="52907858" w14:textId="66AFAAB3" w:rsidR="00BB7A2B" w:rsidRDefault="00BB7A2B" w:rsidP="00414D96">
      <w:pPr>
        <w:pBdr>
          <w:top w:val="nil"/>
          <w:left w:val="nil"/>
          <w:bottom w:val="nil"/>
          <w:right w:val="nil"/>
          <w:between w:val="nil"/>
        </w:pBdr>
        <w:spacing w:after="0" w:line="240" w:lineRule="auto"/>
        <w:ind w:left="720"/>
        <w:jc w:val="both"/>
        <w:rPr>
          <w:b/>
          <w:color w:val="000000"/>
          <w:u w:val="single"/>
        </w:rPr>
      </w:pPr>
    </w:p>
    <w:p w14:paraId="7C348B7C" w14:textId="77777777" w:rsidR="0053584F" w:rsidRDefault="0053584F" w:rsidP="00414D96">
      <w:pPr>
        <w:pBdr>
          <w:top w:val="nil"/>
          <w:left w:val="nil"/>
          <w:bottom w:val="nil"/>
          <w:right w:val="nil"/>
          <w:between w:val="nil"/>
        </w:pBdr>
        <w:spacing w:after="0" w:line="240" w:lineRule="auto"/>
        <w:ind w:left="720"/>
        <w:jc w:val="both"/>
        <w:rPr>
          <w:b/>
          <w:color w:val="000000"/>
          <w:u w:val="single"/>
        </w:rPr>
      </w:pPr>
    </w:p>
    <w:p w14:paraId="0B65AB2D" w14:textId="77777777" w:rsidR="00BB7A2B" w:rsidRDefault="00216550">
      <w:pPr>
        <w:pBdr>
          <w:top w:val="nil"/>
          <w:left w:val="nil"/>
          <w:bottom w:val="nil"/>
          <w:right w:val="nil"/>
          <w:between w:val="nil"/>
        </w:pBdr>
        <w:spacing w:after="0" w:line="240" w:lineRule="auto"/>
        <w:jc w:val="both"/>
        <w:rPr>
          <w:b/>
          <w:color w:val="000000"/>
          <w:u w:val="single"/>
        </w:rPr>
      </w:pPr>
      <w:r>
        <w:rPr>
          <w:b/>
          <w:color w:val="000000"/>
          <w:u w:val="single"/>
        </w:rPr>
        <w:t>Primary Objectives</w:t>
      </w:r>
    </w:p>
    <w:p w14:paraId="5664A3B4" w14:textId="77777777" w:rsidR="00BB7A2B" w:rsidRDefault="00BB7A2B">
      <w:pPr>
        <w:pBdr>
          <w:top w:val="nil"/>
          <w:left w:val="nil"/>
          <w:bottom w:val="nil"/>
          <w:right w:val="nil"/>
          <w:between w:val="nil"/>
        </w:pBdr>
        <w:spacing w:after="0" w:line="240" w:lineRule="auto"/>
        <w:jc w:val="both"/>
        <w:rPr>
          <w:color w:val="000000"/>
        </w:rPr>
      </w:pPr>
    </w:p>
    <w:p w14:paraId="61E707EA" w14:textId="290B333F" w:rsidR="00AD7760" w:rsidRPr="00414D96" w:rsidRDefault="00AD7760" w:rsidP="00AD7760">
      <w:pPr>
        <w:numPr>
          <w:ilvl w:val="0"/>
          <w:numId w:val="2"/>
        </w:numPr>
        <w:pBdr>
          <w:top w:val="nil"/>
          <w:left w:val="nil"/>
          <w:bottom w:val="nil"/>
          <w:right w:val="nil"/>
          <w:between w:val="nil"/>
        </w:pBdr>
        <w:spacing w:after="0" w:line="240" w:lineRule="auto"/>
        <w:jc w:val="both"/>
      </w:pPr>
      <w:r>
        <w:rPr>
          <w:color w:val="000000"/>
        </w:rPr>
        <w:t>Validate the safety, effectiveness, and tolerability of a stoma refeeding device.</w:t>
      </w:r>
    </w:p>
    <w:p w14:paraId="2DB9CE0F" w14:textId="009E8319" w:rsidR="003F7B4F" w:rsidRPr="00414D96" w:rsidRDefault="003F7B4F" w:rsidP="003F7B4F">
      <w:pPr>
        <w:numPr>
          <w:ilvl w:val="0"/>
          <w:numId w:val="2"/>
        </w:numPr>
        <w:pBdr>
          <w:top w:val="nil"/>
          <w:left w:val="nil"/>
          <w:bottom w:val="nil"/>
          <w:right w:val="nil"/>
          <w:between w:val="nil"/>
        </w:pBdr>
        <w:spacing w:after="0" w:line="240" w:lineRule="auto"/>
        <w:jc w:val="both"/>
      </w:pPr>
      <w:r>
        <w:rPr>
          <w:color w:val="000000"/>
        </w:rPr>
        <w:t>Evaluate the usability of the device in a NICU clinical workflow</w:t>
      </w:r>
    </w:p>
    <w:p w14:paraId="7C61A061" w14:textId="6DE712BF" w:rsidR="003F7B4F" w:rsidRDefault="003F7B4F" w:rsidP="003F7B4F">
      <w:pPr>
        <w:numPr>
          <w:ilvl w:val="0"/>
          <w:numId w:val="2"/>
        </w:numPr>
        <w:pBdr>
          <w:top w:val="nil"/>
          <w:left w:val="nil"/>
          <w:bottom w:val="nil"/>
          <w:right w:val="nil"/>
          <w:between w:val="nil"/>
        </w:pBdr>
        <w:spacing w:after="0" w:line="240" w:lineRule="auto"/>
        <w:jc w:val="both"/>
      </w:pPr>
      <w:r>
        <w:t>Evaluate the adherence to the protocol by NICU staff</w:t>
      </w:r>
    </w:p>
    <w:p w14:paraId="593C20B4" w14:textId="77777777" w:rsidR="00AD7760" w:rsidRDefault="00AD7760" w:rsidP="00414D96">
      <w:pPr>
        <w:pBdr>
          <w:top w:val="nil"/>
          <w:left w:val="nil"/>
          <w:bottom w:val="nil"/>
          <w:right w:val="nil"/>
          <w:between w:val="nil"/>
        </w:pBdr>
        <w:spacing w:after="0" w:line="240" w:lineRule="auto"/>
        <w:ind w:left="720"/>
        <w:jc w:val="both"/>
      </w:pPr>
    </w:p>
    <w:p w14:paraId="1850DAE5" w14:textId="77777777" w:rsidR="00BB7A2B" w:rsidRDefault="00BB7A2B" w:rsidP="00A52152">
      <w:pPr>
        <w:pBdr>
          <w:top w:val="nil"/>
          <w:left w:val="nil"/>
          <w:bottom w:val="nil"/>
          <w:right w:val="nil"/>
          <w:between w:val="nil"/>
        </w:pBdr>
        <w:spacing w:line="240" w:lineRule="auto"/>
        <w:jc w:val="both"/>
        <w:rPr>
          <w:color w:val="000000"/>
        </w:rPr>
      </w:pPr>
    </w:p>
    <w:p w14:paraId="70EA50D1" w14:textId="77777777" w:rsidR="00BB7A2B" w:rsidRDefault="00216550">
      <w:pPr>
        <w:pBdr>
          <w:top w:val="nil"/>
          <w:left w:val="nil"/>
          <w:bottom w:val="nil"/>
          <w:right w:val="nil"/>
          <w:between w:val="nil"/>
        </w:pBdr>
        <w:spacing w:after="0" w:line="240" w:lineRule="auto"/>
        <w:jc w:val="both"/>
        <w:rPr>
          <w:b/>
          <w:color w:val="000000"/>
          <w:u w:val="single"/>
        </w:rPr>
      </w:pPr>
      <w:r>
        <w:rPr>
          <w:b/>
          <w:color w:val="000000"/>
          <w:u w:val="single"/>
        </w:rPr>
        <w:t>Secondary Objective</w:t>
      </w:r>
    </w:p>
    <w:p w14:paraId="682B42A8" w14:textId="77777777" w:rsidR="00BB7A2B" w:rsidRDefault="00BB7A2B">
      <w:pPr>
        <w:pBdr>
          <w:top w:val="nil"/>
          <w:left w:val="nil"/>
          <w:bottom w:val="nil"/>
          <w:right w:val="nil"/>
          <w:between w:val="nil"/>
        </w:pBdr>
        <w:spacing w:after="0" w:line="240" w:lineRule="auto"/>
        <w:rPr>
          <w:color w:val="000000"/>
        </w:rPr>
      </w:pPr>
    </w:p>
    <w:p w14:paraId="5EA9140D" w14:textId="32AB14B0" w:rsidR="00BB7A2B" w:rsidRDefault="00216550">
      <w:pPr>
        <w:numPr>
          <w:ilvl w:val="0"/>
          <w:numId w:val="4"/>
        </w:numPr>
        <w:pBdr>
          <w:top w:val="nil"/>
          <w:left w:val="nil"/>
          <w:bottom w:val="nil"/>
          <w:right w:val="nil"/>
          <w:between w:val="nil"/>
        </w:pBdr>
        <w:spacing w:after="0" w:line="240" w:lineRule="auto"/>
      </w:pPr>
      <w:r>
        <w:rPr>
          <w:color w:val="000000"/>
        </w:rPr>
        <w:t xml:space="preserve">Obtain pilot </w:t>
      </w:r>
      <w:r w:rsidR="003F7B4F">
        <w:rPr>
          <w:color w:val="000000"/>
        </w:rPr>
        <w:t xml:space="preserve">clinical </w:t>
      </w:r>
      <w:r>
        <w:rPr>
          <w:color w:val="000000"/>
        </w:rPr>
        <w:t xml:space="preserve">data on whether </w:t>
      </w:r>
      <w:r w:rsidR="007B28DC">
        <w:rPr>
          <w:color w:val="000000"/>
        </w:rPr>
        <w:t xml:space="preserve">the chyme reinfusion device may reduce distal enterostomy incompatibility, </w:t>
      </w:r>
      <w:r w:rsidR="00176606">
        <w:rPr>
          <w:color w:val="000000"/>
        </w:rPr>
        <w:t>facilitating</w:t>
      </w:r>
      <w:r w:rsidR="007B28DC">
        <w:rPr>
          <w:color w:val="000000"/>
        </w:rPr>
        <w:t xml:space="preserve"> later intestinal anastomosis. </w:t>
      </w:r>
    </w:p>
    <w:p w14:paraId="17731B94" w14:textId="77777777" w:rsidR="00BB7A2B" w:rsidRDefault="00BB7A2B" w:rsidP="00A52152">
      <w:pPr>
        <w:pBdr>
          <w:top w:val="nil"/>
          <w:left w:val="nil"/>
          <w:bottom w:val="nil"/>
          <w:right w:val="nil"/>
          <w:between w:val="nil"/>
        </w:pBdr>
        <w:spacing w:line="240" w:lineRule="auto"/>
        <w:ind w:left="720"/>
        <w:rPr>
          <w:color w:val="000000"/>
        </w:rPr>
      </w:pPr>
    </w:p>
    <w:p w14:paraId="35F5C2F9" w14:textId="77777777" w:rsidR="00BB7A2B" w:rsidRDefault="00216550">
      <w:pPr>
        <w:jc w:val="both"/>
      </w:pPr>
      <w:r>
        <w:rPr>
          <w:b/>
          <w:sz w:val="28"/>
          <w:szCs w:val="28"/>
          <w:u w:val="single"/>
        </w:rPr>
        <w:t xml:space="preserve">Study Design </w:t>
      </w:r>
    </w:p>
    <w:p w14:paraId="3045ABDD" w14:textId="6878DCE6" w:rsidR="00BB7A2B" w:rsidRDefault="00216550">
      <w:pPr>
        <w:pBdr>
          <w:top w:val="nil"/>
          <w:left w:val="nil"/>
          <w:bottom w:val="nil"/>
          <w:right w:val="nil"/>
          <w:between w:val="nil"/>
        </w:pBdr>
        <w:spacing w:after="0" w:line="240" w:lineRule="auto"/>
        <w:jc w:val="both"/>
        <w:rPr>
          <w:color w:val="000000"/>
        </w:rPr>
      </w:pPr>
      <w:r>
        <w:rPr>
          <w:color w:val="000000"/>
        </w:rPr>
        <w:t>The study will involve</w:t>
      </w:r>
      <w:r>
        <w:rPr>
          <w:b/>
          <w:color w:val="000000"/>
          <w:u w:val="single"/>
        </w:rPr>
        <w:t xml:space="preserve"> </w:t>
      </w:r>
      <w:r>
        <w:rPr>
          <w:color w:val="000000"/>
        </w:rPr>
        <w:t xml:space="preserve">a human feasibility study (up to </w:t>
      </w:r>
      <w:r w:rsidR="002519E2">
        <w:rPr>
          <w:color w:val="000000"/>
        </w:rPr>
        <w:t xml:space="preserve">20 </w:t>
      </w:r>
      <w:r>
        <w:rPr>
          <w:color w:val="000000"/>
        </w:rPr>
        <w:t xml:space="preserve">patients). Minor iterations may be required to optimise </w:t>
      </w:r>
      <w:r w:rsidR="00E2014A">
        <w:rPr>
          <w:color w:val="000000"/>
        </w:rPr>
        <w:t xml:space="preserve">the </w:t>
      </w:r>
      <w:r>
        <w:rPr>
          <w:color w:val="000000"/>
        </w:rPr>
        <w:t>design for ease and effectiveness of use during the trial.</w:t>
      </w:r>
    </w:p>
    <w:p w14:paraId="7BDF1C37" w14:textId="77777777" w:rsidR="00BB7A2B" w:rsidRDefault="00BB7A2B" w:rsidP="00A52152">
      <w:pPr>
        <w:pBdr>
          <w:top w:val="nil"/>
          <w:left w:val="nil"/>
          <w:bottom w:val="nil"/>
          <w:right w:val="nil"/>
          <w:between w:val="nil"/>
        </w:pBdr>
        <w:spacing w:line="240" w:lineRule="auto"/>
        <w:jc w:val="both"/>
        <w:rPr>
          <w:color w:val="000000"/>
        </w:rPr>
      </w:pPr>
    </w:p>
    <w:p w14:paraId="394A6F81" w14:textId="6845675F" w:rsidR="00BB7A2B" w:rsidRDefault="00216550">
      <w:pPr>
        <w:jc w:val="both"/>
      </w:pPr>
      <w:r>
        <w:rPr>
          <w:b/>
        </w:rPr>
        <w:t xml:space="preserve">Study site(s): </w:t>
      </w:r>
      <w:r w:rsidR="007B28DC" w:rsidRPr="007B28DC">
        <w:rPr>
          <w:bCs/>
        </w:rPr>
        <w:t>NICU – Neonate intensive care unit -</w:t>
      </w:r>
      <w:r w:rsidR="007B28DC">
        <w:rPr>
          <w:b/>
        </w:rPr>
        <w:t xml:space="preserve"> </w:t>
      </w:r>
      <w:r>
        <w:t>Auckland City Hospital (ADHB)</w:t>
      </w:r>
      <w:r w:rsidR="00AD7760">
        <w:t>. Other NICUs will be invited to participate in the study in the near future</w:t>
      </w:r>
      <w:r w:rsidR="003F7B4F">
        <w:t xml:space="preserve"> including Christchurch Hospital.</w:t>
      </w:r>
    </w:p>
    <w:p w14:paraId="4C2322B1" w14:textId="77777777" w:rsidR="00DC42F7" w:rsidRDefault="00DC42F7" w:rsidP="00A52152">
      <w:pPr>
        <w:spacing w:before="240"/>
        <w:jc w:val="both"/>
        <w:rPr>
          <w:b/>
        </w:rPr>
      </w:pPr>
      <w:r>
        <w:rPr>
          <w:b/>
        </w:rPr>
        <w:t>Inclusion Criteria:</w:t>
      </w:r>
    </w:p>
    <w:p w14:paraId="7AF6B0B2" w14:textId="5BC427B2" w:rsidR="00DC42F7" w:rsidRPr="00A52152" w:rsidRDefault="00DC42F7" w:rsidP="00DC42F7">
      <w:pPr>
        <w:numPr>
          <w:ilvl w:val="0"/>
          <w:numId w:val="6"/>
        </w:numPr>
        <w:pBdr>
          <w:top w:val="nil"/>
          <w:left w:val="nil"/>
          <w:bottom w:val="nil"/>
          <w:right w:val="nil"/>
          <w:between w:val="nil"/>
        </w:pBdr>
        <w:spacing w:after="0"/>
        <w:jc w:val="both"/>
      </w:pPr>
      <w:r>
        <w:rPr>
          <w:color w:val="000000"/>
        </w:rPr>
        <w:t xml:space="preserve">Neonates with one or more </w:t>
      </w:r>
      <w:r w:rsidR="004B75E3">
        <w:rPr>
          <w:color w:val="000000"/>
        </w:rPr>
        <w:t xml:space="preserve">small intestine </w:t>
      </w:r>
      <w:r>
        <w:rPr>
          <w:color w:val="000000"/>
        </w:rPr>
        <w:t>stomas or entero-atmospheric fistula(s)</w:t>
      </w:r>
    </w:p>
    <w:p w14:paraId="64E5990B" w14:textId="24E25EC2" w:rsidR="00DC42F7" w:rsidRDefault="004B75E3" w:rsidP="00DC42F7">
      <w:pPr>
        <w:numPr>
          <w:ilvl w:val="0"/>
          <w:numId w:val="6"/>
        </w:numPr>
        <w:pBdr>
          <w:top w:val="nil"/>
          <w:left w:val="nil"/>
          <w:bottom w:val="nil"/>
          <w:right w:val="nil"/>
          <w:between w:val="nil"/>
        </w:pBdr>
        <w:spacing w:after="0"/>
        <w:jc w:val="both"/>
      </w:pPr>
      <w:r>
        <w:rPr>
          <w:color w:val="000000"/>
        </w:rPr>
        <w:t>Sufficient</w:t>
      </w:r>
      <w:r w:rsidR="00DC42F7">
        <w:rPr>
          <w:color w:val="000000"/>
        </w:rPr>
        <w:t xml:space="preserve"> distal intestinal tract </w:t>
      </w:r>
      <w:r>
        <w:rPr>
          <w:color w:val="000000"/>
        </w:rPr>
        <w:t xml:space="preserve">length </w:t>
      </w:r>
      <w:r w:rsidR="00DC42F7">
        <w:rPr>
          <w:color w:val="000000"/>
        </w:rPr>
        <w:t xml:space="preserve">able to handle chyme or enteral nutrition. </w:t>
      </w:r>
    </w:p>
    <w:p w14:paraId="572D28EA" w14:textId="77777777" w:rsidR="00DC42F7" w:rsidRDefault="00DC42F7" w:rsidP="00DC42F7">
      <w:pPr>
        <w:numPr>
          <w:ilvl w:val="0"/>
          <w:numId w:val="6"/>
        </w:numPr>
        <w:pBdr>
          <w:top w:val="nil"/>
          <w:left w:val="nil"/>
          <w:bottom w:val="nil"/>
          <w:right w:val="nil"/>
          <w:between w:val="nil"/>
        </w:pBdr>
        <w:spacing w:after="0"/>
        <w:jc w:val="both"/>
        <w:rPr>
          <w:color w:val="000000"/>
        </w:rPr>
      </w:pPr>
      <w:r>
        <w:rPr>
          <w:color w:val="000000"/>
        </w:rPr>
        <w:t>Guardian able to understand the risks/benefits of the study.</w:t>
      </w:r>
    </w:p>
    <w:p w14:paraId="7A8784C0" w14:textId="77777777" w:rsidR="00DC42F7" w:rsidRDefault="00DC42F7" w:rsidP="00DC42F7">
      <w:pPr>
        <w:numPr>
          <w:ilvl w:val="0"/>
          <w:numId w:val="6"/>
        </w:numPr>
        <w:pBdr>
          <w:top w:val="nil"/>
          <w:left w:val="nil"/>
          <w:bottom w:val="nil"/>
          <w:right w:val="nil"/>
          <w:between w:val="nil"/>
        </w:pBdr>
        <w:spacing w:after="0"/>
        <w:jc w:val="both"/>
      </w:pPr>
      <w:r>
        <w:rPr>
          <w:color w:val="000000"/>
        </w:rPr>
        <w:lastRenderedPageBreak/>
        <w:t>Guardian able to give informed consent.</w:t>
      </w:r>
    </w:p>
    <w:p w14:paraId="3BFCC198" w14:textId="77777777" w:rsidR="00DC42F7" w:rsidRDefault="00DC42F7" w:rsidP="00DC42F7">
      <w:pPr>
        <w:pBdr>
          <w:top w:val="nil"/>
          <w:left w:val="nil"/>
          <w:bottom w:val="nil"/>
          <w:right w:val="nil"/>
          <w:between w:val="nil"/>
        </w:pBdr>
        <w:ind w:left="720"/>
        <w:jc w:val="both"/>
        <w:rPr>
          <w:color w:val="000000"/>
        </w:rPr>
      </w:pPr>
    </w:p>
    <w:p w14:paraId="6A9BCA32" w14:textId="77777777" w:rsidR="00DC42F7" w:rsidRDefault="00DC42F7" w:rsidP="00DC42F7">
      <w:pPr>
        <w:jc w:val="both"/>
        <w:rPr>
          <w:b/>
        </w:rPr>
      </w:pPr>
      <w:r>
        <w:rPr>
          <w:b/>
        </w:rPr>
        <w:t>Exclusion Criteria:</w:t>
      </w:r>
    </w:p>
    <w:p w14:paraId="48A01B8C" w14:textId="77777777" w:rsidR="004B75E3" w:rsidRPr="00A52152" w:rsidRDefault="00DC42F7" w:rsidP="00DC42F7">
      <w:pPr>
        <w:numPr>
          <w:ilvl w:val="0"/>
          <w:numId w:val="1"/>
        </w:numPr>
        <w:pBdr>
          <w:top w:val="nil"/>
          <w:left w:val="nil"/>
          <w:bottom w:val="nil"/>
          <w:right w:val="nil"/>
          <w:between w:val="nil"/>
        </w:pBdr>
        <w:spacing w:after="0"/>
        <w:jc w:val="both"/>
      </w:pPr>
      <w:r>
        <w:rPr>
          <w:color w:val="000000"/>
        </w:rPr>
        <w:t>Distal obstruction, anastomotic leak</w:t>
      </w:r>
    </w:p>
    <w:p w14:paraId="662DDBF0" w14:textId="586A4349" w:rsidR="00DC42F7" w:rsidRPr="0081795B" w:rsidRDefault="004B75E3" w:rsidP="00DC42F7">
      <w:pPr>
        <w:numPr>
          <w:ilvl w:val="0"/>
          <w:numId w:val="1"/>
        </w:numPr>
        <w:pBdr>
          <w:top w:val="nil"/>
          <w:left w:val="nil"/>
          <w:bottom w:val="nil"/>
          <w:right w:val="nil"/>
          <w:between w:val="nil"/>
        </w:pBdr>
        <w:spacing w:after="0"/>
        <w:jc w:val="both"/>
      </w:pPr>
      <w:r>
        <w:rPr>
          <w:color w:val="000000"/>
        </w:rPr>
        <w:t>I</w:t>
      </w:r>
      <w:r w:rsidR="00DC42F7">
        <w:rPr>
          <w:color w:val="000000"/>
        </w:rPr>
        <w:t>nability to tolerate chyme reinfusion or enteral feeding.</w:t>
      </w:r>
    </w:p>
    <w:p w14:paraId="085B6AD2" w14:textId="56F11479" w:rsidR="00DC42F7" w:rsidRPr="0081795B" w:rsidRDefault="004B75E3" w:rsidP="00DC42F7">
      <w:pPr>
        <w:numPr>
          <w:ilvl w:val="0"/>
          <w:numId w:val="1"/>
        </w:numPr>
        <w:pBdr>
          <w:top w:val="nil"/>
          <w:left w:val="nil"/>
          <w:bottom w:val="nil"/>
          <w:right w:val="nil"/>
          <w:between w:val="nil"/>
        </w:pBdr>
        <w:spacing w:after="0"/>
        <w:jc w:val="both"/>
      </w:pPr>
      <w:r>
        <w:rPr>
          <w:color w:val="000000"/>
        </w:rPr>
        <w:t>Clinical concern for ischaemic gut</w:t>
      </w:r>
    </w:p>
    <w:p w14:paraId="2B4CADA1" w14:textId="5B42F38D" w:rsidR="00DC42F7" w:rsidRPr="00A52152" w:rsidRDefault="00DC42F7" w:rsidP="00DC42F7">
      <w:pPr>
        <w:numPr>
          <w:ilvl w:val="0"/>
          <w:numId w:val="1"/>
        </w:numPr>
        <w:pBdr>
          <w:top w:val="nil"/>
          <w:left w:val="nil"/>
          <w:bottom w:val="nil"/>
          <w:right w:val="nil"/>
          <w:between w:val="nil"/>
        </w:pBdr>
        <w:spacing w:after="0"/>
        <w:jc w:val="both"/>
      </w:pPr>
      <w:r>
        <w:rPr>
          <w:color w:val="000000"/>
        </w:rPr>
        <w:t>Inability to</w:t>
      </w:r>
      <w:r w:rsidR="004B75E3">
        <w:rPr>
          <w:color w:val="000000"/>
        </w:rPr>
        <w:t xml:space="preserve"> safely</w:t>
      </w:r>
      <w:r>
        <w:rPr>
          <w:color w:val="000000"/>
        </w:rPr>
        <w:t xml:space="preserve"> intubate the distal stoma.</w:t>
      </w:r>
    </w:p>
    <w:p w14:paraId="73DEF9D4" w14:textId="57FB1EBF" w:rsidR="00DC42F7" w:rsidRPr="00414D96" w:rsidRDefault="004B75E3" w:rsidP="000167DA">
      <w:pPr>
        <w:numPr>
          <w:ilvl w:val="0"/>
          <w:numId w:val="1"/>
        </w:numPr>
        <w:pBdr>
          <w:top w:val="nil"/>
          <w:left w:val="nil"/>
          <w:bottom w:val="nil"/>
          <w:right w:val="nil"/>
          <w:between w:val="nil"/>
        </w:pBdr>
        <w:spacing w:after="0"/>
        <w:jc w:val="both"/>
      </w:pPr>
      <w:r>
        <w:rPr>
          <w:color w:val="000000"/>
        </w:rPr>
        <w:t>Septic or critically unwell patient</w:t>
      </w:r>
    </w:p>
    <w:p w14:paraId="57D76691" w14:textId="7285BC6B" w:rsidR="00F43C34" w:rsidRDefault="00F43C34" w:rsidP="00F43C34">
      <w:pPr>
        <w:pBdr>
          <w:top w:val="nil"/>
          <w:left w:val="nil"/>
          <w:bottom w:val="nil"/>
          <w:right w:val="nil"/>
          <w:between w:val="nil"/>
        </w:pBdr>
        <w:spacing w:after="0"/>
        <w:jc w:val="both"/>
        <w:rPr>
          <w:color w:val="000000"/>
        </w:rPr>
      </w:pPr>
    </w:p>
    <w:p w14:paraId="0F9A5454" w14:textId="7CC5A0B1" w:rsidR="00F43C34" w:rsidRPr="00414D96" w:rsidRDefault="00F43C34" w:rsidP="00F43C34">
      <w:pPr>
        <w:pBdr>
          <w:top w:val="nil"/>
          <w:left w:val="nil"/>
          <w:bottom w:val="nil"/>
          <w:right w:val="nil"/>
          <w:between w:val="nil"/>
        </w:pBdr>
        <w:spacing w:after="0"/>
        <w:jc w:val="both"/>
        <w:rPr>
          <w:b/>
          <w:bCs/>
          <w:color w:val="000000"/>
        </w:rPr>
      </w:pPr>
      <w:r w:rsidRPr="00414D96">
        <w:rPr>
          <w:b/>
          <w:bCs/>
          <w:color w:val="000000"/>
        </w:rPr>
        <w:t>Recruitment</w:t>
      </w:r>
    </w:p>
    <w:p w14:paraId="7970FA0D" w14:textId="5B0D2BBB" w:rsidR="00F43C34" w:rsidRDefault="00F43C34" w:rsidP="00414D96">
      <w:pPr>
        <w:pBdr>
          <w:top w:val="nil"/>
          <w:left w:val="nil"/>
          <w:bottom w:val="nil"/>
          <w:right w:val="nil"/>
          <w:between w:val="nil"/>
        </w:pBdr>
        <w:spacing w:after="0" w:line="240" w:lineRule="auto"/>
        <w:jc w:val="both"/>
      </w:pPr>
      <w:r>
        <w:rPr>
          <w:color w:val="000000"/>
        </w:rPr>
        <w:t>Patients with small bowel stoma(s) or an entero-atmospheric fistula(s) will be identified by the caring clinical team. Members of the clinical team who are not involved in the study (such as unit nurses) will approach parents, wh</w:t>
      </w:r>
      <w:r w:rsidRPr="000E2CE2">
        <w:rPr>
          <w:color w:val="000000"/>
        </w:rPr>
        <w:t>ā</w:t>
      </w:r>
      <w:r w:rsidRPr="003F7B4F">
        <w:rPr>
          <w:color w:val="000000"/>
        </w:rPr>
        <w:t xml:space="preserve">nau and guardians </w:t>
      </w:r>
      <w:r>
        <w:rPr>
          <w:color w:val="000000"/>
        </w:rPr>
        <w:t>to enquire if they may be interested in this study</w:t>
      </w:r>
      <w:r w:rsidRPr="003F7B4F">
        <w:rPr>
          <w:color w:val="000000"/>
        </w:rPr>
        <w:t xml:space="preserve">. In affirmative cases, their contacts will be sent </w:t>
      </w:r>
      <w:r>
        <w:rPr>
          <w:color w:val="000000"/>
        </w:rPr>
        <w:t xml:space="preserve">to </w:t>
      </w:r>
      <w:r w:rsidRPr="003F7B4F">
        <w:rPr>
          <w:color w:val="000000"/>
        </w:rPr>
        <w:t xml:space="preserve">the investigators. </w:t>
      </w:r>
    </w:p>
    <w:p w14:paraId="3302485C" w14:textId="77777777" w:rsidR="00F43C34" w:rsidRDefault="00F43C34" w:rsidP="00414D96">
      <w:pPr>
        <w:pBdr>
          <w:top w:val="nil"/>
          <w:left w:val="nil"/>
          <w:bottom w:val="nil"/>
          <w:right w:val="nil"/>
          <w:between w:val="nil"/>
        </w:pBdr>
        <w:spacing w:after="0"/>
        <w:jc w:val="both"/>
      </w:pPr>
    </w:p>
    <w:p w14:paraId="5AD105FD" w14:textId="77777777" w:rsidR="000167DA" w:rsidRPr="000167DA" w:rsidRDefault="000167DA" w:rsidP="00414D96">
      <w:pPr>
        <w:pBdr>
          <w:top w:val="nil"/>
          <w:left w:val="nil"/>
          <w:bottom w:val="nil"/>
          <w:right w:val="nil"/>
          <w:between w:val="nil"/>
        </w:pBdr>
        <w:spacing w:after="0"/>
        <w:jc w:val="both"/>
      </w:pPr>
    </w:p>
    <w:p w14:paraId="77A475B6" w14:textId="77777777" w:rsidR="00BB7A2B" w:rsidRDefault="00216550" w:rsidP="00A52152">
      <w:pPr>
        <w:pBdr>
          <w:top w:val="nil"/>
          <w:left w:val="nil"/>
          <w:bottom w:val="nil"/>
          <w:right w:val="nil"/>
          <w:between w:val="nil"/>
        </w:pBdr>
        <w:spacing w:line="240" w:lineRule="auto"/>
        <w:jc w:val="both"/>
        <w:rPr>
          <w:b/>
          <w:color w:val="000000"/>
        </w:rPr>
      </w:pPr>
      <w:r>
        <w:rPr>
          <w:b/>
          <w:color w:val="000000"/>
        </w:rPr>
        <w:t>Methods</w:t>
      </w:r>
    </w:p>
    <w:p w14:paraId="170A18D9" w14:textId="2EB40612" w:rsidR="00BB7A2B" w:rsidRDefault="005074FD">
      <w:pPr>
        <w:numPr>
          <w:ilvl w:val="0"/>
          <w:numId w:val="3"/>
        </w:numPr>
        <w:pBdr>
          <w:top w:val="nil"/>
          <w:left w:val="nil"/>
          <w:bottom w:val="nil"/>
          <w:right w:val="nil"/>
          <w:between w:val="nil"/>
        </w:pBdr>
        <w:spacing w:after="0" w:line="240" w:lineRule="auto"/>
        <w:jc w:val="both"/>
      </w:pPr>
      <w:r>
        <w:rPr>
          <w:color w:val="000000"/>
        </w:rPr>
        <w:t xml:space="preserve">Patient’s </w:t>
      </w:r>
      <w:r w:rsidR="00765FD6">
        <w:rPr>
          <w:color w:val="000000"/>
        </w:rPr>
        <w:t xml:space="preserve">parents, </w:t>
      </w:r>
      <w:r w:rsidR="00E54D52">
        <w:rPr>
          <w:color w:val="000000"/>
        </w:rPr>
        <w:t>guardians</w:t>
      </w:r>
      <w:r w:rsidR="00D54EA9">
        <w:rPr>
          <w:color w:val="000000"/>
        </w:rPr>
        <w:t>,</w:t>
      </w:r>
      <w:r w:rsidR="00E54D52">
        <w:rPr>
          <w:color w:val="000000"/>
        </w:rPr>
        <w:t xml:space="preserve"> </w:t>
      </w:r>
      <w:r w:rsidR="00765FD6">
        <w:rPr>
          <w:color w:val="000000"/>
        </w:rPr>
        <w:t xml:space="preserve">or whanau </w:t>
      </w:r>
      <w:r w:rsidR="00216550">
        <w:rPr>
          <w:color w:val="000000"/>
        </w:rPr>
        <w:t>will be approached</w:t>
      </w:r>
      <w:r w:rsidR="00765FD6">
        <w:rPr>
          <w:color w:val="000000"/>
        </w:rPr>
        <w:t>, with approval from the caring clinical te</w:t>
      </w:r>
      <w:r w:rsidR="00D54EA9">
        <w:rPr>
          <w:color w:val="000000"/>
        </w:rPr>
        <w:t xml:space="preserve">am </w:t>
      </w:r>
      <w:r w:rsidR="00216550">
        <w:rPr>
          <w:color w:val="000000"/>
        </w:rPr>
        <w:t xml:space="preserve">and </w:t>
      </w:r>
      <w:r w:rsidR="00765FD6">
        <w:rPr>
          <w:color w:val="000000"/>
        </w:rPr>
        <w:t xml:space="preserve">invited </w:t>
      </w:r>
      <w:r w:rsidR="00216550">
        <w:rPr>
          <w:color w:val="000000"/>
        </w:rPr>
        <w:t xml:space="preserve">to participate in this study. Upon gaining informed consent, </w:t>
      </w:r>
      <w:r w:rsidR="00E54D52">
        <w:rPr>
          <w:color w:val="000000"/>
        </w:rPr>
        <w:t>guardians will authorise the inclusion in the stoma refeeding protocol, to be prescribed by intensivists</w:t>
      </w:r>
      <w:r w:rsidR="00765FD6">
        <w:rPr>
          <w:color w:val="000000"/>
        </w:rPr>
        <w:t xml:space="preserve"> or surgeons</w:t>
      </w:r>
      <w:r w:rsidR="00E54D52">
        <w:rPr>
          <w:color w:val="000000"/>
        </w:rPr>
        <w:t xml:space="preserve"> and performed by trained nurses</w:t>
      </w:r>
      <w:r w:rsidR="00216550">
        <w:rPr>
          <w:color w:val="000000"/>
        </w:rPr>
        <w:t>.</w:t>
      </w:r>
    </w:p>
    <w:p w14:paraId="6BBB4ADA" w14:textId="7CF2FFB3" w:rsidR="00057CE4" w:rsidRPr="00057CE4" w:rsidRDefault="00057CE4" w:rsidP="00057CE4">
      <w:pPr>
        <w:numPr>
          <w:ilvl w:val="0"/>
          <w:numId w:val="3"/>
        </w:numPr>
        <w:spacing w:after="0" w:line="240" w:lineRule="auto"/>
        <w:rPr>
          <w:rFonts w:asciiTheme="majorHAnsi" w:eastAsia="Times New Roman" w:hAnsiTheme="majorHAnsi" w:cstheme="majorHAnsi"/>
          <w:color w:val="0E101A"/>
        </w:rPr>
      </w:pPr>
      <w:r w:rsidRPr="00057CE4">
        <w:rPr>
          <w:rFonts w:asciiTheme="majorHAnsi" w:eastAsia="Times New Roman" w:hAnsiTheme="majorHAnsi" w:cstheme="majorHAnsi"/>
          <w:color w:val="0E101A"/>
        </w:rPr>
        <w:t>Researchers will collect prospective data on the amount of chyme collected</w:t>
      </w:r>
      <w:r w:rsidR="00AD7760">
        <w:rPr>
          <w:rFonts w:asciiTheme="majorHAnsi" w:eastAsia="Times New Roman" w:hAnsiTheme="majorHAnsi" w:cstheme="majorHAnsi"/>
          <w:color w:val="0E101A"/>
        </w:rPr>
        <w:t xml:space="preserve"> and discarded</w:t>
      </w:r>
      <w:r w:rsidRPr="00057CE4">
        <w:rPr>
          <w:rFonts w:asciiTheme="majorHAnsi" w:eastAsia="Times New Roman" w:hAnsiTheme="majorHAnsi" w:cstheme="majorHAnsi"/>
          <w:color w:val="0E101A"/>
        </w:rPr>
        <w:t xml:space="preserve">, the effectiveness of recycling, safety, rate of infusion, weight gain, adverse events, use of anti-secretory and anti-motility agents, </w:t>
      </w:r>
      <w:r w:rsidR="005252ED">
        <w:rPr>
          <w:rFonts w:asciiTheme="majorHAnsi" w:eastAsia="Times New Roman" w:hAnsiTheme="majorHAnsi" w:cstheme="majorHAnsi"/>
          <w:color w:val="0E101A"/>
        </w:rPr>
        <w:t xml:space="preserve">and </w:t>
      </w:r>
      <w:r w:rsidRPr="00057CE4">
        <w:rPr>
          <w:rFonts w:asciiTheme="majorHAnsi" w:eastAsia="Times New Roman" w:hAnsiTheme="majorHAnsi" w:cstheme="majorHAnsi"/>
          <w:color w:val="0E101A"/>
        </w:rPr>
        <w:t>laboratory exams (</w:t>
      </w:r>
      <w:r w:rsidR="00B14CB8" w:rsidRPr="00057CE4">
        <w:rPr>
          <w:rFonts w:asciiTheme="majorHAnsi" w:eastAsia="Times New Roman" w:hAnsiTheme="majorHAnsi" w:cstheme="majorHAnsi"/>
          <w:color w:val="0E101A"/>
        </w:rPr>
        <w:t>A</w:t>
      </w:r>
      <w:r w:rsidR="00B14CB8">
        <w:rPr>
          <w:rFonts w:asciiTheme="majorHAnsi" w:eastAsia="Times New Roman" w:hAnsiTheme="majorHAnsi" w:cstheme="majorHAnsi"/>
          <w:color w:val="0E101A"/>
        </w:rPr>
        <w:t>.L.P.</w:t>
      </w:r>
      <w:r w:rsidRPr="00057CE4">
        <w:rPr>
          <w:rFonts w:asciiTheme="majorHAnsi" w:eastAsia="Times New Roman" w:hAnsiTheme="majorHAnsi" w:cstheme="majorHAnsi"/>
          <w:color w:val="0E101A"/>
        </w:rPr>
        <w:t xml:space="preserve">, </w:t>
      </w:r>
      <w:r w:rsidR="00B14CB8" w:rsidRPr="00057CE4">
        <w:rPr>
          <w:rFonts w:asciiTheme="majorHAnsi" w:eastAsia="Times New Roman" w:hAnsiTheme="majorHAnsi" w:cstheme="majorHAnsi"/>
          <w:color w:val="0E101A"/>
        </w:rPr>
        <w:t>G</w:t>
      </w:r>
      <w:r w:rsidR="00B14CB8">
        <w:rPr>
          <w:rFonts w:asciiTheme="majorHAnsi" w:eastAsia="Times New Roman" w:hAnsiTheme="majorHAnsi" w:cstheme="majorHAnsi"/>
          <w:color w:val="0E101A"/>
        </w:rPr>
        <w:t>.G.T.</w:t>
      </w:r>
      <w:r w:rsidRPr="00057CE4">
        <w:rPr>
          <w:rFonts w:asciiTheme="majorHAnsi" w:eastAsia="Times New Roman" w:hAnsiTheme="majorHAnsi" w:cstheme="majorHAnsi"/>
          <w:color w:val="0E101A"/>
        </w:rPr>
        <w:t>, bilirubin, electrolytes, haemoglobin, haematocrit, serum iron levels, albumin, urea, and creatinine</w:t>
      </w:r>
      <w:r w:rsidR="005252ED">
        <w:rPr>
          <w:rFonts w:asciiTheme="majorHAnsi" w:eastAsia="Times New Roman" w:hAnsiTheme="majorHAnsi" w:cstheme="majorHAnsi"/>
          <w:color w:val="0E101A"/>
        </w:rPr>
        <w:t>)</w:t>
      </w:r>
      <w:r w:rsidRPr="00057CE4">
        <w:rPr>
          <w:rFonts w:asciiTheme="majorHAnsi" w:eastAsia="Times New Roman" w:hAnsiTheme="majorHAnsi" w:cstheme="majorHAnsi"/>
          <w:color w:val="0E101A"/>
        </w:rPr>
        <w:t xml:space="preserve"> via clinical assessments.</w:t>
      </w:r>
    </w:p>
    <w:p w14:paraId="265AB744" w14:textId="2BD2BD8B" w:rsidR="00BB7A2B" w:rsidRDefault="00216550">
      <w:pPr>
        <w:numPr>
          <w:ilvl w:val="0"/>
          <w:numId w:val="3"/>
        </w:numPr>
        <w:pBdr>
          <w:top w:val="nil"/>
          <w:left w:val="nil"/>
          <w:bottom w:val="nil"/>
          <w:right w:val="nil"/>
          <w:between w:val="nil"/>
        </w:pBdr>
        <w:spacing w:after="0" w:line="240" w:lineRule="auto"/>
        <w:jc w:val="both"/>
      </w:pPr>
      <w:r>
        <w:rPr>
          <w:color w:val="000000"/>
        </w:rPr>
        <w:t>Minor device improvements may be iteratively introduced during the trial until target performance is met; this is common practice in device feasibility studies.</w:t>
      </w:r>
    </w:p>
    <w:p w14:paraId="01357211" w14:textId="77777777" w:rsidR="00BB7A2B" w:rsidRDefault="00216550" w:rsidP="00A52152">
      <w:pPr>
        <w:pBdr>
          <w:top w:val="nil"/>
          <w:left w:val="nil"/>
          <w:bottom w:val="nil"/>
          <w:right w:val="nil"/>
          <w:between w:val="nil"/>
        </w:pBdr>
        <w:spacing w:line="240" w:lineRule="auto"/>
        <w:jc w:val="both"/>
        <w:rPr>
          <w:color w:val="000000"/>
        </w:rPr>
      </w:pPr>
      <w:r>
        <w:rPr>
          <w:color w:val="000000"/>
        </w:rPr>
        <w:t xml:space="preserve"> </w:t>
      </w:r>
    </w:p>
    <w:p w14:paraId="7A6598CA" w14:textId="77777777" w:rsidR="00BB7A2B" w:rsidRDefault="00216550">
      <w:pPr>
        <w:pBdr>
          <w:top w:val="nil"/>
          <w:left w:val="nil"/>
          <w:bottom w:val="nil"/>
          <w:right w:val="nil"/>
          <w:between w:val="nil"/>
        </w:pBdr>
        <w:spacing w:after="0" w:line="240" w:lineRule="auto"/>
        <w:jc w:val="both"/>
        <w:rPr>
          <w:b/>
          <w:color w:val="000000"/>
        </w:rPr>
      </w:pPr>
      <w:r>
        <w:rPr>
          <w:b/>
          <w:color w:val="000000"/>
        </w:rPr>
        <w:t>Outcomes:</w:t>
      </w:r>
    </w:p>
    <w:p w14:paraId="26A37A71" w14:textId="77777777" w:rsidR="00BB7A2B" w:rsidRDefault="00BB7A2B">
      <w:pPr>
        <w:pBdr>
          <w:top w:val="nil"/>
          <w:left w:val="nil"/>
          <w:bottom w:val="nil"/>
          <w:right w:val="nil"/>
          <w:between w:val="nil"/>
        </w:pBdr>
        <w:spacing w:after="0" w:line="240" w:lineRule="auto"/>
        <w:jc w:val="both"/>
        <w:rPr>
          <w:b/>
          <w:color w:val="000000"/>
        </w:rPr>
      </w:pPr>
    </w:p>
    <w:p w14:paraId="689D0635" w14:textId="11C48AE7" w:rsidR="00BB7A2B" w:rsidRDefault="00216550">
      <w:pPr>
        <w:jc w:val="both"/>
      </w:pPr>
      <w:r>
        <w:rPr>
          <w:b/>
        </w:rPr>
        <w:t>Device performance criteria:</w:t>
      </w:r>
      <w:r>
        <w:t xml:space="preserve"> will be assessed </w:t>
      </w:r>
      <w:r w:rsidR="00660DBE">
        <w:t xml:space="preserve">with the support of </w:t>
      </w:r>
      <w:r>
        <w:t xml:space="preserve">our engineering team by structured </w:t>
      </w:r>
      <w:r w:rsidR="00FB6AAB">
        <w:t>reports by nurses</w:t>
      </w:r>
      <w:r>
        <w:t>, involving evaluations of stoma</w:t>
      </w:r>
      <w:r w:rsidR="00FB6AAB">
        <w:t xml:space="preserve"> output quantity,</w:t>
      </w:r>
      <w:r>
        <w:t xml:space="preserve"> </w:t>
      </w:r>
      <w:r w:rsidR="00765FD6">
        <w:t xml:space="preserve">reinfusion </w:t>
      </w:r>
      <w:r>
        <w:t>success rate</w:t>
      </w:r>
      <w:r w:rsidR="00765FD6">
        <w:t>s</w:t>
      </w:r>
      <w:r>
        <w:t xml:space="preserve">, </w:t>
      </w:r>
      <w:r w:rsidR="00765FD6">
        <w:t xml:space="preserve">observation of any </w:t>
      </w:r>
      <w:r>
        <w:t xml:space="preserve">leakage, inspection for device wear/failures and successful interface with </w:t>
      </w:r>
      <w:r w:rsidR="00E337E9">
        <w:t xml:space="preserve">the </w:t>
      </w:r>
      <w:r w:rsidR="00765FD6">
        <w:t xml:space="preserve">bag, tube and </w:t>
      </w:r>
      <w:r w:rsidR="00E337E9">
        <w:t>enterostomy</w:t>
      </w:r>
      <w:r>
        <w:t xml:space="preserve">. </w:t>
      </w:r>
      <w:r w:rsidR="00483FB8">
        <w:t xml:space="preserve">Compatibility with existing products will be assessed. </w:t>
      </w:r>
      <w:r>
        <w:t xml:space="preserve">All data will be recorded onto study </w:t>
      </w:r>
      <w:r w:rsidR="00765FD6">
        <w:t>proforma</w:t>
      </w:r>
      <w:r>
        <w:t>.</w:t>
      </w:r>
    </w:p>
    <w:p w14:paraId="6B041231" w14:textId="6A3AFC63" w:rsidR="00BB7A2B" w:rsidRDefault="00E337E9">
      <w:pPr>
        <w:jc w:val="both"/>
      </w:pPr>
      <w:r>
        <w:rPr>
          <w:b/>
        </w:rPr>
        <w:t>Nurse</w:t>
      </w:r>
      <w:r w:rsidR="00216550">
        <w:rPr>
          <w:b/>
        </w:rPr>
        <w:t xml:space="preserve"> factors </w:t>
      </w:r>
      <w:r w:rsidR="00216550">
        <w:t>will be assessed by a custom questionnaire employing Likert scales and free-text boxes for thematic analyses, encompassing ease of use</w:t>
      </w:r>
      <w:r w:rsidR="00765FD6">
        <w:t>, impact on workflow</w:t>
      </w:r>
      <w:r w:rsidR="00DC42F7">
        <w:t>,</w:t>
      </w:r>
      <w:r w:rsidR="00765FD6">
        <w:t xml:space="preserve"> </w:t>
      </w:r>
      <w:r w:rsidR="00483FB8">
        <w:t xml:space="preserve">need for maintenance, </w:t>
      </w:r>
      <w:r w:rsidR="00765FD6">
        <w:t>and</w:t>
      </w:r>
      <w:r w:rsidR="00216550">
        <w:t xml:space="preserve"> days to proficiency</w:t>
      </w:r>
      <w:r w:rsidR="00765FD6">
        <w:t>.</w:t>
      </w:r>
      <w:r w:rsidR="00216550">
        <w:t xml:space="preserve"> </w:t>
      </w:r>
      <w:r w:rsidR="00483FB8">
        <w:t xml:space="preserve"> </w:t>
      </w:r>
      <w:r w:rsidR="00AD7760">
        <w:t>During the study</w:t>
      </w:r>
      <w:r w:rsidR="00176606">
        <w:t>,</w:t>
      </w:r>
      <w:r w:rsidR="00AD7760">
        <w:t xml:space="preserve"> t</w:t>
      </w:r>
      <w:r w:rsidR="00483FB8">
        <w:t xml:space="preserve">he device </w:t>
      </w:r>
      <w:r w:rsidR="00AD7760">
        <w:t xml:space="preserve">will only </w:t>
      </w:r>
      <w:r w:rsidR="00483FB8">
        <w:t>be operated by both the medical team.</w:t>
      </w:r>
    </w:p>
    <w:p w14:paraId="69E66A2A" w14:textId="4F6D2307" w:rsidR="00BB7A2B" w:rsidRDefault="00216550">
      <w:pPr>
        <w:jc w:val="both"/>
      </w:pPr>
      <w:r>
        <w:rPr>
          <w:b/>
        </w:rPr>
        <w:t xml:space="preserve">Clinical outcomes </w:t>
      </w:r>
      <w:r>
        <w:t xml:space="preserve">will be recorded to help inform future controlled trials, recording stoma problems (e.g. leak/peri-stomal skin rash), </w:t>
      </w:r>
      <w:r w:rsidR="00E337E9">
        <w:t>hydration status</w:t>
      </w:r>
      <w:r>
        <w:t xml:space="preserve">, </w:t>
      </w:r>
      <w:r w:rsidR="00E337E9">
        <w:t xml:space="preserve">electrolytic imbalance, </w:t>
      </w:r>
      <w:r w:rsidR="000B277A">
        <w:t xml:space="preserve">length of </w:t>
      </w:r>
      <w:r>
        <w:t>hospital</w:t>
      </w:r>
      <w:r w:rsidR="000B277A">
        <w:t xml:space="preserve"> stay</w:t>
      </w:r>
      <w:r>
        <w:t xml:space="preserve">, </w:t>
      </w:r>
      <w:r w:rsidR="00E337E9">
        <w:t>weigh</w:t>
      </w:r>
      <w:r w:rsidR="00765FD6">
        <w:t>t</w:t>
      </w:r>
      <w:r w:rsidR="00E337E9">
        <w:t>, use of parenteral nutrition,</w:t>
      </w:r>
      <w:r>
        <w:t xml:space="preserve"> </w:t>
      </w:r>
      <w:r w:rsidR="00660DBE">
        <w:t>technical success and ease vs difficulty of anastomosis surgery (</w:t>
      </w:r>
      <w:r w:rsidR="005074FD">
        <w:t xml:space="preserve">Likert </w:t>
      </w:r>
      <w:r w:rsidR="00660DBE">
        <w:t xml:space="preserve">scale), </w:t>
      </w:r>
      <w:r w:rsidR="00176606">
        <w:t xml:space="preserve">and </w:t>
      </w:r>
      <w:r>
        <w:t>bowel function</w:t>
      </w:r>
      <w:r w:rsidR="00483FB8">
        <w:t xml:space="preserve"> (regain of bowel continuity)</w:t>
      </w:r>
      <w:r>
        <w:t xml:space="preserve">. </w:t>
      </w:r>
    </w:p>
    <w:p w14:paraId="6B18A6FD" w14:textId="4B59B848" w:rsidR="005252ED" w:rsidRDefault="00216550" w:rsidP="000167DA">
      <w:pPr>
        <w:pBdr>
          <w:top w:val="nil"/>
          <w:left w:val="nil"/>
          <w:bottom w:val="nil"/>
          <w:right w:val="nil"/>
          <w:between w:val="nil"/>
        </w:pBdr>
        <w:spacing w:after="0" w:line="240" w:lineRule="auto"/>
        <w:jc w:val="both"/>
      </w:pPr>
      <w:r>
        <w:rPr>
          <w:b/>
        </w:rPr>
        <w:t>Safety</w:t>
      </w:r>
      <w:r>
        <w:t xml:space="preserve"> of participants will be monitored by the team daily with oversight by </w:t>
      </w:r>
      <w:r w:rsidR="00765FD6">
        <w:t>the high-risk register of the ADHB Research Review Committee</w:t>
      </w:r>
      <w:r>
        <w:t xml:space="preserve">, with </w:t>
      </w:r>
      <w:r w:rsidR="00660DBE">
        <w:t xml:space="preserve">monthly recruitment </w:t>
      </w:r>
      <w:r>
        <w:t xml:space="preserve">updates and adverse events all </w:t>
      </w:r>
      <w:r>
        <w:lastRenderedPageBreak/>
        <w:t>being reported.</w:t>
      </w:r>
      <w:r w:rsidR="00A91A07">
        <w:t xml:space="preserve"> </w:t>
      </w:r>
      <w:r w:rsidR="00A91A07">
        <w:rPr>
          <w:color w:val="000000"/>
        </w:rPr>
        <w:t xml:space="preserve">Urgent clinical assessment </w:t>
      </w:r>
      <w:r w:rsidR="00660DBE">
        <w:rPr>
          <w:color w:val="000000"/>
        </w:rPr>
        <w:t xml:space="preserve">will be </w:t>
      </w:r>
      <w:r w:rsidR="00A91A07">
        <w:rPr>
          <w:color w:val="000000"/>
        </w:rPr>
        <w:t xml:space="preserve">arranged if any concerns arise. Additionally, </w:t>
      </w:r>
      <w:r w:rsidR="00660DBE">
        <w:rPr>
          <w:color w:val="000000"/>
        </w:rPr>
        <w:t xml:space="preserve">nursing staff and </w:t>
      </w:r>
      <w:r w:rsidR="00A91A07">
        <w:rPr>
          <w:color w:val="000000"/>
        </w:rPr>
        <w:t xml:space="preserve">guardians will be given the contact details of one of the investigators to troubleshoot any </w:t>
      </w:r>
      <w:r w:rsidR="00B14CB8">
        <w:rPr>
          <w:color w:val="000000"/>
        </w:rPr>
        <w:t>problem</w:t>
      </w:r>
      <w:r w:rsidR="00A91A07">
        <w:rPr>
          <w:color w:val="000000"/>
        </w:rPr>
        <w:t>s</w:t>
      </w:r>
      <w:r w:rsidR="00660DBE">
        <w:rPr>
          <w:color w:val="000000"/>
        </w:rPr>
        <w:t>, with study members being available at all times</w:t>
      </w:r>
      <w:r w:rsidR="00A91A07">
        <w:rPr>
          <w:color w:val="000000"/>
        </w:rPr>
        <w:t xml:space="preserve">. </w:t>
      </w:r>
      <w:r>
        <w:t xml:space="preserve">Patients will be monitored for </w:t>
      </w:r>
      <w:r w:rsidR="00D4558C">
        <w:t>signs</w:t>
      </w:r>
      <w:r w:rsidR="00DD37DC">
        <w:t>;</w:t>
      </w:r>
      <w:r>
        <w:t xml:space="preserve"> the health of the bowel and peri-stomal skin will be inspected at least every </w:t>
      </w:r>
      <w:r w:rsidR="00B626EE">
        <w:t>three</w:t>
      </w:r>
      <w:r>
        <w:t xml:space="preserve"> days. If the </w:t>
      </w:r>
      <w:r w:rsidR="00E337E9">
        <w:t>stoma refeeding</w:t>
      </w:r>
      <w:r>
        <w:t xml:space="preserve"> device causes any </w:t>
      </w:r>
      <w:r w:rsidR="00E337E9">
        <w:t>adverse event</w:t>
      </w:r>
      <w:r>
        <w:t xml:space="preserve"> or the </w:t>
      </w:r>
      <w:r w:rsidR="005074FD">
        <w:t xml:space="preserve">patient’s </w:t>
      </w:r>
      <w:r w:rsidR="00E337E9">
        <w:t>guardian</w:t>
      </w:r>
      <w:r>
        <w:t xml:space="preserve"> wants to exit the trial, the device will be removed, and the stoma managed with traditional </w:t>
      </w:r>
      <w:r w:rsidR="00765FD6">
        <w:t>clinical methods</w:t>
      </w:r>
      <w:r>
        <w:t xml:space="preserve">.  Serious adverse events </w:t>
      </w:r>
      <w:r w:rsidR="00765FD6">
        <w:t>are not anticipated because it is a simple external low</w:t>
      </w:r>
      <w:r w:rsidR="00E222B2">
        <w:t>-</w:t>
      </w:r>
      <w:r w:rsidR="00765FD6">
        <w:t>risk directional flow appliance</w:t>
      </w:r>
      <w:r w:rsidR="00B14CB8">
        <w:t>. Still, they</w:t>
      </w:r>
      <w:r w:rsidR="00765FD6">
        <w:t xml:space="preserve"> </w:t>
      </w:r>
      <w:r>
        <w:t xml:space="preserve">will be immediately reported to the </w:t>
      </w:r>
      <w:r w:rsidR="00B14CB8">
        <w:t>R.R.C.</w:t>
      </w:r>
      <w:r w:rsidR="00A42D35">
        <w:t>,</w:t>
      </w:r>
      <w:r>
        <w:t xml:space="preserve"> and the trial paused for evaluation if necessary.</w:t>
      </w:r>
      <w:r w:rsidR="00A91A07">
        <w:t xml:space="preserve"> </w:t>
      </w:r>
    </w:p>
    <w:p w14:paraId="73263830" w14:textId="77777777" w:rsidR="000167DA" w:rsidRPr="000167DA" w:rsidRDefault="000167DA" w:rsidP="000167DA">
      <w:pPr>
        <w:pBdr>
          <w:top w:val="nil"/>
          <w:left w:val="nil"/>
          <w:bottom w:val="nil"/>
          <w:right w:val="nil"/>
          <w:between w:val="nil"/>
        </w:pBdr>
        <w:spacing w:line="240" w:lineRule="auto"/>
        <w:jc w:val="both"/>
      </w:pPr>
    </w:p>
    <w:p w14:paraId="218B91CC" w14:textId="77777777" w:rsidR="00BB7A2B" w:rsidRDefault="00216550">
      <w:pPr>
        <w:jc w:val="both"/>
        <w:rPr>
          <w:b/>
        </w:rPr>
      </w:pPr>
      <w:r>
        <w:rPr>
          <w:b/>
        </w:rPr>
        <w:t xml:space="preserve">Patient population: </w:t>
      </w:r>
    </w:p>
    <w:p w14:paraId="2B298542" w14:textId="092E3866" w:rsidR="005252ED" w:rsidRDefault="00176606">
      <w:pPr>
        <w:jc w:val="both"/>
      </w:pPr>
      <w:r>
        <w:t>The study population will consist of u</w:t>
      </w:r>
      <w:r w:rsidR="00216550">
        <w:t xml:space="preserve">p to </w:t>
      </w:r>
      <w:r w:rsidR="00765FD6">
        <w:t>2</w:t>
      </w:r>
      <w:r w:rsidR="00216550">
        <w:t xml:space="preserve">0 subjects for the initial </w:t>
      </w:r>
      <w:r w:rsidR="00E337E9">
        <w:t>neonate</w:t>
      </w:r>
      <w:r w:rsidR="00216550">
        <w:t xml:space="preserve"> feasibility study. </w:t>
      </w:r>
    </w:p>
    <w:p w14:paraId="0ACF822D" w14:textId="142DD776" w:rsidR="00BB7A2B" w:rsidRDefault="00216550" w:rsidP="00A52152">
      <w:pPr>
        <w:spacing w:after="0" w:line="240" w:lineRule="auto"/>
        <w:jc w:val="both"/>
      </w:pPr>
      <w:r>
        <w:rPr>
          <w:color w:val="000000"/>
        </w:rPr>
        <w:t xml:space="preserve">  </w:t>
      </w:r>
    </w:p>
    <w:p w14:paraId="55C19F4F" w14:textId="77777777" w:rsidR="00BB7A2B" w:rsidRDefault="00216550">
      <w:pPr>
        <w:jc w:val="both"/>
        <w:rPr>
          <w:b/>
        </w:rPr>
      </w:pPr>
      <w:r>
        <w:rPr>
          <w:b/>
        </w:rPr>
        <w:t>Consent process</w:t>
      </w:r>
    </w:p>
    <w:p w14:paraId="000984ED" w14:textId="4BFF7088" w:rsidR="00BB7A2B" w:rsidRDefault="0057771A">
      <w:pPr>
        <w:jc w:val="both"/>
      </w:pPr>
      <w:r>
        <w:t>Guardians</w:t>
      </w:r>
      <w:r w:rsidR="00216550">
        <w:t xml:space="preserve"> will be approached and individually consented by a study researcher after their </w:t>
      </w:r>
      <w:r w:rsidR="005074FD">
        <w:t xml:space="preserve">child’s </w:t>
      </w:r>
      <w:r>
        <w:t>intestinal</w:t>
      </w:r>
      <w:r w:rsidR="00216550">
        <w:t xml:space="preserve"> operation. Both verbal and written information will be provided to ensure informed consent. The experimental nature of this device will be explained. The patient will be given the contact details (email and phone) of at least one of the investigators to troubleshoot any concerns, including withdrawal from the study.</w:t>
      </w:r>
    </w:p>
    <w:p w14:paraId="7ACDE90C" w14:textId="77777777" w:rsidR="005252ED" w:rsidRDefault="005252ED" w:rsidP="00A52152">
      <w:pPr>
        <w:spacing w:after="0"/>
        <w:jc w:val="both"/>
      </w:pPr>
    </w:p>
    <w:p w14:paraId="083D28CE" w14:textId="77777777" w:rsidR="00BB7A2B" w:rsidRDefault="00216550">
      <w:pPr>
        <w:jc w:val="both"/>
        <w:rPr>
          <w:b/>
        </w:rPr>
      </w:pPr>
      <w:r>
        <w:rPr>
          <w:b/>
        </w:rPr>
        <w:t xml:space="preserve">Withdrawal of consent </w:t>
      </w:r>
    </w:p>
    <w:p w14:paraId="2D531CDD" w14:textId="38CE71A6" w:rsidR="00BB7A2B" w:rsidRDefault="006D2865">
      <w:pPr>
        <w:jc w:val="both"/>
      </w:pPr>
      <w:r>
        <w:t>G</w:t>
      </w:r>
      <w:r w:rsidR="0057771A">
        <w:t>uardians</w:t>
      </w:r>
      <w:r w:rsidR="003F7B4F">
        <w:t>/</w:t>
      </w:r>
      <w:r w:rsidR="003F7B4F">
        <w:rPr>
          <w:color w:val="000000"/>
        </w:rPr>
        <w:t>wh</w:t>
      </w:r>
      <w:r w:rsidR="003F7B4F" w:rsidRPr="000E2CE2">
        <w:rPr>
          <w:color w:val="000000"/>
        </w:rPr>
        <w:t>ā</w:t>
      </w:r>
      <w:r w:rsidR="003F7B4F" w:rsidRPr="003F7B4F">
        <w:rPr>
          <w:color w:val="000000"/>
        </w:rPr>
        <w:t>nau</w:t>
      </w:r>
      <w:r w:rsidR="003F7B4F">
        <w:rPr>
          <w:color w:val="000000"/>
        </w:rPr>
        <w:t xml:space="preserve"> </w:t>
      </w:r>
      <w:r w:rsidR="00216550">
        <w:t>are entitled to t</w:t>
      </w:r>
      <w:bookmarkStart w:id="4" w:name="_GoBack"/>
      <w:bookmarkEnd w:id="4"/>
      <w:r w:rsidR="00216550">
        <w:t xml:space="preserve">erminate the participation </w:t>
      </w:r>
      <w:r w:rsidR="0057771A">
        <w:t xml:space="preserve">of their children </w:t>
      </w:r>
      <w:r w:rsidR="00216550">
        <w:t xml:space="preserve">in the study and withdraw their consent at any time, without providing any reason, and without there being any consequences to the quality of their care. </w:t>
      </w:r>
    </w:p>
    <w:p w14:paraId="50CC1810" w14:textId="77777777" w:rsidR="00BB7A2B" w:rsidRDefault="00BB7A2B">
      <w:pPr>
        <w:pBdr>
          <w:top w:val="nil"/>
          <w:left w:val="nil"/>
          <w:bottom w:val="nil"/>
          <w:right w:val="nil"/>
          <w:between w:val="nil"/>
        </w:pBdr>
        <w:spacing w:after="0" w:line="240" w:lineRule="auto"/>
        <w:jc w:val="both"/>
        <w:rPr>
          <w:color w:val="000000"/>
        </w:rPr>
      </w:pPr>
    </w:p>
    <w:p w14:paraId="40C3FBB3" w14:textId="29C681EA" w:rsidR="00BB7A2B" w:rsidRDefault="00216550">
      <w:pPr>
        <w:pBdr>
          <w:top w:val="nil"/>
          <w:left w:val="nil"/>
          <w:bottom w:val="nil"/>
          <w:right w:val="nil"/>
          <w:between w:val="nil"/>
        </w:pBdr>
        <w:spacing w:after="0" w:line="240" w:lineRule="auto"/>
        <w:jc w:val="both"/>
        <w:rPr>
          <w:b/>
          <w:color w:val="000000"/>
        </w:rPr>
      </w:pPr>
      <w:r>
        <w:rPr>
          <w:b/>
          <w:color w:val="000000"/>
        </w:rPr>
        <w:t>Study Standard Operating Procedure (</w:t>
      </w:r>
      <w:r w:rsidR="00B14CB8">
        <w:rPr>
          <w:b/>
          <w:color w:val="000000"/>
        </w:rPr>
        <w:t>S.O.P.</w:t>
      </w:r>
      <w:r>
        <w:rPr>
          <w:b/>
          <w:color w:val="000000"/>
        </w:rPr>
        <w:t>) and Investigator safety</w:t>
      </w:r>
    </w:p>
    <w:p w14:paraId="399BCC5B" w14:textId="77777777" w:rsidR="00BB7A2B" w:rsidRDefault="00BB7A2B">
      <w:pPr>
        <w:pBdr>
          <w:top w:val="nil"/>
          <w:left w:val="nil"/>
          <w:bottom w:val="nil"/>
          <w:right w:val="nil"/>
          <w:between w:val="nil"/>
        </w:pBdr>
        <w:spacing w:after="0" w:line="240" w:lineRule="auto"/>
        <w:jc w:val="both"/>
        <w:rPr>
          <w:color w:val="000000"/>
        </w:rPr>
      </w:pPr>
    </w:p>
    <w:p w14:paraId="28FBA018" w14:textId="30EE0711" w:rsidR="00BB7A2B" w:rsidRDefault="00216550" w:rsidP="00A52152">
      <w:pPr>
        <w:pBdr>
          <w:top w:val="nil"/>
          <w:left w:val="nil"/>
          <w:bottom w:val="nil"/>
          <w:right w:val="nil"/>
          <w:between w:val="nil"/>
        </w:pBdr>
        <w:spacing w:after="0" w:line="240" w:lineRule="auto"/>
        <w:jc w:val="both"/>
        <w:rPr>
          <w:color w:val="000000"/>
        </w:rPr>
      </w:pPr>
      <w:r>
        <w:rPr>
          <w:color w:val="000000"/>
        </w:rPr>
        <w:t>The study will be undertaken according t</w:t>
      </w:r>
      <w:r w:rsidR="00CA0D8F">
        <w:rPr>
          <w:color w:val="000000"/>
        </w:rPr>
        <w:t>o t</w:t>
      </w:r>
      <w:r>
        <w:rPr>
          <w:color w:val="000000"/>
        </w:rPr>
        <w:t>he ICH Good Clinical Practice (GCP) guidelines and Surgical Trials Unit (</w:t>
      </w:r>
      <w:r w:rsidR="00B14CB8">
        <w:rPr>
          <w:color w:val="000000"/>
        </w:rPr>
        <w:t>S.T.U.</w:t>
      </w:r>
      <w:r>
        <w:rPr>
          <w:color w:val="000000"/>
        </w:rPr>
        <w:t xml:space="preserve">) </w:t>
      </w:r>
      <w:r w:rsidR="00B14CB8">
        <w:rPr>
          <w:color w:val="000000"/>
        </w:rPr>
        <w:t>S.O.P.s</w:t>
      </w:r>
      <w:r>
        <w:rPr>
          <w:color w:val="000000"/>
        </w:rPr>
        <w:t xml:space="preserve">. </w:t>
      </w:r>
    </w:p>
    <w:p w14:paraId="583974CF" w14:textId="77777777" w:rsidR="00BB7A2B" w:rsidRDefault="00BB7A2B" w:rsidP="00A52152">
      <w:pPr>
        <w:pBdr>
          <w:top w:val="nil"/>
          <w:left w:val="nil"/>
          <w:bottom w:val="nil"/>
          <w:right w:val="nil"/>
          <w:between w:val="nil"/>
        </w:pBdr>
        <w:spacing w:line="240" w:lineRule="auto"/>
        <w:jc w:val="both"/>
        <w:rPr>
          <w:color w:val="000000"/>
        </w:rPr>
      </w:pPr>
    </w:p>
    <w:p w14:paraId="2F431CF7" w14:textId="3691E1F5" w:rsidR="00BB7A2B" w:rsidRDefault="00216550">
      <w:pPr>
        <w:jc w:val="both"/>
        <w:rPr>
          <w:b/>
        </w:rPr>
      </w:pPr>
      <w:r>
        <w:rPr>
          <w:b/>
        </w:rPr>
        <w:t>Adverse Events (</w:t>
      </w:r>
      <w:r w:rsidR="00B14CB8">
        <w:rPr>
          <w:b/>
        </w:rPr>
        <w:t>A.E.</w:t>
      </w:r>
      <w:r>
        <w:rPr>
          <w:b/>
        </w:rPr>
        <w:t xml:space="preserve">) &amp; safety reporting </w:t>
      </w:r>
    </w:p>
    <w:p w14:paraId="3CBAFB8F" w14:textId="199AF08F" w:rsidR="00BB7A2B" w:rsidRDefault="00B14CB8" w:rsidP="00A52152">
      <w:pPr>
        <w:pBdr>
          <w:top w:val="nil"/>
          <w:left w:val="nil"/>
          <w:bottom w:val="nil"/>
          <w:right w:val="nil"/>
          <w:between w:val="nil"/>
        </w:pBdr>
        <w:spacing w:after="0" w:line="240" w:lineRule="auto"/>
        <w:jc w:val="both"/>
        <w:rPr>
          <w:color w:val="000000"/>
        </w:rPr>
      </w:pPr>
      <w:r>
        <w:rPr>
          <w:color w:val="000000"/>
        </w:rPr>
        <w:t xml:space="preserve">A.E. </w:t>
      </w:r>
      <w:r w:rsidR="00216550">
        <w:rPr>
          <w:color w:val="000000"/>
        </w:rPr>
        <w:t xml:space="preserve">will be reported according to the University of </w:t>
      </w:r>
      <w:r w:rsidR="005074FD">
        <w:rPr>
          <w:color w:val="000000"/>
        </w:rPr>
        <w:t xml:space="preserve">Auckland’s </w:t>
      </w:r>
      <w:r w:rsidR="00216550">
        <w:rPr>
          <w:color w:val="000000"/>
        </w:rPr>
        <w:t xml:space="preserve">STU SOP 19 </w:t>
      </w:r>
      <w:r w:rsidR="005074FD">
        <w:rPr>
          <w:color w:val="000000"/>
        </w:rPr>
        <w:t>(“</w:t>
      </w:r>
      <w:r w:rsidR="00216550">
        <w:rPr>
          <w:color w:val="000000"/>
        </w:rPr>
        <w:t xml:space="preserve">Reporting of research related adverse events in the </w:t>
      </w:r>
      <w:r>
        <w:rPr>
          <w:color w:val="000000"/>
        </w:rPr>
        <w:t>S.T.U</w:t>
      </w:r>
      <w:r w:rsidR="005074FD">
        <w:rPr>
          <w:color w:val="000000"/>
        </w:rPr>
        <w:t>.”).</w:t>
      </w:r>
    </w:p>
    <w:p w14:paraId="6C516FE4" w14:textId="77777777" w:rsidR="00BB7A2B" w:rsidRDefault="00BB7A2B" w:rsidP="00A52152">
      <w:pPr>
        <w:pBdr>
          <w:top w:val="nil"/>
          <w:left w:val="nil"/>
          <w:bottom w:val="nil"/>
          <w:right w:val="nil"/>
          <w:between w:val="nil"/>
        </w:pBdr>
        <w:spacing w:after="0" w:line="240" w:lineRule="auto"/>
        <w:jc w:val="both"/>
        <w:rPr>
          <w:color w:val="000000"/>
        </w:rPr>
      </w:pPr>
    </w:p>
    <w:p w14:paraId="0B3E80F5" w14:textId="13FA6931" w:rsidR="00BB7A2B" w:rsidRDefault="00216550" w:rsidP="00A52152">
      <w:pPr>
        <w:pBdr>
          <w:top w:val="nil"/>
          <w:left w:val="nil"/>
          <w:bottom w:val="nil"/>
          <w:right w:val="nil"/>
          <w:between w:val="nil"/>
        </w:pBdr>
        <w:spacing w:after="0" w:line="240" w:lineRule="auto"/>
        <w:jc w:val="both"/>
        <w:rPr>
          <w:color w:val="000000"/>
        </w:rPr>
      </w:pPr>
      <w:r>
        <w:rPr>
          <w:color w:val="000000"/>
        </w:rPr>
        <w:t>Clinical outcomes will be recorded</w:t>
      </w:r>
      <w:r w:rsidR="00D810CF">
        <w:rPr>
          <w:color w:val="000000"/>
        </w:rPr>
        <w:t>,</w:t>
      </w:r>
      <w:r>
        <w:rPr>
          <w:color w:val="000000"/>
        </w:rPr>
        <w:t xml:space="preserve"> and any complications reported to and monitored by the </w:t>
      </w:r>
      <w:r w:rsidR="00A91A07">
        <w:t>high-risk register of the ADHB Research Review Committee.</w:t>
      </w:r>
    </w:p>
    <w:p w14:paraId="77E5E5AE" w14:textId="77777777" w:rsidR="00BB7A2B" w:rsidRDefault="00BB7A2B" w:rsidP="00A52152">
      <w:pPr>
        <w:pBdr>
          <w:top w:val="nil"/>
          <w:left w:val="nil"/>
          <w:bottom w:val="nil"/>
          <w:right w:val="nil"/>
          <w:between w:val="nil"/>
        </w:pBdr>
        <w:spacing w:after="0" w:line="240" w:lineRule="auto"/>
        <w:jc w:val="both"/>
        <w:rPr>
          <w:color w:val="000000"/>
        </w:rPr>
      </w:pPr>
    </w:p>
    <w:p w14:paraId="49A94AA2" w14:textId="08A24A94" w:rsidR="00BB7A2B" w:rsidRDefault="00216550" w:rsidP="00A52152">
      <w:pPr>
        <w:pBdr>
          <w:top w:val="nil"/>
          <w:left w:val="nil"/>
          <w:bottom w:val="nil"/>
          <w:right w:val="nil"/>
          <w:between w:val="nil"/>
        </w:pBdr>
        <w:spacing w:after="0" w:line="240" w:lineRule="auto"/>
        <w:jc w:val="both"/>
        <w:rPr>
          <w:color w:val="000000"/>
        </w:rPr>
      </w:pPr>
      <w:r>
        <w:rPr>
          <w:color w:val="000000"/>
        </w:rPr>
        <w:t xml:space="preserve">In the </w:t>
      </w:r>
      <w:r w:rsidR="00E04C19">
        <w:rPr>
          <w:color w:val="000000"/>
        </w:rPr>
        <w:t xml:space="preserve">unlikely event </w:t>
      </w:r>
      <w:r>
        <w:rPr>
          <w:color w:val="000000"/>
        </w:rPr>
        <w:t xml:space="preserve">of any serious adverse events deemed secondary to the use of </w:t>
      </w:r>
      <w:r w:rsidR="00662075">
        <w:rPr>
          <w:color w:val="000000"/>
        </w:rPr>
        <w:t xml:space="preserve">the </w:t>
      </w:r>
      <w:r w:rsidR="00E04C19">
        <w:rPr>
          <w:color w:val="000000"/>
        </w:rPr>
        <w:t>directional flow refeeding appliance</w:t>
      </w:r>
      <w:r>
        <w:rPr>
          <w:color w:val="000000"/>
        </w:rPr>
        <w:t>, we will pause the trial until further investigation and approval by the ethics committee.</w:t>
      </w:r>
    </w:p>
    <w:p w14:paraId="7EA0FD98" w14:textId="77777777" w:rsidR="00BB7A2B" w:rsidRDefault="00BB7A2B" w:rsidP="00A52152">
      <w:pPr>
        <w:pBdr>
          <w:top w:val="nil"/>
          <w:left w:val="nil"/>
          <w:bottom w:val="nil"/>
          <w:right w:val="nil"/>
          <w:between w:val="nil"/>
        </w:pBdr>
        <w:spacing w:after="0" w:line="240" w:lineRule="auto"/>
        <w:jc w:val="both"/>
        <w:rPr>
          <w:color w:val="000000"/>
        </w:rPr>
      </w:pPr>
    </w:p>
    <w:p w14:paraId="012D9AC5" w14:textId="5513D812" w:rsidR="00BB7A2B" w:rsidRDefault="00B14CB8" w:rsidP="00A52152">
      <w:pPr>
        <w:jc w:val="both"/>
      </w:pPr>
      <w:r>
        <w:t xml:space="preserve">A.E. </w:t>
      </w:r>
      <w:r w:rsidR="00216550">
        <w:t>will be recorded from consent to study completion or withdrawal. Investigators shall complete individual adverse event reports in the approved log detailing the event type, cause, seriousness, grading, device relatedness, treatment, and outcomes.</w:t>
      </w:r>
    </w:p>
    <w:p w14:paraId="4D97366E" w14:textId="0B915371" w:rsidR="00BB7A2B" w:rsidRDefault="00216550" w:rsidP="00A52152">
      <w:pPr>
        <w:jc w:val="both"/>
      </w:pPr>
      <w:r>
        <w:lastRenderedPageBreak/>
        <w:t>Should any unanticipated serious adverse event occur</w:t>
      </w:r>
      <w:r w:rsidR="00993FA7">
        <w:t>,</w:t>
      </w:r>
      <w:r>
        <w:t xml:space="preserve"> it will be reported </w:t>
      </w:r>
      <w:r w:rsidR="00E04C19">
        <w:t>within</w:t>
      </w:r>
      <w:r>
        <w:t xml:space="preserve"> 48 hours of the </w:t>
      </w:r>
      <w:r w:rsidR="005074FD">
        <w:t xml:space="preserve">investigators’ awareness </w:t>
      </w:r>
      <w:r>
        <w:t>of the event. All adverse events</w:t>
      </w:r>
      <w:r w:rsidR="00523ECA">
        <w:t>,</w:t>
      </w:r>
      <w:r>
        <w:t xml:space="preserve"> regardless of relationship to the device</w:t>
      </w:r>
      <w:r w:rsidR="00CB50BD">
        <w:t>,</w:t>
      </w:r>
      <w:r>
        <w:t xml:space="preserve"> will be followed to resolution – or stabili</w:t>
      </w:r>
      <w:r w:rsidR="00607424">
        <w:t>s</w:t>
      </w:r>
      <w:r>
        <w:t>ation, if</w:t>
      </w:r>
      <w:r w:rsidR="00CB50BD">
        <w:t xml:space="preserve"> </w:t>
      </w:r>
      <w:r w:rsidR="00B14CB8">
        <w:t xml:space="preserve">a </w:t>
      </w:r>
      <w:r>
        <w:t xml:space="preserve">solution is not expected. </w:t>
      </w:r>
    </w:p>
    <w:p w14:paraId="3D100303" w14:textId="23804F49" w:rsidR="00BB7A2B" w:rsidRDefault="00216550" w:rsidP="00A52152">
      <w:pPr>
        <w:jc w:val="both"/>
      </w:pPr>
      <w:r>
        <w:t>I</w:t>
      </w:r>
      <w:r w:rsidR="00662075">
        <w:t>f</w:t>
      </w:r>
      <w:r>
        <w:t xml:space="preserve"> the serious </w:t>
      </w:r>
      <w:r w:rsidR="00B14CB8">
        <w:t xml:space="preserve">A.E. </w:t>
      </w:r>
      <w:r>
        <w:t xml:space="preserve">leads to death, the Investigator must provide a narrative summary of circumstances and events related to the death, and cause of death, if known. All deaths </w:t>
      </w:r>
      <w:r w:rsidR="00E222B2" w:rsidRPr="00E222B2">
        <w:t>throughout the</w:t>
      </w:r>
      <w:r>
        <w:t xml:space="preserve"> study must be reported within 24 hours of the knowledge of the event.</w:t>
      </w:r>
    </w:p>
    <w:p w14:paraId="2A50625B" w14:textId="0475F37D" w:rsidR="00BB7A2B" w:rsidRDefault="00216550" w:rsidP="00A52152">
      <w:pPr>
        <w:jc w:val="both"/>
      </w:pPr>
      <w:r>
        <w:t xml:space="preserve">The Investigator shall submit to the ethics committees a report of any serious unanticipated adverse device effect (UADE) occurring during an investigation as soon as possible, but in no event later than five working days after the </w:t>
      </w:r>
      <w:r w:rsidR="00E222B2">
        <w:t>I</w:t>
      </w:r>
      <w:r>
        <w:t xml:space="preserve">nvestigator learns of the </w:t>
      </w:r>
      <w:r w:rsidR="00B14CB8">
        <w:t>outcome</w:t>
      </w:r>
      <w:r>
        <w:t xml:space="preserve">. </w:t>
      </w:r>
    </w:p>
    <w:p w14:paraId="1082B6DB" w14:textId="77777777" w:rsidR="00E04C19" w:rsidRDefault="00E04C19" w:rsidP="00A52152">
      <w:pPr>
        <w:spacing w:after="0"/>
      </w:pPr>
    </w:p>
    <w:p w14:paraId="68DA15D9" w14:textId="77777777" w:rsidR="00BB7A2B" w:rsidRDefault="00216550">
      <w:pPr>
        <w:pBdr>
          <w:top w:val="nil"/>
          <w:left w:val="nil"/>
          <w:bottom w:val="nil"/>
          <w:right w:val="nil"/>
          <w:between w:val="nil"/>
        </w:pBdr>
        <w:spacing w:after="0" w:line="240" w:lineRule="auto"/>
        <w:rPr>
          <w:b/>
          <w:color w:val="000000"/>
          <w:u w:val="single"/>
        </w:rPr>
      </w:pPr>
      <w:r>
        <w:rPr>
          <w:b/>
          <w:color w:val="000000"/>
          <w:u w:val="single"/>
        </w:rPr>
        <w:t>ADVERSE EVENT TERMINOLOGY:</w:t>
      </w:r>
    </w:p>
    <w:p w14:paraId="1185090A" w14:textId="77777777" w:rsidR="00BB7A2B" w:rsidRDefault="00BB7A2B">
      <w:pPr>
        <w:pBdr>
          <w:top w:val="nil"/>
          <w:left w:val="nil"/>
          <w:bottom w:val="nil"/>
          <w:right w:val="nil"/>
          <w:between w:val="nil"/>
        </w:pBdr>
        <w:spacing w:after="0" w:line="240" w:lineRule="auto"/>
        <w:rPr>
          <w:color w:val="000000"/>
        </w:rPr>
      </w:pPr>
    </w:p>
    <w:tbl>
      <w:tblPr>
        <w:tblStyle w:val="a1"/>
        <w:tblW w:w="7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505"/>
      </w:tblGrid>
      <w:tr w:rsidR="00BB7A2B" w14:paraId="7C8BC34D" w14:textId="77777777">
        <w:trPr>
          <w:jc w:val="center"/>
        </w:trPr>
        <w:tc>
          <w:tcPr>
            <w:tcW w:w="2405" w:type="dxa"/>
          </w:tcPr>
          <w:p w14:paraId="37B88AFE" w14:textId="77777777" w:rsidR="00BB7A2B" w:rsidRDefault="00216550">
            <w:pPr>
              <w:jc w:val="center"/>
              <w:rPr>
                <w:b/>
              </w:rPr>
            </w:pPr>
            <w:r>
              <w:rPr>
                <w:b/>
              </w:rPr>
              <w:t>TERM</w:t>
            </w:r>
          </w:p>
        </w:tc>
        <w:tc>
          <w:tcPr>
            <w:tcW w:w="5505" w:type="dxa"/>
          </w:tcPr>
          <w:p w14:paraId="3DB8FB41" w14:textId="77777777" w:rsidR="00BB7A2B" w:rsidRDefault="00216550">
            <w:pPr>
              <w:jc w:val="center"/>
              <w:rPr>
                <w:b/>
              </w:rPr>
            </w:pPr>
            <w:r>
              <w:rPr>
                <w:b/>
              </w:rPr>
              <w:t>DEFINITION</w:t>
            </w:r>
          </w:p>
        </w:tc>
      </w:tr>
      <w:tr w:rsidR="00BB7A2B" w14:paraId="6F099359" w14:textId="77777777">
        <w:trPr>
          <w:jc w:val="center"/>
        </w:trPr>
        <w:tc>
          <w:tcPr>
            <w:tcW w:w="2405" w:type="dxa"/>
          </w:tcPr>
          <w:p w14:paraId="18D0673F" w14:textId="3C0AAD1F" w:rsidR="00BB7A2B" w:rsidRDefault="00216550">
            <w:r>
              <w:t>Adverse Event (</w:t>
            </w:r>
            <w:r w:rsidR="00B14CB8">
              <w:t>A.E.</w:t>
            </w:r>
            <w:r>
              <w:t>)</w:t>
            </w:r>
          </w:p>
        </w:tc>
        <w:tc>
          <w:tcPr>
            <w:tcW w:w="5505" w:type="dxa"/>
          </w:tcPr>
          <w:p w14:paraId="0E15A28C" w14:textId="6CB4794F" w:rsidR="00BB7A2B" w:rsidRDefault="00216550">
            <w:r>
              <w:t xml:space="preserve">Any untoward medical occurrence in a subject, which does not necessarily have a causal relationship with the treatment or device intervention. An </w:t>
            </w:r>
            <w:r w:rsidR="00B14CB8">
              <w:t xml:space="preserve">A.E. </w:t>
            </w:r>
            <w:r>
              <w:t>can be any unfavourable and unintended sign (such as an abnormal laboratory finding), symptom, or disease temporally associated with the use of the study device, whether or not it is considered to be</w:t>
            </w:r>
            <w:r w:rsidR="004A4EE6">
              <w:t xml:space="preserve"> related to the</w:t>
            </w:r>
            <w:r>
              <w:t xml:space="preserve"> study device. This includes any newly occurring event or previous condition that has increased in severity or frequency since enrolment in the study.</w:t>
            </w:r>
          </w:p>
        </w:tc>
      </w:tr>
      <w:tr w:rsidR="00BB7A2B" w14:paraId="3A317510" w14:textId="77777777">
        <w:trPr>
          <w:jc w:val="center"/>
        </w:trPr>
        <w:tc>
          <w:tcPr>
            <w:tcW w:w="2405" w:type="dxa"/>
          </w:tcPr>
          <w:p w14:paraId="5D66A9E7" w14:textId="629EBF59" w:rsidR="00BB7A2B" w:rsidRDefault="00216550">
            <w:r>
              <w:t>Serious Adverse Event (</w:t>
            </w:r>
            <w:r w:rsidR="00B14CB8">
              <w:t>S.A.E.</w:t>
            </w:r>
            <w:r>
              <w:t>)</w:t>
            </w:r>
          </w:p>
        </w:tc>
        <w:tc>
          <w:tcPr>
            <w:tcW w:w="5505" w:type="dxa"/>
          </w:tcPr>
          <w:p w14:paraId="4690E466" w14:textId="77777777" w:rsidR="00BB7A2B" w:rsidRDefault="00216550">
            <w:r>
              <w:t>An adverse event will be considered serious if it meets at least one of the following criteria, regardless of causality or relationship to the study device.</w:t>
            </w:r>
          </w:p>
          <w:p w14:paraId="3F9702F5" w14:textId="77777777" w:rsidR="00BB7A2B" w:rsidRDefault="00216550">
            <w:pPr>
              <w:numPr>
                <w:ilvl w:val="0"/>
                <w:numId w:val="5"/>
              </w:numPr>
              <w:pBdr>
                <w:top w:val="nil"/>
                <w:left w:val="nil"/>
                <w:bottom w:val="nil"/>
                <w:right w:val="nil"/>
                <w:between w:val="nil"/>
              </w:pBdr>
              <w:spacing w:line="259" w:lineRule="auto"/>
              <w:ind w:right="720"/>
              <w:rPr>
                <w:color w:val="000000"/>
              </w:rPr>
            </w:pPr>
            <w:r>
              <w:rPr>
                <w:color w:val="000000"/>
              </w:rPr>
              <w:t>results in fatality</w:t>
            </w:r>
          </w:p>
          <w:p w14:paraId="1F594C0B" w14:textId="2A809E53" w:rsidR="00BB7A2B" w:rsidRDefault="00216550">
            <w:pPr>
              <w:numPr>
                <w:ilvl w:val="0"/>
                <w:numId w:val="5"/>
              </w:numPr>
              <w:pBdr>
                <w:top w:val="nil"/>
                <w:left w:val="nil"/>
                <w:bottom w:val="nil"/>
                <w:right w:val="nil"/>
                <w:between w:val="nil"/>
              </w:pBdr>
              <w:spacing w:line="259" w:lineRule="auto"/>
              <w:ind w:right="720"/>
              <w:rPr>
                <w:color w:val="000000"/>
              </w:rPr>
            </w:pPr>
            <w:r>
              <w:rPr>
                <w:color w:val="000000"/>
              </w:rPr>
              <w:t xml:space="preserve">is life-threatening – </w:t>
            </w:r>
            <w:r w:rsidR="00237184">
              <w:rPr>
                <w:color w:val="000000"/>
              </w:rPr>
              <w:t xml:space="preserve">the </w:t>
            </w:r>
            <w:r>
              <w:rPr>
                <w:color w:val="000000"/>
              </w:rPr>
              <w:t>subject was at immediate risk of death from the reaction as it occurred, i.e. it does not include a reaction which hypothetically might have caused death had it occurred in a more severe form.</w:t>
            </w:r>
          </w:p>
          <w:p w14:paraId="3FC71012" w14:textId="77777777" w:rsidR="00BB7A2B" w:rsidRDefault="00216550">
            <w:pPr>
              <w:numPr>
                <w:ilvl w:val="0"/>
                <w:numId w:val="5"/>
              </w:numPr>
              <w:pBdr>
                <w:top w:val="nil"/>
                <w:left w:val="nil"/>
                <w:bottom w:val="nil"/>
                <w:right w:val="nil"/>
                <w:between w:val="nil"/>
              </w:pBdr>
              <w:spacing w:line="259" w:lineRule="auto"/>
              <w:ind w:right="720"/>
              <w:rPr>
                <w:color w:val="000000"/>
              </w:rPr>
            </w:pPr>
            <w:r>
              <w:rPr>
                <w:color w:val="000000"/>
              </w:rPr>
              <w:t>results in persistent or significant disability/incapacity, or</w:t>
            </w:r>
          </w:p>
          <w:p w14:paraId="52C066B8" w14:textId="0767D930" w:rsidR="00BB7A2B" w:rsidRDefault="00216550">
            <w:pPr>
              <w:numPr>
                <w:ilvl w:val="0"/>
                <w:numId w:val="5"/>
              </w:numPr>
              <w:pBdr>
                <w:top w:val="nil"/>
                <w:left w:val="nil"/>
                <w:bottom w:val="nil"/>
                <w:right w:val="nil"/>
                <w:between w:val="nil"/>
              </w:pBdr>
              <w:spacing w:after="160" w:line="259" w:lineRule="auto"/>
              <w:ind w:right="720"/>
              <w:rPr>
                <w:color w:val="000000"/>
              </w:rPr>
            </w:pPr>
            <w:r>
              <w:rPr>
                <w:color w:val="000000"/>
              </w:rPr>
              <w:t>requires inpatient hospitali</w:t>
            </w:r>
            <w:r w:rsidR="00607424">
              <w:rPr>
                <w:color w:val="000000"/>
              </w:rPr>
              <w:t>s</w:t>
            </w:r>
            <w:r>
              <w:rPr>
                <w:color w:val="000000"/>
              </w:rPr>
              <w:t>ation or prolongs a hospital stay during the period of the therapy or within 24 hours after completion of study exit.</w:t>
            </w:r>
          </w:p>
        </w:tc>
      </w:tr>
      <w:tr w:rsidR="00BB7A2B" w14:paraId="7BDED9CF" w14:textId="77777777">
        <w:trPr>
          <w:jc w:val="center"/>
        </w:trPr>
        <w:tc>
          <w:tcPr>
            <w:tcW w:w="2405" w:type="dxa"/>
          </w:tcPr>
          <w:p w14:paraId="1664C6F3" w14:textId="77777777" w:rsidR="00BB7A2B" w:rsidRDefault="00216550">
            <w:r>
              <w:t>Unanticipated adverse device or therapy effect</w:t>
            </w:r>
          </w:p>
        </w:tc>
        <w:tc>
          <w:tcPr>
            <w:tcW w:w="5505" w:type="dxa"/>
          </w:tcPr>
          <w:p w14:paraId="33310D7A" w14:textId="35E078BB" w:rsidR="00BB7A2B" w:rsidRDefault="00216550">
            <w:r>
              <w:t>Any unanticipated, serious adverse effect on health or safety or any life-threatening problem or death caused by or associated with the use of the device or therapy.</w:t>
            </w:r>
          </w:p>
        </w:tc>
      </w:tr>
      <w:tr w:rsidR="00BB7A2B" w:rsidRPr="000167DA" w14:paraId="302CE7C1" w14:textId="77777777">
        <w:trPr>
          <w:jc w:val="center"/>
        </w:trPr>
        <w:tc>
          <w:tcPr>
            <w:tcW w:w="2405" w:type="dxa"/>
          </w:tcPr>
          <w:p w14:paraId="2F56C7E5" w14:textId="77777777" w:rsidR="00BB7A2B" w:rsidRPr="000167DA" w:rsidRDefault="00216550">
            <w:pPr>
              <w:jc w:val="center"/>
              <w:rPr>
                <w:bCs/>
              </w:rPr>
            </w:pPr>
            <w:r w:rsidRPr="000167DA">
              <w:rPr>
                <w:bCs/>
              </w:rPr>
              <w:t>TERM</w:t>
            </w:r>
          </w:p>
        </w:tc>
        <w:tc>
          <w:tcPr>
            <w:tcW w:w="5505" w:type="dxa"/>
          </w:tcPr>
          <w:p w14:paraId="2F3F7309" w14:textId="77777777" w:rsidR="00BB7A2B" w:rsidRPr="000167DA" w:rsidRDefault="00216550">
            <w:pPr>
              <w:jc w:val="center"/>
              <w:rPr>
                <w:bCs/>
              </w:rPr>
            </w:pPr>
            <w:r w:rsidRPr="000167DA">
              <w:rPr>
                <w:bCs/>
              </w:rPr>
              <w:t>RELATEDNESS</w:t>
            </w:r>
          </w:p>
        </w:tc>
      </w:tr>
      <w:tr w:rsidR="00BB7A2B" w14:paraId="377F3C78" w14:textId="77777777">
        <w:trPr>
          <w:jc w:val="center"/>
        </w:trPr>
        <w:tc>
          <w:tcPr>
            <w:tcW w:w="2405" w:type="dxa"/>
          </w:tcPr>
          <w:p w14:paraId="45C39587" w14:textId="77777777" w:rsidR="00BB7A2B" w:rsidRDefault="00216550">
            <w:r>
              <w:t>Device-related</w:t>
            </w:r>
          </w:p>
        </w:tc>
        <w:tc>
          <w:tcPr>
            <w:tcW w:w="5505" w:type="dxa"/>
          </w:tcPr>
          <w:p w14:paraId="7B4C41A4" w14:textId="77777777" w:rsidR="00BB7A2B" w:rsidRDefault="00216550">
            <w:r>
              <w:t>In the judgment of the Principal Investigator, there is a logical connection between the use of the device and the occurrence of the adverse event, above and beyond any underlying disease process itself.</w:t>
            </w:r>
          </w:p>
        </w:tc>
      </w:tr>
      <w:tr w:rsidR="00BB7A2B" w14:paraId="4F64B907" w14:textId="77777777">
        <w:trPr>
          <w:jc w:val="center"/>
        </w:trPr>
        <w:tc>
          <w:tcPr>
            <w:tcW w:w="2405" w:type="dxa"/>
          </w:tcPr>
          <w:p w14:paraId="273FA63B" w14:textId="77777777" w:rsidR="00BB7A2B" w:rsidRDefault="00216550">
            <w:r>
              <w:lastRenderedPageBreak/>
              <w:t>Procedure-related</w:t>
            </w:r>
          </w:p>
        </w:tc>
        <w:tc>
          <w:tcPr>
            <w:tcW w:w="5505" w:type="dxa"/>
          </w:tcPr>
          <w:p w14:paraId="4FD8E8B8" w14:textId="77777777" w:rsidR="00BB7A2B" w:rsidRDefault="00216550">
            <w:r>
              <w:t>In the judgment of the Principal Investigator, there is a logical connection between the procedure and the occurrence of the adverse event, above and beyond any underlying disease process itself.</w:t>
            </w:r>
          </w:p>
        </w:tc>
      </w:tr>
      <w:tr w:rsidR="00BB7A2B" w14:paraId="6FD4A6C7" w14:textId="77777777">
        <w:trPr>
          <w:jc w:val="center"/>
        </w:trPr>
        <w:tc>
          <w:tcPr>
            <w:tcW w:w="2405" w:type="dxa"/>
          </w:tcPr>
          <w:p w14:paraId="661B27BE" w14:textId="77777777" w:rsidR="00BB7A2B" w:rsidRDefault="00216550">
            <w:r>
              <w:t>Pre-existing condition</w:t>
            </w:r>
          </w:p>
        </w:tc>
        <w:tc>
          <w:tcPr>
            <w:tcW w:w="5505" w:type="dxa"/>
          </w:tcPr>
          <w:p w14:paraId="3AD09AEF" w14:textId="77777777" w:rsidR="00BB7A2B" w:rsidRDefault="00216550">
            <w:r>
              <w:t>In the judgment of the Principal Investigator, there is a logical connection to a pre-existing health condition and the occurrence of the adverse event.</w:t>
            </w:r>
          </w:p>
        </w:tc>
      </w:tr>
      <w:tr w:rsidR="00BB7A2B" w14:paraId="75184629" w14:textId="77777777">
        <w:trPr>
          <w:jc w:val="center"/>
        </w:trPr>
        <w:tc>
          <w:tcPr>
            <w:tcW w:w="2405" w:type="dxa"/>
          </w:tcPr>
          <w:p w14:paraId="4C0F05F8" w14:textId="77777777" w:rsidR="00BB7A2B" w:rsidRDefault="00216550">
            <w:r>
              <w:t>Device malfunction</w:t>
            </w:r>
          </w:p>
        </w:tc>
        <w:tc>
          <w:tcPr>
            <w:tcW w:w="5505" w:type="dxa"/>
          </w:tcPr>
          <w:p w14:paraId="7764E7A9" w14:textId="77777777" w:rsidR="00BB7A2B" w:rsidRDefault="00216550">
            <w:r>
              <w:t>Failure of the device to meet its performance specifications, or otherwise perform as intended.</w:t>
            </w:r>
          </w:p>
        </w:tc>
      </w:tr>
      <w:tr w:rsidR="00BB7A2B" w14:paraId="5F036F08" w14:textId="77777777">
        <w:trPr>
          <w:jc w:val="center"/>
        </w:trPr>
        <w:tc>
          <w:tcPr>
            <w:tcW w:w="7910" w:type="dxa"/>
            <w:gridSpan w:val="2"/>
          </w:tcPr>
          <w:p w14:paraId="3F489831" w14:textId="77777777" w:rsidR="00BB7A2B" w:rsidRDefault="00216550">
            <w:pPr>
              <w:jc w:val="center"/>
              <w:rPr>
                <w:b/>
              </w:rPr>
            </w:pPr>
            <w:r>
              <w:rPr>
                <w:b/>
              </w:rPr>
              <w:t>OUTCOMES</w:t>
            </w:r>
          </w:p>
        </w:tc>
      </w:tr>
      <w:tr w:rsidR="00BB7A2B" w14:paraId="0B68FA68" w14:textId="77777777">
        <w:trPr>
          <w:jc w:val="center"/>
        </w:trPr>
        <w:tc>
          <w:tcPr>
            <w:tcW w:w="2405" w:type="dxa"/>
          </w:tcPr>
          <w:p w14:paraId="21C780F1" w14:textId="77777777" w:rsidR="00BB7A2B" w:rsidRDefault="00216550">
            <w:r>
              <w:t>Outcomes</w:t>
            </w:r>
          </w:p>
        </w:tc>
        <w:tc>
          <w:tcPr>
            <w:tcW w:w="5505" w:type="dxa"/>
          </w:tcPr>
          <w:p w14:paraId="7DAA5AC4" w14:textId="6DCC014E" w:rsidR="00BB7A2B" w:rsidRDefault="00216550">
            <w:r>
              <w:t xml:space="preserve">Outcomes will be coded as one of the following: resolved, resolved with sequelae, unresolved at </w:t>
            </w:r>
            <w:r w:rsidR="00813645">
              <w:t xml:space="preserve">the </w:t>
            </w:r>
            <w:r>
              <w:t xml:space="preserve">end of </w:t>
            </w:r>
            <w:r w:rsidR="00A65DA7">
              <w:t xml:space="preserve">the </w:t>
            </w:r>
            <w:r>
              <w:t>study, death, and unknown</w:t>
            </w:r>
          </w:p>
        </w:tc>
      </w:tr>
    </w:tbl>
    <w:p w14:paraId="555B1C28" w14:textId="77777777" w:rsidR="00BB7A2B" w:rsidRDefault="00BB7A2B" w:rsidP="00A52152">
      <w:pPr>
        <w:pBdr>
          <w:top w:val="nil"/>
          <w:left w:val="nil"/>
          <w:bottom w:val="nil"/>
          <w:right w:val="nil"/>
          <w:between w:val="nil"/>
        </w:pBdr>
        <w:spacing w:line="240" w:lineRule="auto"/>
        <w:rPr>
          <w:color w:val="000000"/>
        </w:rPr>
      </w:pPr>
    </w:p>
    <w:p w14:paraId="23540319" w14:textId="77777777" w:rsidR="00BB7A2B" w:rsidRDefault="00216550">
      <w:pPr>
        <w:jc w:val="both"/>
        <w:rPr>
          <w:b/>
        </w:rPr>
      </w:pPr>
      <w:r>
        <w:rPr>
          <w:b/>
        </w:rPr>
        <w:t>Study funding</w:t>
      </w:r>
    </w:p>
    <w:p w14:paraId="6383C69E" w14:textId="6A2DFA6B" w:rsidR="003F7B4F" w:rsidRDefault="000167DA" w:rsidP="000167DA">
      <w:pPr>
        <w:jc w:val="both"/>
        <w:rPr>
          <w:bCs/>
        </w:rPr>
      </w:pPr>
      <w:r w:rsidRPr="000167DA">
        <w:rPr>
          <w:bCs/>
        </w:rPr>
        <w:t xml:space="preserve">This study </w:t>
      </w:r>
      <w:r w:rsidR="00B05ADB" w:rsidRPr="000167DA">
        <w:rPr>
          <w:bCs/>
        </w:rPr>
        <w:t>w</w:t>
      </w:r>
      <w:r w:rsidR="00B05ADB">
        <w:rPr>
          <w:bCs/>
        </w:rPr>
        <w:t xml:space="preserve">ill be </w:t>
      </w:r>
      <w:r w:rsidRPr="000167DA">
        <w:rPr>
          <w:bCs/>
        </w:rPr>
        <w:t xml:space="preserve">funded by </w:t>
      </w:r>
      <w:r w:rsidR="003E72B9">
        <w:rPr>
          <w:bCs/>
        </w:rPr>
        <w:t>T</w:t>
      </w:r>
      <w:r w:rsidRPr="000167DA">
        <w:rPr>
          <w:bCs/>
        </w:rPr>
        <w:t xml:space="preserve">he </w:t>
      </w:r>
      <w:r w:rsidR="003E72B9">
        <w:rPr>
          <w:bCs/>
        </w:rPr>
        <w:t>Insides Company Limited</w:t>
      </w:r>
      <w:r w:rsidR="003F7B4F">
        <w:rPr>
          <w:bCs/>
        </w:rPr>
        <w:t xml:space="preserve"> (sponsor)</w:t>
      </w:r>
      <w:r>
        <w:rPr>
          <w:bCs/>
        </w:rPr>
        <w:t>.</w:t>
      </w:r>
      <w:r w:rsidR="003F7B4F">
        <w:rPr>
          <w:bCs/>
        </w:rPr>
        <w:t xml:space="preserve"> </w:t>
      </w:r>
    </w:p>
    <w:p w14:paraId="16D155B7" w14:textId="5E6F2D48" w:rsidR="000167DA" w:rsidRDefault="000167DA" w:rsidP="000167DA">
      <w:pPr>
        <w:spacing w:after="0"/>
        <w:jc w:val="both"/>
        <w:rPr>
          <w:bCs/>
        </w:rPr>
      </w:pPr>
    </w:p>
    <w:p w14:paraId="6A291A11" w14:textId="5863652C" w:rsidR="003E72B9" w:rsidRPr="003E72B9" w:rsidRDefault="003E72B9" w:rsidP="000167DA">
      <w:pPr>
        <w:spacing w:after="0"/>
        <w:jc w:val="both"/>
        <w:rPr>
          <w:b/>
          <w:bCs/>
        </w:rPr>
      </w:pPr>
      <w:r w:rsidRPr="003E72B9">
        <w:rPr>
          <w:b/>
          <w:bCs/>
        </w:rPr>
        <w:t>Disclosure</w:t>
      </w:r>
    </w:p>
    <w:p w14:paraId="782D309B" w14:textId="4350F2A8" w:rsidR="003E72B9" w:rsidRDefault="003E72B9" w:rsidP="000167DA">
      <w:pPr>
        <w:spacing w:after="0"/>
        <w:jc w:val="both"/>
        <w:rPr>
          <w:bCs/>
        </w:rPr>
      </w:pPr>
    </w:p>
    <w:p w14:paraId="1379E93B" w14:textId="7847CF9E" w:rsidR="003E72B9" w:rsidRDefault="003E72B9" w:rsidP="000167DA">
      <w:pPr>
        <w:spacing w:after="0"/>
        <w:jc w:val="both"/>
        <w:rPr>
          <w:bCs/>
        </w:rPr>
      </w:pPr>
      <w:r>
        <w:rPr>
          <w:bCs/>
        </w:rPr>
        <w:t xml:space="preserve">Prof. Greg O’Grady and Prof. Ian Bissett are founders and shareholders of The Insides Company, which is sponsoring and manufactures the devices used in the study. None of them will participate in the statistical analysis of the results of the study. </w:t>
      </w:r>
    </w:p>
    <w:p w14:paraId="3FA45530" w14:textId="78E96E6D" w:rsidR="003E72B9" w:rsidRDefault="003E72B9" w:rsidP="000167DA">
      <w:pPr>
        <w:spacing w:after="0"/>
        <w:jc w:val="both"/>
        <w:rPr>
          <w:bCs/>
        </w:rPr>
      </w:pPr>
    </w:p>
    <w:p w14:paraId="2E3E45BB" w14:textId="77777777" w:rsidR="003E72B9" w:rsidRPr="000167DA" w:rsidRDefault="003E72B9" w:rsidP="000167DA">
      <w:pPr>
        <w:spacing w:after="0"/>
        <w:jc w:val="both"/>
        <w:rPr>
          <w:bCs/>
        </w:rPr>
      </w:pPr>
    </w:p>
    <w:p w14:paraId="4E17CA5E" w14:textId="7F69E7A4" w:rsidR="005252ED" w:rsidRDefault="00216550" w:rsidP="000167DA">
      <w:pPr>
        <w:spacing w:after="0"/>
        <w:jc w:val="both"/>
        <w:rPr>
          <w:b/>
          <w:sz w:val="28"/>
          <w:szCs w:val="28"/>
          <w:u w:val="single"/>
        </w:rPr>
      </w:pPr>
      <w:r>
        <w:rPr>
          <w:b/>
          <w:sz w:val="28"/>
          <w:szCs w:val="28"/>
          <w:u w:val="single"/>
        </w:rPr>
        <w:t>Ethical considerations</w:t>
      </w:r>
    </w:p>
    <w:p w14:paraId="46C7BC97" w14:textId="77777777" w:rsidR="000167DA" w:rsidRDefault="000167DA" w:rsidP="000167DA">
      <w:pPr>
        <w:spacing w:after="0"/>
        <w:jc w:val="both"/>
        <w:rPr>
          <w:b/>
        </w:rPr>
      </w:pPr>
    </w:p>
    <w:p w14:paraId="785FCBFB" w14:textId="2F2558AD" w:rsidR="00BB7A2B" w:rsidRDefault="00216550">
      <w:pPr>
        <w:jc w:val="both"/>
        <w:rPr>
          <w:b/>
        </w:rPr>
      </w:pPr>
      <w:r>
        <w:rPr>
          <w:b/>
        </w:rPr>
        <w:t>Risks and Benefits</w:t>
      </w:r>
    </w:p>
    <w:p w14:paraId="5D0B42E1" w14:textId="500D7355" w:rsidR="00DC2827" w:rsidRDefault="00176606" w:rsidP="00176606">
      <w:pPr>
        <w:jc w:val="both"/>
      </w:pPr>
      <w:r>
        <w:t>The main risk to patients will involve reflux or leak of stoma contents</w:t>
      </w:r>
      <w:r w:rsidR="003F7B4F">
        <w:t xml:space="preserve">, although this risk is expected to be low </w:t>
      </w:r>
      <w:r w:rsidR="00DC2827">
        <w:t>because the device has been comprehensively tested in benchtop studies</w:t>
      </w:r>
      <w:r>
        <w:t xml:space="preserve">.  Irritation of the skin could occur around the stoma bag, but these events should be minimised because the bag is firmly adherent to the directional flow appliance. </w:t>
      </w:r>
    </w:p>
    <w:p w14:paraId="68D7552B" w14:textId="680B6B6C" w:rsidR="00DC2827" w:rsidRDefault="00176606" w:rsidP="00176606">
      <w:pPr>
        <w:jc w:val="both"/>
      </w:pPr>
      <w:r>
        <w:t xml:space="preserve">There is a risk of obstruction in the device; however, this risk is low because </w:t>
      </w:r>
      <w:r w:rsidR="005074FD">
        <w:t xml:space="preserve">neonates’ </w:t>
      </w:r>
      <w:r>
        <w:t xml:space="preserve">enteral contents are usually liquid, and the catheter rarely becomes obstructed.  If an obstruction occurs, reflux may present, and the catheter should be unclogged. </w:t>
      </w:r>
    </w:p>
    <w:p w14:paraId="3D5E8894" w14:textId="75924C5C" w:rsidR="00176606" w:rsidRDefault="00176606" w:rsidP="00176606">
      <w:pPr>
        <w:jc w:val="both"/>
      </w:pPr>
      <w:r>
        <w:t>A further risk is bowel damage; however, this risk is unlikely because the catheter material is an off-the-shelf soft and pliable enteral feeding tube</w:t>
      </w:r>
      <w:r w:rsidR="00DC2827">
        <w:t>. The same catheter insertion and use processes are already in</w:t>
      </w:r>
      <w:r>
        <w:t xml:space="preserve"> use</w:t>
      </w:r>
      <w:r w:rsidR="00DC2827">
        <w:t xml:space="preserve"> </w:t>
      </w:r>
      <w:r>
        <w:t xml:space="preserve">in the NICU </w:t>
      </w:r>
      <w:r w:rsidR="00DC2827">
        <w:t xml:space="preserve">staff at Auckland, so the risks of this complication will not be increased in Auckland by </w:t>
      </w:r>
      <w:r w:rsidR="005074FD">
        <w:t>including</w:t>
      </w:r>
      <w:r w:rsidR="00DC2827">
        <w:t xml:space="preserve"> patients in this study</w:t>
      </w:r>
      <w:r>
        <w:t>.  If bowel abrasion is suspected, the device will be removed. In the improbable event of bowel perforation, the patient will be treated by proper management, and the study will be stopped until a thorough evaluation is completed.</w:t>
      </w:r>
    </w:p>
    <w:p w14:paraId="18824235" w14:textId="65E6D6FD" w:rsidR="00176606" w:rsidRDefault="00176606" w:rsidP="00176606">
      <w:pPr>
        <w:jc w:val="both"/>
      </w:pPr>
      <w:r>
        <w:t>Any complications will be carefully monitored by the investigators</w:t>
      </w:r>
      <w:r w:rsidR="005074FD">
        <w:t>,</w:t>
      </w:r>
      <w:r>
        <w:t xml:space="preserve"> and a low threshold placed for simple removal of the device if any concerns arise at any stage. Problems with the effectiveness of the catheter placement to prevent leakage may also occur</w:t>
      </w:r>
      <w:r w:rsidR="005074FD">
        <w:t>,</w:t>
      </w:r>
      <w:r>
        <w:t xml:space="preserve"> and iterations in design will aim to minimise these to comparable or lower rates than with traditional stoma bags.</w:t>
      </w:r>
    </w:p>
    <w:p w14:paraId="0E21538D" w14:textId="16FB55D3" w:rsidR="00BB7A2B" w:rsidRDefault="00216550">
      <w:pPr>
        <w:jc w:val="both"/>
      </w:pPr>
      <w:r>
        <w:lastRenderedPageBreak/>
        <w:t>The</w:t>
      </w:r>
      <w:r w:rsidR="00176606">
        <w:t>re are some potential</w:t>
      </w:r>
      <w:r>
        <w:t xml:space="preserve"> benefits </w:t>
      </w:r>
      <w:r w:rsidR="00176606">
        <w:t>from being involved</w:t>
      </w:r>
      <w:r>
        <w:t xml:space="preserve"> in this study. </w:t>
      </w:r>
      <w:r w:rsidR="004A4EE6">
        <w:t>We aim</w:t>
      </w:r>
      <w:r>
        <w:t xml:space="preserve"> to reduce the clinical morbidities </w:t>
      </w:r>
      <w:r w:rsidR="00704290">
        <w:t xml:space="preserve">associated with </w:t>
      </w:r>
      <w:r w:rsidR="00435106">
        <w:t>short bowel syndrome</w:t>
      </w:r>
      <w:r w:rsidR="00704290">
        <w:t xml:space="preserve"> and high</w:t>
      </w:r>
      <w:r w:rsidR="00435106">
        <w:t>-</w:t>
      </w:r>
      <w:r w:rsidR="00704290">
        <w:t>output enterostomies</w:t>
      </w:r>
      <w:r>
        <w:t xml:space="preserve"> </w:t>
      </w:r>
      <w:r w:rsidR="00435106">
        <w:t xml:space="preserve">and entero-atmospheric fistulas </w:t>
      </w:r>
      <w:r>
        <w:t xml:space="preserve">as described in detail above.  Individual patients may benefit from </w:t>
      </w:r>
      <w:r w:rsidR="00704290">
        <w:t>weight gain</w:t>
      </w:r>
      <w:r>
        <w:t xml:space="preserve">, </w:t>
      </w:r>
      <w:r w:rsidR="00704290">
        <w:t>early enteral feeding</w:t>
      </w:r>
      <w:r>
        <w:t xml:space="preserve">, </w:t>
      </w:r>
      <w:r w:rsidR="00704290">
        <w:t>decreased parenteral nutrition morbidity</w:t>
      </w:r>
      <w:r>
        <w:t xml:space="preserve">, </w:t>
      </w:r>
      <w:r w:rsidR="00704290">
        <w:t>ability to be fed through the distal enterostomy when required</w:t>
      </w:r>
      <w:r>
        <w:t xml:space="preserve">, </w:t>
      </w:r>
      <w:r w:rsidR="00704290">
        <w:t>reduction in overall morbidity and mortality</w:t>
      </w:r>
      <w:r w:rsidR="00A91A07">
        <w:t xml:space="preserve">, and </w:t>
      </w:r>
      <w:r w:rsidR="006A11FC">
        <w:t>technical improvements to the</w:t>
      </w:r>
      <w:r w:rsidR="00A91A07">
        <w:t xml:space="preserve"> rehabilitation surgery</w:t>
      </w:r>
      <w:r>
        <w:t>.</w:t>
      </w:r>
    </w:p>
    <w:p w14:paraId="60C33068" w14:textId="0A0F63ED" w:rsidR="00176606" w:rsidRDefault="00DC2827" w:rsidP="00414D96">
      <w:pPr>
        <w:spacing w:after="0"/>
        <w:jc w:val="both"/>
        <w:rPr>
          <w:rFonts w:asciiTheme="minorHAnsi" w:hAnsiTheme="minorHAnsi"/>
        </w:rPr>
      </w:pPr>
      <w:r>
        <w:t>Overall, the</w:t>
      </w:r>
      <w:r w:rsidR="004A4EE6" w:rsidRPr="004A4EE6">
        <w:t xml:space="preserve"> investigators perceive the potential risks of the device a</w:t>
      </w:r>
      <w:r w:rsidR="004A4EE6" w:rsidRPr="00414D96">
        <w:rPr>
          <w:rFonts w:asciiTheme="majorHAnsi" w:hAnsiTheme="majorHAnsi" w:cstheme="majorHAnsi"/>
        </w:rPr>
        <w:t>s low</w:t>
      </w:r>
      <w:r w:rsidR="00216550" w:rsidRPr="00414D96">
        <w:rPr>
          <w:rFonts w:asciiTheme="majorHAnsi" w:hAnsiTheme="majorHAnsi" w:cstheme="majorHAnsi"/>
        </w:rPr>
        <w:t xml:space="preserve">.  </w:t>
      </w:r>
      <w:r w:rsidR="00176606" w:rsidRPr="00414D96">
        <w:rPr>
          <w:rFonts w:asciiTheme="majorHAnsi" w:hAnsiTheme="majorHAnsi" w:cstheme="majorHAnsi"/>
        </w:rPr>
        <w:t xml:space="preserve">However, this protocol and the medical device have never been used in neonates. Therefore, while it is </w:t>
      </w:r>
      <w:r>
        <w:rPr>
          <w:rFonts w:asciiTheme="majorHAnsi" w:hAnsiTheme="majorHAnsi" w:cstheme="majorHAnsi"/>
        </w:rPr>
        <w:t>anticipated</w:t>
      </w:r>
      <w:r w:rsidR="00176606" w:rsidRPr="00414D96">
        <w:rPr>
          <w:rFonts w:asciiTheme="majorHAnsi" w:hAnsiTheme="majorHAnsi" w:cstheme="majorHAnsi"/>
        </w:rPr>
        <w:t xml:space="preserve"> to be safe, there is not yet any evidence. </w:t>
      </w:r>
    </w:p>
    <w:p w14:paraId="360F86A9" w14:textId="56DF5003" w:rsidR="00BB7A2B" w:rsidRDefault="00BB7A2B">
      <w:pPr>
        <w:jc w:val="both"/>
      </w:pPr>
    </w:p>
    <w:p w14:paraId="5796FD9A" w14:textId="77777777" w:rsidR="005252ED" w:rsidRDefault="005252ED" w:rsidP="00A52152">
      <w:pPr>
        <w:spacing w:after="0"/>
        <w:jc w:val="both"/>
        <w:rPr>
          <w:b/>
        </w:rPr>
      </w:pPr>
    </w:p>
    <w:p w14:paraId="04A0BFE5" w14:textId="6661F8E9" w:rsidR="00BB7A2B" w:rsidRDefault="00216550" w:rsidP="00414D96">
      <w:pPr>
        <w:spacing w:after="0"/>
        <w:jc w:val="both"/>
        <w:rPr>
          <w:b/>
        </w:rPr>
      </w:pPr>
      <w:r>
        <w:rPr>
          <w:b/>
        </w:rPr>
        <w:t xml:space="preserve">Liability of injury </w:t>
      </w:r>
    </w:p>
    <w:p w14:paraId="6F16FA4E" w14:textId="77777777" w:rsidR="00176606" w:rsidRDefault="00176606" w:rsidP="00414D96">
      <w:pPr>
        <w:spacing w:after="0"/>
        <w:jc w:val="both"/>
      </w:pPr>
    </w:p>
    <w:p w14:paraId="25EE6E30" w14:textId="64B03758" w:rsidR="00BB7A2B" w:rsidRDefault="003E72B9">
      <w:pPr>
        <w:jc w:val="both"/>
        <w:rPr>
          <w:b/>
        </w:rPr>
      </w:pPr>
      <w:r>
        <w:t>The Insides Company has a clinical trial insurance policy</w:t>
      </w:r>
      <w:r w:rsidR="00B14CB8">
        <w:t xml:space="preserve"> </w:t>
      </w:r>
      <w:r>
        <w:t>that may compensate participants in the unlikely event of an</w:t>
      </w:r>
      <w:r w:rsidR="00216550">
        <w:t xml:space="preserve"> injury</w:t>
      </w:r>
      <w:r w:rsidR="001A5F41">
        <w:t xml:space="preserve"> </w:t>
      </w:r>
      <w:r>
        <w:t xml:space="preserve">occurring </w:t>
      </w:r>
      <w:r w:rsidR="001A5F41">
        <w:t>to the</w:t>
      </w:r>
      <w:r>
        <w:t>m</w:t>
      </w:r>
      <w:r w:rsidR="00216550">
        <w:t xml:space="preserve"> during the trial.</w:t>
      </w:r>
    </w:p>
    <w:p w14:paraId="2AF314A0" w14:textId="77777777" w:rsidR="005252ED" w:rsidRDefault="005252ED" w:rsidP="00A52152">
      <w:pPr>
        <w:spacing w:after="0"/>
        <w:jc w:val="both"/>
        <w:rPr>
          <w:b/>
        </w:rPr>
      </w:pPr>
    </w:p>
    <w:p w14:paraId="4705F18B" w14:textId="16C8A873" w:rsidR="00BB7A2B" w:rsidRDefault="00216550">
      <w:pPr>
        <w:jc w:val="both"/>
        <w:rPr>
          <w:b/>
        </w:rPr>
      </w:pPr>
      <w:r>
        <w:rPr>
          <w:b/>
        </w:rPr>
        <w:t xml:space="preserve">Patient confidentiality </w:t>
      </w:r>
    </w:p>
    <w:p w14:paraId="4A102D9F" w14:textId="77777777" w:rsidR="00BB7A2B" w:rsidRDefault="00216550">
      <w:pPr>
        <w:jc w:val="both"/>
      </w:pPr>
      <w:r>
        <w:t>Patient confidentiality will be maintained to study investigators only. No identifying information will be disseminated for publication. Information will be kept in a password protected computer/cloud service.</w:t>
      </w:r>
    </w:p>
    <w:p w14:paraId="1452DD00" w14:textId="77777777" w:rsidR="005252ED" w:rsidRDefault="005252ED" w:rsidP="00A52152">
      <w:pPr>
        <w:spacing w:after="0"/>
        <w:jc w:val="both"/>
        <w:rPr>
          <w:b/>
        </w:rPr>
      </w:pPr>
    </w:p>
    <w:p w14:paraId="69B31B94" w14:textId="53AC4EAB" w:rsidR="00BB7A2B" w:rsidRDefault="00216550">
      <w:pPr>
        <w:jc w:val="both"/>
        <w:rPr>
          <w:b/>
        </w:rPr>
      </w:pPr>
      <w:r>
        <w:rPr>
          <w:b/>
        </w:rPr>
        <w:t xml:space="preserve">Retention of information and disposal </w:t>
      </w:r>
    </w:p>
    <w:p w14:paraId="1735EF69" w14:textId="493D192A" w:rsidR="00BB7A2B" w:rsidRDefault="00216550">
      <w:pPr>
        <w:jc w:val="both"/>
      </w:pPr>
      <w:r>
        <w:t xml:space="preserve">Data from this study will be kept for </w:t>
      </w:r>
      <w:r w:rsidR="00BB6456">
        <w:t>ten</w:t>
      </w:r>
      <w:r>
        <w:t xml:space="preserve"> years after </w:t>
      </w:r>
      <w:r w:rsidR="00176606">
        <w:t xml:space="preserve">the youngest participant turns 16. It will be kept </w:t>
      </w:r>
      <w:r>
        <w:t xml:space="preserve">on </w:t>
      </w:r>
      <w:r w:rsidR="00DC2827">
        <w:t>a</w:t>
      </w:r>
      <w:r w:rsidR="00176606">
        <w:t xml:space="preserve"> </w:t>
      </w:r>
      <w:r>
        <w:t>password-protected computer/cloud service</w:t>
      </w:r>
      <w:r w:rsidR="00DC2827">
        <w:t xml:space="preserve"> based at the University of Auckland</w:t>
      </w:r>
      <w:r>
        <w:t>.</w:t>
      </w:r>
    </w:p>
    <w:p w14:paraId="0B2E3F2D" w14:textId="2E35386E" w:rsidR="00BB7A2B" w:rsidRDefault="00216550">
      <w:pPr>
        <w:jc w:val="both"/>
      </w:pPr>
      <w:r>
        <w:t>Upon reaching this time point</w:t>
      </w:r>
      <w:r w:rsidR="00FC785C">
        <w:t>,</w:t>
      </w:r>
      <w:r>
        <w:t xml:space="preserve"> all electronic and paper copies of this information will be destroyed.</w:t>
      </w:r>
    </w:p>
    <w:p w14:paraId="3B414EF5" w14:textId="77777777" w:rsidR="005252ED" w:rsidRDefault="005252ED" w:rsidP="00A52152">
      <w:pPr>
        <w:spacing w:after="0"/>
        <w:jc w:val="both"/>
        <w:rPr>
          <w:b/>
        </w:rPr>
      </w:pPr>
    </w:p>
    <w:p w14:paraId="083A6563" w14:textId="788FAF34" w:rsidR="00BB7A2B" w:rsidRDefault="00216550">
      <w:pPr>
        <w:jc w:val="both"/>
        <w:rPr>
          <w:b/>
        </w:rPr>
      </w:pPr>
      <w:r>
        <w:rPr>
          <w:b/>
        </w:rPr>
        <w:t>Dissemination of results and publication of data</w:t>
      </w:r>
    </w:p>
    <w:p w14:paraId="435037BE" w14:textId="5C540D0D" w:rsidR="00BB7A2B" w:rsidRDefault="00216550">
      <w:pPr>
        <w:jc w:val="both"/>
      </w:pPr>
      <w:r>
        <w:t>The results of this study will be submitted for publication in a peer</w:t>
      </w:r>
      <w:r w:rsidR="00FC785C">
        <w:t>-</w:t>
      </w:r>
      <w:r>
        <w:t xml:space="preserve">reviewed journal and presented at appropriate national/international conferences. </w:t>
      </w:r>
      <w:r w:rsidR="00DD7F82">
        <w:t>T</w:t>
      </w:r>
      <w:r>
        <w:t>he device may also be commercialised in collaboration with Auckland UniServices should a successful trial be completed, benefi</w:t>
      </w:r>
      <w:r w:rsidR="004A4EE6">
        <w:t>t</w:t>
      </w:r>
      <w:r>
        <w:t>t</w:t>
      </w:r>
      <w:r w:rsidR="004A4EE6">
        <w:t>ing</w:t>
      </w:r>
      <w:r>
        <w:t xml:space="preserve"> patients worldwide.</w:t>
      </w:r>
    </w:p>
    <w:p w14:paraId="77775760" w14:textId="77777777" w:rsidR="00BB7A2B" w:rsidRDefault="00216550">
      <w:pPr>
        <w:jc w:val="both"/>
      </w:pPr>
      <w:r>
        <w:t>If requested, patients will be presented with a summary of the study findings.</w:t>
      </w:r>
    </w:p>
    <w:p w14:paraId="385FF889" w14:textId="6059175F" w:rsidR="00BB7A2B" w:rsidRDefault="00216550">
      <w:pPr>
        <w:jc w:val="both"/>
      </w:pPr>
      <w:r>
        <w:t>Study findings may be included in a research thesis towards a</w:t>
      </w:r>
      <w:r w:rsidR="001A5F41">
        <w:t xml:space="preserve"> PhD </w:t>
      </w:r>
      <w:r>
        <w:t>degree.</w:t>
      </w:r>
    </w:p>
    <w:p w14:paraId="43400CE0" w14:textId="77777777" w:rsidR="00BB7A2B" w:rsidRDefault="00BB7A2B"/>
    <w:p w14:paraId="3EA850F1" w14:textId="0E388E33" w:rsidR="001F02F0" w:rsidRPr="000167DA" w:rsidRDefault="00216550" w:rsidP="000167DA">
      <w:pPr>
        <w:rPr>
          <w:b/>
          <w:sz w:val="28"/>
          <w:szCs w:val="28"/>
          <w:u w:val="single"/>
        </w:rPr>
      </w:pPr>
      <w:r w:rsidRPr="00A52152">
        <w:rPr>
          <w:b/>
          <w:sz w:val="28"/>
          <w:szCs w:val="28"/>
          <w:u w:val="single"/>
        </w:rPr>
        <w:t xml:space="preserve">References </w:t>
      </w:r>
      <w:r w:rsidR="00DE39CF">
        <w:rPr>
          <w:rFonts w:asciiTheme="majorHAnsi" w:eastAsia="Times New Roman" w:hAnsiTheme="majorHAnsi" w:cstheme="majorHAnsi"/>
          <w:color w:val="323232"/>
        </w:rPr>
        <w:t xml:space="preserve"> </w:t>
      </w:r>
    </w:p>
    <w:p w14:paraId="0269F716" w14:textId="7EE64419" w:rsidR="00DE39CF" w:rsidRDefault="18EE937D" w:rsidP="18EE937D">
      <w:pPr>
        <w:pStyle w:val="ListParagraph"/>
        <w:numPr>
          <w:ilvl w:val="0"/>
          <w:numId w:val="9"/>
        </w:numPr>
        <w:spacing w:after="0" w:line="240" w:lineRule="auto"/>
        <w:rPr>
          <w:rFonts w:asciiTheme="majorHAnsi" w:eastAsia="Times New Roman" w:hAnsiTheme="majorHAnsi" w:cstheme="majorBidi"/>
          <w:color w:val="323232"/>
        </w:rPr>
      </w:pPr>
      <w:r w:rsidRPr="18EE937D">
        <w:rPr>
          <w:rFonts w:asciiTheme="majorHAnsi" w:eastAsia="Times New Roman" w:hAnsiTheme="majorHAnsi" w:cstheme="majorBidi"/>
          <w:color w:val="323232"/>
        </w:rPr>
        <w:t xml:space="preserve">M. Gutierrez, K.H. Kang, T. Jaksic Neonatal short bowel syndrome </w:t>
      </w:r>
      <w:r w:rsidRPr="18EE937D">
        <w:rPr>
          <w:rFonts w:asciiTheme="majorHAnsi" w:eastAsia="Times New Roman" w:hAnsiTheme="majorHAnsi" w:cstheme="majorBidi"/>
          <w:i/>
          <w:iCs/>
          <w:color w:val="323232"/>
        </w:rPr>
        <w:t>Semin Fetal Neonatal Med</w:t>
      </w:r>
      <w:r w:rsidRPr="18EE937D">
        <w:rPr>
          <w:rFonts w:asciiTheme="majorHAnsi" w:eastAsia="Times New Roman" w:hAnsiTheme="majorHAnsi" w:cstheme="majorBidi"/>
          <w:color w:val="323232"/>
        </w:rPr>
        <w:t>, 16 (3) (2011), pp. 157-163</w:t>
      </w:r>
    </w:p>
    <w:p w14:paraId="2E74143E" w14:textId="43147219"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O. Goulet, J. Olieman, J. Ksiazyk, J. Spolidoro, D. Tibboe, H. Köhler, </w:t>
      </w:r>
      <w:r w:rsidRPr="007136A3">
        <w:rPr>
          <w:rFonts w:asciiTheme="majorHAnsi" w:eastAsia="Times New Roman" w:hAnsiTheme="majorHAnsi" w:cstheme="majorHAnsi"/>
          <w:i/>
          <w:iCs/>
          <w:color w:val="323232"/>
        </w:rPr>
        <w:t>et al.</w:t>
      </w:r>
      <w:r w:rsidRPr="007136A3">
        <w:rPr>
          <w:rFonts w:asciiTheme="majorHAnsi" w:eastAsia="Times New Roman" w:hAnsiTheme="majorHAnsi" w:cstheme="majorHAnsi"/>
          <w:color w:val="323232"/>
        </w:rPr>
        <w:t>Neonatal short bowel syndrome as a model of intestinal failure: physiological background for enteral feeding</w:t>
      </w:r>
      <w:r w:rsidR="00CF3C12"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Clin Nutr</w:t>
      </w:r>
      <w:r w:rsidRPr="007136A3">
        <w:rPr>
          <w:rFonts w:asciiTheme="majorHAnsi" w:eastAsia="Times New Roman" w:hAnsiTheme="majorHAnsi" w:cstheme="majorHAnsi"/>
          <w:color w:val="323232"/>
        </w:rPr>
        <w:t>, 32 (2) (2013), pp. 162-171</w:t>
      </w:r>
    </w:p>
    <w:p w14:paraId="53B605D6" w14:textId="2EAD5997"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lastRenderedPageBreak/>
        <w:t>K.K.Y. Wong, L.C.L. Lan, S.C.L. Lin, A.W.S. Chan, P.K.H. TamMucous fistula refeeding in premature neonates with enterostomies</w:t>
      </w:r>
      <w:r w:rsidR="008015B5"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J Pediatr Gastroenterol Nutr</w:t>
      </w:r>
      <w:r w:rsidRPr="007136A3">
        <w:rPr>
          <w:rFonts w:asciiTheme="majorHAnsi" w:eastAsia="Times New Roman" w:hAnsiTheme="majorHAnsi" w:cstheme="majorHAnsi"/>
          <w:color w:val="323232"/>
        </w:rPr>
        <w:t>, 39 (1) (2004), p. 43</w:t>
      </w:r>
    </w:p>
    <w:p w14:paraId="308B308F" w14:textId="537722DA"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K.E. Georgeson, C.W. BreauxOutcome and intestinal adaptation in neonatal short-bowel syndrome</w:t>
      </w:r>
      <w:r w:rsidR="00843F30"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J Pediatr Surg</w:t>
      </w:r>
      <w:r w:rsidRPr="007136A3">
        <w:rPr>
          <w:rFonts w:asciiTheme="majorHAnsi" w:eastAsia="Times New Roman" w:hAnsiTheme="majorHAnsi" w:cstheme="majorHAnsi"/>
          <w:color w:val="323232"/>
        </w:rPr>
        <w:t>, 27 (3) (1992), pp. 344-350</w:t>
      </w:r>
    </w:p>
    <w:p w14:paraId="2787B6C5" w14:textId="4ACFFE0F"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P.W. Wales, E.R. Christison-LagayShort bowel syndrome: epidemiology and etiology</w:t>
      </w:r>
      <w:r w:rsidR="002D087E"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Semin Pediatr Surg</w:t>
      </w:r>
      <w:r w:rsidRPr="007136A3">
        <w:rPr>
          <w:rFonts w:asciiTheme="majorHAnsi" w:eastAsia="Times New Roman" w:hAnsiTheme="majorHAnsi" w:cstheme="majorHAnsi"/>
          <w:color w:val="323232"/>
        </w:rPr>
        <w:t>, 19 (1) (2010), pp. 3-9</w:t>
      </w:r>
    </w:p>
    <w:p w14:paraId="638D0C82" w14:textId="07BC3B66"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P.W. Wales, N. De Silva, J.H. Kim, L. Lecce, A. Sandhu, A.M. Moore</w:t>
      </w:r>
      <w:r w:rsidR="000518A4">
        <w:rPr>
          <w:rFonts w:asciiTheme="majorHAnsi" w:eastAsia="Times New Roman" w:hAnsiTheme="majorHAnsi" w:cstheme="majorHAnsi"/>
          <w:color w:val="323232"/>
        </w:rPr>
        <w:t xml:space="preserve"> </w:t>
      </w:r>
      <w:r w:rsidRPr="007136A3">
        <w:rPr>
          <w:rFonts w:asciiTheme="majorHAnsi" w:eastAsia="Times New Roman" w:hAnsiTheme="majorHAnsi" w:cstheme="majorHAnsi"/>
          <w:color w:val="323232"/>
        </w:rPr>
        <w:t>Neonatal short bowel syndrome: a cohort study</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J Pediatr Surg</w:t>
      </w:r>
      <w:r w:rsidRPr="007136A3">
        <w:rPr>
          <w:rFonts w:asciiTheme="majorHAnsi" w:eastAsia="Times New Roman" w:hAnsiTheme="majorHAnsi" w:cstheme="majorHAnsi"/>
          <w:color w:val="323232"/>
        </w:rPr>
        <w:t>, 40 (5) (2005), pp. 755-762</w:t>
      </w:r>
    </w:p>
    <w:p w14:paraId="1AB29510" w14:textId="0A7CCCE4"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V. Mulcahy, A. ForbesIntestinal failure and short bowel syndrome</w:t>
      </w:r>
    </w:p>
    <w:p w14:paraId="500D465A" w14:textId="77777777" w:rsidR="001F02F0" w:rsidRPr="001F02F0" w:rsidRDefault="001F02F0" w:rsidP="001F02F0">
      <w:pPr>
        <w:spacing w:after="0" w:line="240" w:lineRule="auto"/>
        <w:ind w:left="720"/>
        <w:rPr>
          <w:rFonts w:asciiTheme="majorHAnsi" w:eastAsia="Times New Roman" w:hAnsiTheme="majorHAnsi" w:cstheme="majorHAnsi"/>
          <w:color w:val="323232"/>
        </w:rPr>
      </w:pPr>
      <w:r w:rsidRPr="001F02F0">
        <w:rPr>
          <w:rFonts w:asciiTheme="majorHAnsi" w:eastAsia="Times New Roman" w:hAnsiTheme="majorHAnsi" w:cstheme="majorHAnsi"/>
          <w:color w:val="323232"/>
        </w:rPr>
        <w:t>Med (United Kingdom), 43 (4) (2015), pp. 239-243</w:t>
      </w:r>
    </w:p>
    <w:p w14:paraId="56FC1D85" w14:textId="63456744"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J.J. Wessel, S.A. KocoshisNutritional management of infants with short bowel syndrome</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Semin Perinatol</w:t>
      </w:r>
      <w:r w:rsidRPr="007136A3">
        <w:rPr>
          <w:rFonts w:asciiTheme="majorHAnsi" w:eastAsia="Times New Roman" w:hAnsiTheme="majorHAnsi" w:cstheme="majorHAnsi"/>
          <w:color w:val="323232"/>
        </w:rPr>
        <w:t>, 31 (2) (2007), pp. 104-111</w:t>
      </w:r>
    </w:p>
    <w:p w14:paraId="7BB16269" w14:textId="7E5BB05F"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A.R. Bremner, G. GupteManagement of short bowel syndrome</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Paediatr Child Health</w:t>
      </w:r>
      <w:r w:rsidRPr="007136A3">
        <w:rPr>
          <w:rFonts w:asciiTheme="majorHAnsi" w:eastAsia="Times New Roman" w:hAnsiTheme="majorHAnsi" w:cstheme="majorHAnsi"/>
          <w:color w:val="323232"/>
        </w:rPr>
        <w:t>, 21 (9) (2011), pp. 411-417</w:t>
      </w:r>
    </w:p>
    <w:p w14:paraId="035EA484" w14:textId="57C746E8"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i/>
          <w:iCs/>
          <w:color w:val="323232"/>
        </w:rPr>
      </w:pPr>
      <w:r w:rsidRPr="007136A3">
        <w:rPr>
          <w:rFonts w:asciiTheme="majorHAnsi" w:eastAsia="Times New Roman" w:hAnsiTheme="majorHAnsi" w:cstheme="majorHAnsi"/>
          <w:color w:val="323232"/>
        </w:rPr>
        <w:t>A.M. DalzellManagement of intestinal failure in children</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Arch Dis Child</w:t>
      </w:r>
      <w:r w:rsidRPr="007136A3">
        <w:rPr>
          <w:rFonts w:asciiTheme="majorHAnsi" w:eastAsia="Times New Roman" w:hAnsiTheme="majorHAnsi" w:cstheme="majorHAnsi"/>
          <w:color w:val="323232"/>
        </w:rPr>
        <w:t>, 100 (10) (2015), pp. 980-983</w:t>
      </w:r>
    </w:p>
    <w:p w14:paraId="26CB74F0" w14:textId="1AEF6B53"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 xml:space="preserve">J.K. Petty, M.M. ZieglerOperative strategies for </w:t>
      </w:r>
      <w:r w:rsidR="00B14CB8" w:rsidRPr="007136A3">
        <w:rPr>
          <w:rFonts w:asciiTheme="majorHAnsi" w:eastAsia="Times New Roman" w:hAnsiTheme="majorHAnsi" w:cstheme="majorHAnsi"/>
          <w:color w:val="323232"/>
        </w:rPr>
        <w:t>necroti</w:t>
      </w:r>
      <w:r w:rsidR="00B14CB8">
        <w:rPr>
          <w:rFonts w:asciiTheme="majorHAnsi" w:eastAsia="Times New Roman" w:hAnsiTheme="majorHAnsi" w:cstheme="majorHAnsi"/>
          <w:color w:val="323232"/>
        </w:rPr>
        <w:t>s</w:t>
      </w:r>
      <w:r w:rsidR="00B14CB8" w:rsidRPr="007136A3">
        <w:rPr>
          <w:rFonts w:asciiTheme="majorHAnsi" w:eastAsia="Times New Roman" w:hAnsiTheme="majorHAnsi" w:cstheme="majorHAnsi"/>
          <w:color w:val="323232"/>
        </w:rPr>
        <w:t xml:space="preserve">ing </w:t>
      </w:r>
      <w:r w:rsidRPr="007136A3">
        <w:rPr>
          <w:rFonts w:asciiTheme="majorHAnsi" w:eastAsia="Times New Roman" w:hAnsiTheme="majorHAnsi" w:cstheme="majorHAnsi"/>
          <w:color w:val="323232"/>
        </w:rPr>
        <w:t>enterocolitis: the prevention and treatment of short-bowel syndrome</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Semin Pediatr Surg</w:t>
      </w:r>
      <w:r w:rsidRPr="007136A3">
        <w:rPr>
          <w:rFonts w:asciiTheme="majorHAnsi" w:eastAsia="Times New Roman" w:hAnsiTheme="majorHAnsi" w:cstheme="majorHAnsi"/>
          <w:color w:val="323232"/>
        </w:rPr>
        <w:t>, 14 (3) (2005), pp. 191-198</w:t>
      </w:r>
    </w:p>
    <w:p w14:paraId="2E9DFDAE" w14:textId="3513408E"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K.J. Ellis, A. Kurundkar, X. Chang, L. Cui, A. Maheshwari, D.A. Horst, </w:t>
      </w:r>
      <w:r w:rsidRPr="007136A3">
        <w:rPr>
          <w:rFonts w:asciiTheme="majorHAnsi" w:eastAsia="Times New Roman" w:hAnsiTheme="majorHAnsi" w:cstheme="majorHAnsi"/>
          <w:i/>
          <w:iCs/>
          <w:color w:val="323232"/>
        </w:rPr>
        <w:t>et al.</w:t>
      </w:r>
      <w:r w:rsidRPr="007136A3">
        <w:rPr>
          <w:rFonts w:asciiTheme="majorHAnsi" w:eastAsia="Times New Roman" w:hAnsiTheme="majorHAnsi" w:cstheme="majorHAnsi"/>
          <w:color w:val="323232"/>
        </w:rPr>
        <w:t>Chronic parenteral nutrition induces hepatic inflammation, steatosis, and insulin resistance in neonatal pigs</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J Nutr</w:t>
      </w:r>
      <w:r w:rsidRPr="007136A3">
        <w:rPr>
          <w:rFonts w:asciiTheme="majorHAnsi" w:eastAsia="Times New Roman" w:hAnsiTheme="majorHAnsi" w:cstheme="majorHAnsi"/>
          <w:color w:val="323232"/>
        </w:rPr>
        <w:t>, 140 (12) (2010), pp. 2193-2200</w:t>
      </w:r>
    </w:p>
    <w:p w14:paraId="3B73555B" w14:textId="6A40CC1C"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O. Goulet, F. Ruemmele, F. Lacaille, V. ColombIrreversible intestinal failure</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J Pediatr Gastroenterol Nutr</w:t>
      </w:r>
      <w:r w:rsidRPr="007136A3">
        <w:rPr>
          <w:rFonts w:asciiTheme="majorHAnsi" w:eastAsia="Times New Roman" w:hAnsiTheme="majorHAnsi" w:cstheme="majorHAnsi"/>
          <w:color w:val="323232"/>
        </w:rPr>
        <w:t>, 38 (3) (2004), p. 250</w:t>
      </w:r>
    </w:p>
    <w:p w14:paraId="2C46CE12" w14:textId="3A13199A"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F. Swaniker, E.W. FonkalsrudSuperior and inferior vena caval occlusion in infants receiving total parenteral nutrition</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Am Surg</w:t>
      </w:r>
      <w:r w:rsidRPr="007136A3">
        <w:rPr>
          <w:rFonts w:asciiTheme="majorHAnsi" w:eastAsia="Times New Roman" w:hAnsiTheme="majorHAnsi" w:cstheme="majorHAnsi"/>
          <w:color w:val="323232"/>
        </w:rPr>
        <w:t>, 61 (10) (1995), pp. 877-881</w:t>
      </w:r>
    </w:p>
    <w:p w14:paraId="0CD3166E" w14:textId="15207942"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S.V. Beath, D.A. KellyTotal parenteral nutrition-induced cholestasis. Prevention and management</w:t>
      </w:r>
      <w:r w:rsidR="001B55D4"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Clin Liver Dis</w:t>
      </w:r>
      <w:r w:rsidRPr="007136A3">
        <w:rPr>
          <w:rFonts w:asciiTheme="majorHAnsi" w:eastAsia="Times New Roman" w:hAnsiTheme="majorHAnsi" w:cstheme="majorHAnsi"/>
          <w:color w:val="323232"/>
        </w:rPr>
        <w:t>, 20 (1) (2016), pp. 159-176</w:t>
      </w:r>
    </w:p>
    <w:p w14:paraId="77694344" w14:textId="56CEAC99"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F.W. Guglielmi, D. Boggio</w:t>
      </w:r>
      <w:r w:rsidR="00B1010D"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color w:val="323232"/>
        </w:rPr>
        <w:t>Bertinet, A. Federico, G.B. Forte, A. Guglielmi, C. Loguercio, </w:t>
      </w:r>
      <w:r w:rsidRPr="007136A3">
        <w:rPr>
          <w:rFonts w:asciiTheme="majorHAnsi" w:eastAsia="Times New Roman" w:hAnsiTheme="majorHAnsi" w:cstheme="majorHAnsi"/>
          <w:i/>
          <w:iCs/>
          <w:color w:val="323232"/>
        </w:rPr>
        <w:t>et al.</w:t>
      </w:r>
      <w:r w:rsidRPr="007136A3">
        <w:rPr>
          <w:rFonts w:asciiTheme="majorHAnsi" w:eastAsia="Times New Roman" w:hAnsiTheme="majorHAnsi" w:cstheme="majorHAnsi"/>
          <w:color w:val="323232"/>
        </w:rPr>
        <w:t>Total parenteral nutrition-related gastroenterological complications</w:t>
      </w:r>
      <w:r w:rsidR="00B1010D"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Dig Liver Dis</w:t>
      </w:r>
      <w:r w:rsidRPr="007136A3">
        <w:rPr>
          <w:rFonts w:asciiTheme="majorHAnsi" w:eastAsia="Times New Roman" w:hAnsiTheme="majorHAnsi" w:cstheme="majorHAnsi"/>
          <w:color w:val="323232"/>
        </w:rPr>
        <w:t>, 38 (9) (2006), pp. 623-642</w:t>
      </w:r>
    </w:p>
    <w:p w14:paraId="2B78B0D4" w14:textId="387FBCAB"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I.F. Btaiche, N. KhalidParenteral nutrition-associated liver complications in children</w:t>
      </w:r>
      <w:r w:rsidR="00B1010D"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Pharmacotherapy</w:t>
      </w:r>
      <w:r w:rsidRPr="007136A3">
        <w:rPr>
          <w:rFonts w:asciiTheme="majorHAnsi" w:eastAsia="Times New Roman" w:hAnsiTheme="majorHAnsi" w:cstheme="majorHAnsi"/>
          <w:color w:val="323232"/>
        </w:rPr>
        <w:t>, 22 (2) (2002), pp. 188-211</w:t>
      </w:r>
    </w:p>
    <w:p w14:paraId="2AA40995" w14:textId="06E6EF53"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S.S. Kaufman, C.A. Loseke, J.V. Lupo, R.J. Young, N.D. Murray, L.W. Pinch, </w:t>
      </w:r>
      <w:r w:rsidRPr="007136A3">
        <w:rPr>
          <w:rFonts w:asciiTheme="majorHAnsi" w:eastAsia="Times New Roman" w:hAnsiTheme="majorHAnsi" w:cstheme="majorHAnsi"/>
          <w:i/>
          <w:iCs/>
          <w:color w:val="323232"/>
        </w:rPr>
        <w:t>et al.</w:t>
      </w:r>
      <w:r w:rsidRPr="007136A3">
        <w:rPr>
          <w:rFonts w:asciiTheme="majorHAnsi" w:eastAsia="Times New Roman" w:hAnsiTheme="majorHAnsi" w:cstheme="majorHAnsi"/>
          <w:color w:val="323232"/>
        </w:rPr>
        <w:t>Influence of bacterial overgrowth and intestinal inflammation on duration of parenteral nutrition in children with short bowel syndrome</w:t>
      </w:r>
      <w:r w:rsidR="00B1010D"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J Pediatr</w:t>
      </w:r>
      <w:r w:rsidRPr="007136A3">
        <w:rPr>
          <w:rFonts w:asciiTheme="majorHAnsi" w:eastAsia="Times New Roman" w:hAnsiTheme="majorHAnsi" w:cstheme="majorHAnsi"/>
          <w:color w:val="323232"/>
        </w:rPr>
        <w:t>, 131 (3) (1997), pp. 356-361</w:t>
      </w:r>
    </w:p>
    <w:p w14:paraId="58CC5F3B" w14:textId="674AB116" w:rsidR="001F02F0" w:rsidRPr="007136A3"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J. Schalamon, J.M. Mayr, M.E. Höllwarth</w:t>
      </w:r>
      <w:r w:rsidR="00EA0D56">
        <w:rPr>
          <w:rFonts w:asciiTheme="majorHAnsi" w:eastAsia="Times New Roman" w:hAnsiTheme="majorHAnsi" w:cstheme="majorHAnsi"/>
          <w:color w:val="323232"/>
        </w:rPr>
        <w:t xml:space="preserve"> </w:t>
      </w:r>
      <w:r w:rsidRPr="007136A3">
        <w:rPr>
          <w:rFonts w:asciiTheme="majorHAnsi" w:eastAsia="Times New Roman" w:hAnsiTheme="majorHAnsi" w:cstheme="majorHAnsi"/>
          <w:color w:val="323232"/>
        </w:rPr>
        <w:t>Mortality and economics in short bowel syndrome</w:t>
      </w:r>
      <w:r w:rsidR="00B1010D" w:rsidRPr="007136A3">
        <w:rPr>
          <w:rFonts w:asciiTheme="majorHAnsi" w:eastAsia="Times New Roman" w:hAnsiTheme="majorHAnsi" w:cstheme="majorHAnsi"/>
          <w:color w:val="323232"/>
        </w:rPr>
        <w:t xml:space="preserve"> </w:t>
      </w:r>
      <w:r w:rsidR="005074FD" w:rsidRPr="007136A3">
        <w:rPr>
          <w:rFonts w:asciiTheme="majorHAnsi" w:eastAsia="Times New Roman" w:hAnsiTheme="majorHAnsi" w:cstheme="majorHAnsi"/>
          <w:i/>
          <w:iCs/>
          <w:color w:val="323232"/>
        </w:rPr>
        <w:t>Bailliere</w:t>
      </w:r>
      <w:r w:rsidR="005074FD">
        <w:rPr>
          <w:rFonts w:asciiTheme="majorHAnsi" w:eastAsia="Times New Roman" w:hAnsiTheme="majorHAnsi" w:cstheme="majorHAnsi"/>
          <w:i/>
          <w:iCs/>
          <w:color w:val="323232"/>
        </w:rPr>
        <w:t>’</w:t>
      </w:r>
      <w:r w:rsidR="005074FD" w:rsidRPr="007136A3">
        <w:rPr>
          <w:rFonts w:asciiTheme="majorHAnsi" w:eastAsia="Times New Roman" w:hAnsiTheme="majorHAnsi" w:cstheme="majorHAnsi"/>
          <w:i/>
          <w:iCs/>
          <w:color w:val="323232"/>
        </w:rPr>
        <w:t xml:space="preserve">s </w:t>
      </w:r>
      <w:r w:rsidRPr="007136A3">
        <w:rPr>
          <w:rFonts w:asciiTheme="majorHAnsi" w:eastAsia="Times New Roman" w:hAnsiTheme="majorHAnsi" w:cstheme="majorHAnsi"/>
          <w:i/>
          <w:iCs/>
          <w:color w:val="323232"/>
        </w:rPr>
        <w:t>Best Pract Res Clin Gastroenterol.</w:t>
      </w:r>
      <w:r w:rsidRPr="007136A3">
        <w:rPr>
          <w:rFonts w:asciiTheme="majorHAnsi" w:eastAsia="Times New Roman" w:hAnsiTheme="majorHAnsi" w:cstheme="majorHAnsi"/>
          <w:color w:val="323232"/>
        </w:rPr>
        <w:t>, 17 (6) (2003), pp. 931-942</w:t>
      </w:r>
    </w:p>
    <w:p w14:paraId="69F4E1A6" w14:textId="31089503" w:rsidR="001F02F0" w:rsidRDefault="001F02F0" w:rsidP="00A52152">
      <w:pPr>
        <w:pStyle w:val="ListParagraph"/>
        <w:numPr>
          <w:ilvl w:val="0"/>
          <w:numId w:val="9"/>
        </w:numPr>
        <w:spacing w:after="0" w:line="240" w:lineRule="auto"/>
        <w:rPr>
          <w:rFonts w:asciiTheme="majorHAnsi" w:eastAsia="Times New Roman" w:hAnsiTheme="majorHAnsi" w:cstheme="majorHAnsi"/>
          <w:color w:val="323232"/>
        </w:rPr>
      </w:pPr>
      <w:r w:rsidRPr="007136A3">
        <w:rPr>
          <w:rFonts w:asciiTheme="majorHAnsi" w:eastAsia="Times New Roman" w:hAnsiTheme="majorHAnsi" w:cstheme="majorHAnsi"/>
          <w:color w:val="323232"/>
        </w:rPr>
        <w:t>E.C.T. Lau, A.C.H. Fung, K.K.Y. Wong, P.K.H. Tam</w:t>
      </w:r>
      <w:r w:rsidR="00EA0D56">
        <w:rPr>
          <w:rFonts w:asciiTheme="majorHAnsi" w:eastAsia="Times New Roman" w:hAnsiTheme="majorHAnsi" w:cstheme="majorHAnsi"/>
          <w:color w:val="323232"/>
        </w:rPr>
        <w:t xml:space="preserve"> </w:t>
      </w:r>
      <w:r w:rsidRPr="007136A3">
        <w:rPr>
          <w:rFonts w:asciiTheme="majorHAnsi" w:eastAsia="Times New Roman" w:hAnsiTheme="majorHAnsi" w:cstheme="majorHAnsi"/>
          <w:color w:val="323232"/>
        </w:rPr>
        <w:t xml:space="preserve">Beneficial effects of mucous fistula refeeding in </w:t>
      </w:r>
      <w:r w:rsidR="00B14CB8" w:rsidRPr="007136A3">
        <w:rPr>
          <w:rFonts w:asciiTheme="majorHAnsi" w:eastAsia="Times New Roman" w:hAnsiTheme="majorHAnsi" w:cstheme="majorHAnsi"/>
          <w:color w:val="323232"/>
        </w:rPr>
        <w:t>necroti</w:t>
      </w:r>
      <w:r w:rsidR="00B14CB8">
        <w:rPr>
          <w:rFonts w:asciiTheme="majorHAnsi" w:eastAsia="Times New Roman" w:hAnsiTheme="majorHAnsi" w:cstheme="majorHAnsi"/>
          <w:color w:val="323232"/>
        </w:rPr>
        <w:t>s</w:t>
      </w:r>
      <w:r w:rsidR="00B14CB8" w:rsidRPr="007136A3">
        <w:rPr>
          <w:rFonts w:asciiTheme="majorHAnsi" w:eastAsia="Times New Roman" w:hAnsiTheme="majorHAnsi" w:cstheme="majorHAnsi"/>
          <w:color w:val="323232"/>
        </w:rPr>
        <w:t xml:space="preserve">ing </w:t>
      </w:r>
      <w:r w:rsidRPr="007136A3">
        <w:rPr>
          <w:rFonts w:asciiTheme="majorHAnsi" w:eastAsia="Times New Roman" w:hAnsiTheme="majorHAnsi" w:cstheme="majorHAnsi"/>
          <w:color w:val="323232"/>
        </w:rPr>
        <w:t>enterocolitis neonates with enterostomies</w:t>
      </w:r>
      <w:r w:rsidR="0048612A" w:rsidRPr="007136A3">
        <w:rPr>
          <w:rFonts w:asciiTheme="majorHAnsi" w:eastAsia="Times New Roman" w:hAnsiTheme="majorHAnsi" w:cstheme="majorHAnsi"/>
          <w:color w:val="323232"/>
        </w:rPr>
        <w:t xml:space="preserve"> </w:t>
      </w:r>
      <w:r w:rsidRPr="007136A3">
        <w:rPr>
          <w:rFonts w:asciiTheme="majorHAnsi" w:eastAsia="Times New Roman" w:hAnsiTheme="majorHAnsi" w:cstheme="majorHAnsi"/>
          <w:i/>
          <w:iCs/>
          <w:color w:val="323232"/>
        </w:rPr>
        <w:t>J Pediatr Surg</w:t>
      </w:r>
      <w:r w:rsidRPr="007136A3">
        <w:rPr>
          <w:rFonts w:asciiTheme="majorHAnsi" w:eastAsia="Times New Roman" w:hAnsiTheme="majorHAnsi" w:cstheme="majorHAnsi"/>
          <w:color w:val="323232"/>
        </w:rPr>
        <w:t>, 51 (12) (2016), pp. 1914-1916</w:t>
      </w:r>
    </w:p>
    <w:p w14:paraId="12D13DF5" w14:textId="05D8017E" w:rsidR="00B82F66" w:rsidRDefault="00B82F66" w:rsidP="00DE39CF">
      <w:pPr>
        <w:pStyle w:val="ListParagraph"/>
        <w:numPr>
          <w:ilvl w:val="0"/>
          <w:numId w:val="9"/>
        </w:numPr>
        <w:spacing w:after="0" w:line="240" w:lineRule="auto"/>
        <w:rPr>
          <w:rFonts w:asciiTheme="majorHAnsi" w:eastAsia="Times New Roman" w:hAnsiTheme="majorHAnsi" w:cstheme="majorHAnsi"/>
          <w:color w:val="323232"/>
        </w:rPr>
      </w:pPr>
      <w:r w:rsidRPr="00A57789">
        <w:rPr>
          <w:rFonts w:asciiTheme="majorHAnsi" w:eastAsia="Times New Roman" w:hAnsiTheme="majorHAnsi" w:cstheme="majorHAnsi"/>
          <w:color w:val="323232"/>
        </w:rPr>
        <w:t>A. </w:t>
      </w:r>
      <w:r w:rsidR="005074FD" w:rsidRPr="00A57789">
        <w:rPr>
          <w:rFonts w:asciiTheme="majorHAnsi" w:eastAsia="Times New Roman" w:hAnsiTheme="majorHAnsi" w:cstheme="majorHAnsi"/>
          <w:color w:val="323232"/>
        </w:rPr>
        <w:t>O</w:t>
      </w:r>
      <w:r w:rsidR="005074FD">
        <w:rPr>
          <w:rFonts w:asciiTheme="majorHAnsi" w:eastAsia="Times New Roman" w:hAnsiTheme="majorHAnsi" w:cstheme="majorHAnsi"/>
          <w:color w:val="323232"/>
        </w:rPr>
        <w:t>’</w:t>
      </w:r>
      <w:r w:rsidR="005074FD" w:rsidRPr="00A57789">
        <w:rPr>
          <w:rFonts w:asciiTheme="majorHAnsi" w:eastAsia="Times New Roman" w:hAnsiTheme="majorHAnsi" w:cstheme="majorHAnsi"/>
          <w:color w:val="323232"/>
        </w:rPr>
        <w:t>Connor</w:t>
      </w:r>
      <w:r w:rsidRPr="00A57789">
        <w:rPr>
          <w:rFonts w:asciiTheme="majorHAnsi" w:eastAsia="Times New Roman" w:hAnsiTheme="majorHAnsi" w:cstheme="majorHAnsi"/>
          <w:color w:val="323232"/>
        </w:rPr>
        <w:t>, R.S. Sawin</w:t>
      </w:r>
      <w:r w:rsidR="00A57789" w:rsidRPr="00A57789">
        <w:rPr>
          <w:rFonts w:asciiTheme="majorHAnsi" w:eastAsia="Times New Roman" w:hAnsiTheme="majorHAnsi" w:cstheme="majorHAnsi"/>
          <w:color w:val="323232"/>
        </w:rPr>
        <w:t xml:space="preserve"> </w:t>
      </w:r>
      <w:r w:rsidRPr="00A57789">
        <w:rPr>
          <w:rFonts w:asciiTheme="majorHAnsi" w:eastAsia="Times New Roman" w:hAnsiTheme="majorHAnsi" w:cstheme="majorHAnsi"/>
          <w:color w:val="323232"/>
        </w:rPr>
        <w:t xml:space="preserve">High morbidity of enterostomy and its closure in premature infants with </w:t>
      </w:r>
      <w:r w:rsidR="00B14CB8" w:rsidRPr="00A57789">
        <w:rPr>
          <w:rFonts w:asciiTheme="majorHAnsi" w:eastAsia="Times New Roman" w:hAnsiTheme="majorHAnsi" w:cstheme="majorHAnsi"/>
          <w:color w:val="323232"/>
        </w:rPr>
        <w:t>necroti</w:t>
      </w:r>
      <w:r w:rsidR="00B14CB8">
        <w:rPr>
          <w:rFonts w:asciiTheme="majorHAnsi" w:eastAsia="Times New Roman" w:hAnsiTheme="majorHAnsi" w:cstheme="majorHAnsi"/>
          <w:color w:val="323232"/>
        </w:rPr>
        <w:t>s</w:t>
      </w:r>
      <w:r w:rsidR="00B14CB8" w:rsidRPr="00A57789">
        <w:rPr>
          <w:rFonts w:asciiTheme="majorHAnsi" w:eastAsia="Times New Roman" w:hAnsiTheme="majorHAnsi" w:cstheme="majorHAnsi"/>
          <w:color w:val="323232"/>
        </w:rPr>
        <w:t xml:space="preserve">ing </w:t>
      </w:r>
      <w:r w:rsidRPr="00A57789">
        <w:rPr>
          <w:rFonts w:asciiTheme="majorHAnsi" w:eastAsia="Times New Roman" w:hAnsiTheme="majorHAnsi" w:cstheme="majorHAnsi"/>
          <w:color w:val="323232"/>
        </w:rPr>
        <w:t>enterocolitis</w:t>
      </w:r>
      <w:r w:rsidR="00A57789" w:rsidRPr="00A57789">
        <w:rPr>
          <w:rFonts w:asciiTheme="majorHAnsi" w:eastAsia="Times New Roman" w:hAnsiTheme="majorHAnsi" w:cstheme="majorHAnsi"/>
          <w:color w:val="323232"/>
        </w:rPr>
        <w:t xml:space="preserve"> </w:t>
      </w:r>
      <w:r w:rsidRPr="006F4C6B">
        <w:rPr>
          <w:rFonts w:asciiTheme="majorHAnsi" w:eastAsia="Times New Roman" w:hAnsiTheme="majorHAnsi" w:cstheme="majorHAnsi"/>
          <w:i/>
          <w:iCs/>
          <w:color w:val="323232"/>
        </w:rPr>
        <w:t>Arch Surg</w:t>
      </w:r>
      <w:r w:rsidRPr="006F4C6B">
        <w:rPr>
          <w:rFonts w:asciiTheme="majorHAnsi" w:eastAsia="Times New Roman" w:hAnsiTheme="majorHAnsi" w:cstheme="majorHAnsi"/>
          <w:color w:val="323232"/>
        </w:rPr>
        <w:t>, 133 (1998), pp. 875-879</w:t>
      </w:r>
    </w:p>
    <w:p w14:paraId="6609BBD4" w14:textId="5BEACDA0" w:rsidR="00DE39CF" w:rsidRDefault="006F4C6B" w:rsidP="00DE39CF">
      <w:pPr>
        <w:pStyle w:val="ListParagraph"/>
        <w:numPr>
          <w:ilvl w:val="0"/>
          <w:numId w:val="9"/>
        </w:numPr>
        <w:spacing w:after="0" w:line="240" w:lineRule="auto"/>
        <w:rPr>
          <w:rFonts w:asciiTheme="majorHAnsi" w:hAnsiTheme="majorHAnsi" w:cstheme="majorHAnsi"/>
          <w:color w:val="212121"/>
          <w:shd w:val="clear" w:color="auto" w:fill="FFFFFF"/>
        </w:rPr>
      </w:pPr>
      <w:r w:rsidRPr="00A52152">
        <w:rPr>
          <w:rFonts w:asciiTheme="majorHAnsi" w:hAnsiTheme="majorHAnsi" w:cstheme="majorHAnsi"/>
          <w:color w:val="212121"/>
          <w:shd w:val="clear" w:color="auto" w:fill="FFFFFF"/>
        </w:rPr>
        <w:t>Spencer AU, Kovacevich D, McKinney-Barnett M, et al. Pediatric short-bowel syndrome: the cost of comprehensive care. </w:t>
      </w:r>
      <w:r w:rsidRPr="00A52152">
        <w:rPr>
          <w:rFonts w:asciiTheme="majorHAnsi" w:hAnsiTheme="majorHAnsi" w:cstheme="majorHAnsi"/>
          <w:i/>
          <w:iCs/>
          <w:color w:val="212121"/>
          <w:shd w:val="clear" w:color="auto" w:fill="FFFFFF"/>
        </w:rPr>
        <w:t>Am J Clin Nutr</w:t>
      </w:r>
      <w:r w:rsidRPr="00A52152">
        <w:rPr>
          <w:rFonts w:asciiTheme="majorHAnsi" w:hAnsiTheme="majorHAnsi" w:cstheme="majorHAnsi"/>
          <w:color w:val="212121"/>
          <w:shd w:val="clear" w:color="auto" w:fill="FFFFFF"/>
        </w:rPr>
        <w:t>. 2008;88(6):1552-1559. doi:10.3945/ajcn.2008.26007</w:t>
      </w:r>
    </w:p>
    <w:p w14:paraId="59DF6A42" w14:textId="0818CCB9" w:rsidR="00DE39CF" w:rsidRDefault="00DE39CF" w:rsidP="00DE39CF">
      <w:pPr>
        <w:pStyle w:val="ListParagraph"/>
        <w:numPr>
          <w:ilvl w:val="0"/>
          <w:numId w:val="9"/>
        </w:numPr>
        <w:spacing w:after="0" w:line="240" w:lineRule="auto"/>
        <w:rPr>
          <w:rFonts w:asciiTheme="majorHAnsi" w:hAnsiTheme="majorHAnsi" w:cstheme="majorHAnsi"/>
          <w:color w:val="212121"/>
          <w:shd w:val="clear" w:color="auto" w:fill="FFFFFF"/>
        </w:rPr>
      </w:pPr>
      <w:r w:rsidRPr="0081795B">
        <w:rPr>
          <w:rFonts w:asciiTheme="majorHAnsi" w:eastAsia="Times New Roman" w:hAnsiTheme="majorHAnsi" w:cstheme="majorHAnsi"/>
          <w:color w:val="323232"/>
        </w:rPr>
        <w:t xml:space="preserve">P. Sharma, R. Davidson, J. Davidson, C. Keane, C. Liu, S. R. Ritchie, et. al </w:t>
      </w:r>
      <w:r w:rsidRPr="0081795B">
        <w:rPr>
          <w:rFonts w:asciiTheme="majorHAnsi" w:hAnsiTheme="majorHAnsi" w:cstheme="majorHAnsi"/>
          <w:color w:val="1C1D1E"/>
        </w:rPr>
        <w:t xml:space="preserve">Novel chyme reinfusion device for gastrointestinal fistulas and stomas: feasibility study </w:t>
      </w:r>
      <w:r w:rsidRPr="0081795B">
        <w:rPr>
          <w:rFonts w:asciiTheme="majorHAnsi" w:hAnsiTheme="majorHAnsi" w:cstheme="majorHAnsi"/>
          <w:i/>
          <w:iCs/>
          <w:color w:val="1C1D1E"/>
        </w:rPr>
        <w:t>Brit J Surg</w:t>
      </w:r>
      <w:r w:rsidRPr="0081795B">
        <w:rPr>
          <w:rFonts w:asciiTheme="majorHAnsi" w:hAnsiTheme="majorHAnsi" w:cstheme="majorHAnsi"/>
          <w:color w:val="1C1D1E"/>
        </w:rPr>
        <w:t xml:space="preserve"> 2020;107(9)</w:t>
      </w:r>
      <w:r>
        <w:t>:1199-1210. doi:</w:t>
      </w:r>
      <w:r w:rsidRPr="00620044">
        <w:t>10.1002/bjs.11516</w:t>
      </w:r>
    </w:p>
    <w:p w14:paraId="1BEDF93B" w14:textId="28DB820C" w:rsidR="00BB7A2B" w:rsidRDefault="00BB7A2B"/>
    <w:sectPr w:rsidR="00BB7A2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CF04" w16cex:dateUtc="2021-03-07T09:15:00Z"/>
  <w16cex:commentExtensible w16cex:durableId="23EFD18E" w16cex:dateUtc="2021-03-07T09:26:00Z"/>
  <w16cex:commentExtensible w16cex:durableId="23EFD39B" w16cex:dateUtc="2021-03-07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0CC79" w16cid:durableId="23EFCD72"/>
  <w16cid:commentId w16cid:paraId="7D3342A8" w16cid:durableId="23EFCF04"/>
  <w16cid:commentId w16cid:paraId="1ACC943A" w16cid:durableId="23EFCD73"/>
  <w16cid:commentId w16cid:paraId="237DC55B" w16cid:durableId="23EFD17F"/>
  <w16cid:commentId w16cid:paraId="5C180D9A" w16cid:durableId="23EFD18E"/>
  <w16cid:commentId w16cid:paraId="7E35BABB" w16cid:durableId="23EFD39B"/>
  <w16cid:commentId w16cid:paraId="3B24DF9F" w16cid:durableId="23EFC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9CF95" w14:textId="77777777" w:rsidR="007F54F9" w:rsidRDefault="007F54F9">
      <w:pPr>
        <w:spacing w:after="0" w:line="240" w:lineRule="auto"/>
      </w:pPr>
      <w:r>
        <w:separator/>
      </w:r>
    </w:p>
  </w:endnote>
  <w:endnote w:type="continuationSeparator" w:id="0">
    <w:p w14:paraId="07B9B246" w14:textId="77777777" w:rsidR="007F54F9" w:rsidRDefault="007F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C1FC" w14:textId="77777777" w:rsidR="003E72B9" w:rsidRDefault="003E7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5096B" w14:textId="60725011" w:rsidR="00F0336F" w:rsidRDefault="00F0336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E72B9">
      <w:rPr>
        <w:noProof/>
        <w:color w:val="000000"/>
      </w:rPr>
      <w:t>6</w:t>
    </w:r>
    <w:r>
      <w:rPr>
        <w:color w:val="000000"/>
      </w:rPr>
      <w:fldChar w:fldCharType="end"/>
    </w:r>
  </w:p>
  <w:p w14:paraId="7B871C3E" w14:textId="78A57217" w:rsidR="00F0336F" w:rsidRDefault="00F0336F">
    <w:pPr>
      <w:pBdr>
        <w:top w:val="nil"/>
        <w:left w:val="nil"/>
        <w:bottom w:val="nil"/>
        <w:right w:val="nil"/>
        <w:between w:val="nil"/>
      </w:pBdr>
      <w:tabs>
        <w:tab w:val="center" w:pos="4513"/>
        <w:tab w:val="right" w:pos="9026"/>
      </w:tabs>
      <w:spacing w:after="0" w:line="240" w:lineRule="auto"/>
      <w:rPr>
        <w:color w:val="000000"/>
      </w:rPr>
    </w:pPr>
    <w:r>
      <w:t xml:space="preserve">Neonatal </w:t>
    </w:r>
    <w:r>
      <w:rPr>
        <w:color w:val="000000"/>
      </w:rPr>
      <w:t xml:space="preserve">Stoma </w:t>
    </w:r>
    <w:r>
      <w:t>Refeeding Technique</w:t>
    </w:r>
    <w:r>
      <w:rPr>
        <w:color w:val="000000"/>
      </w:rPr>
      <w:t xml:space="preserve"> Protocol v</w:t>
    </w:r>
    <w:r w:rsidR="003E72B9">
      <w:rPr>
        <w:color w:val="000000"/>
      </w:rPr>
      <w:t>2</w:t>
    </w:r>
    <w:r>
      <w:rPr>
        <w:color w:val="000000"/>
      </w:rPr>
      <w:t>.</w:t>
    </w:r>
    <w:r w:rsidR="003B497F">
      <w:t>0</w:t>
    </w:r>
    <w:r>
      <w:rPr>
        <w:color w:val="000000"/>
      </w:rPr>
      <w:t xml:space="preserve"> </w:t>
    </w:r>
  </w:p>
  <w:p w14:paraId="71C46BB8" w14:textId="03591309" w:rsidR="00F0336F" w:rsidRPr="0054062C" w:rsidRDefault="003E72B9">
    <w:pPr>
      <w:pBdr>
        <w:top w:val="nil"/>
        <w:left w:val="nil"/>
        <w:bottom w:val="nil"/>
        <w:right w:val="nil"/>
        <w:between w:val="nil"/>
      </w:pBdr>
      <w:tabs>
        <w:tab w:val="center" w:pos="4513"/>
        <w:tab w:val="right" w:pos="9026"/>
      </w:tabs>
      <w:spacing w:after="0" w:line="240" w:lineRule="auto"/>
    </w:pPr>
    <w:r>
      <w:rPr>
        <w:color w:val="000000"/>
      </w:rPr>
      <w:t>May</w:t>
    </w:r>
    <w:r w:rsidR="00F0336F">
      <w:rPr>
        <w:color w:val="00000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3313" w14:textId="77777777" w:rsidR="003E72B9" w:rsidRDefault="003E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3DD9" w14:textId="77777777" w:rsidR="007F54F9" w:rsidRDefault="007F54F9">
      <w:pPr>
        <w:spacing w:after="0" w:line="240" w:lineRule="auto"/>
      </w:pPr>
      <w:r>
        <w:separator/>
      </w:r>
    </w:p>
  </w:footnote>
  <w:footnote w:type="continuationSeparator" w:id="0">
    <w:p w14:paraId="69C6564F" w14:textId="77777777" w:rsidR="007F54F9" w:rsidRDefault="007F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86D6" w14:textId="77777777" w:rsidR="003E72B9" w:rsidRDefault="003E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F0336F" w14:paraId="7DF0F08E" w14:textId="77777777" w:rsidTr="559E17F1">
      <w:tc>
        <w:tcPr>
          <w:tcW w:w="3009" w:type="dxa"/>
        </w:tcPr>
        <w:p w14:paraId="0C162E94" w14:textId="54618D4B" w:rsidR="00F0336F" w:rsidRDefault="00F0336F" w:rsidP="559E17F1">
          <w:pPr>
            <w:pStyle w:val="Header"/>
            <w:ind w:left="-115"/>
          </w:pPr>
        </w:p>
      </w:tc>
      <w:tc>
        <w:tcPr>
          <w:tcW w:w="3009" w:type="dxa"/>
        </w:tcPr>
        <w:p w14:paraId="613CDFCF" w14:textId="1F7D2E5A" w:rsidR="00F0336F" w:rsidRDefault="00F0336F" w:rsidP="559E17F1">
          <w:pPr>
            <w:pStyle w:val="Header"/>
            <w:jc w:val="center"/>
          </w:pPr>
        </w:p>
      </w:tc>
      <w:tc>
        <w:tcPr>
          <w:tcW w:w="3009" w:type="dxa"/>
        </w:tcPr>
        <w:p w14:paraId="5556B5E2" w14:textId="61C9F520" w:rsidR="00F0336F" w:rsidRDefault="00F0336F" w:rsidP="559E17F1">
          <w:pPr>
            <w:pStyle w:val="Header"/>
            <w:ind w:right="-115"/>
            <w:jc w:val="right"/>
          </w:pPr>
        </w:p>
      </w:tc>
    </w:tr>
  </w:tbl>
  <w:p w14:paraId="6CD0389F" w14:textId="427F0ED8" w:rsidR="00F0336F" w:rsidRDefault="00F0336F" w:rsidP="559E1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DB639" w14:textId="77777777" w:rsidR="003E72B9" w:rsidRDefault="003E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910"/>
    <w:multiLevelType w:val="multilevel"/>
    <w:tmpl w:val="4524CAB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3301F"/>
    <w:multiLevelType w:val="multilevel"/>
    <w:tmpl w:val="BD3AEF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C401C7"/>
    <w:multiLevelType w:val="multilevel"/>
    <w:tmpl w:val="B73AC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FD57DC"/>
    <w:multiLevelType w:val="multilevel"/>
    <w:tmpl w:val="B47A4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8B7F87"/>
    <w:multiLevelType w:val="hybridMultilevel"/>
    <w:tmpl w:val="877035AE"/>
    <w:lvl w:ilvl="0" w:tplc="39BC497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97A6E80"/>
    <w:multiLevelType w:val="hybridMultilevel"/>
    <w:tmpl w:val="B736171A"/>
    <w:lvl w:ilvl="0" w:tplc="1409000F">
      <w:start w:val="2"/>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81F4516"/>
    <w:multiLevelType w:val="multilevel"/>
    <w:tmpl w:val="6404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153B9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C95824"/>
    <w:multiLevelType w:val="hybridMultilevel"/>
    <w:tmpl w:val="636ED8C2"/>
    <w:lvl w:ilvl="0" w:tplc="536A93B2">
      <w:start w:val="1"/>
      <w:numFmt w:val="lowerRoman"/>
      <w:lvlText w:val="(%1)"/>
      <w:lvlJc w:val="left"/>
      <w:pPr>
        <w:ind w:left="720" w:hanging="360"/>
      </w:pPr>
    </w:lvl>
    <w:lvl w:ilvl="1" w:tplc="84763B26">
      <w:start w:val="1"/>
      <w:numFmt w:val="lowerLetter"/>
      <w:lvlText w:val="%2."/>
      <w:lvlJc w:val="left"/>
      <w:pPr>
        <w:ind w:left="1440" w:hanging="360"/>
      </w:pPr>
    </w:lvl>
    <w:lvl w:ilvl="2" w:tplc="A3BA93C0">
      <w:start w:val="1"/>
      <w:numFmt w:val="lowerRoman"/>
      <w:lvlText w:val="%3."/>
      <w:lvlJc w:val="right"/>
      <w:pPr>
        <w:ind w:left="2160" w:hanging="180"/>
      </w:pPr>
    </w:lvl>
    <w:lvl w:ilvl="3" w:tplc="B38C89D2">
      <w:start w:val="1"/>
      <w:numFmt w:val="decimal"/>
      <w:lvlText w:val="%4."/>
      <w:lvlJc w:val="left"/>
      <w:pPr>
        <w:ind w:left="2880" w:hanging="360"/>
      </w:pPr>
    </w:lvl>
    <w:lvl w:ilvl="4" w:tplc="E3D4D070">
      <w:start w:val="1"/>
      <w:numFmt w:val="lowerLetter"/>
      <w:lvlText w:val="%5."/>
      <w:lvlJc w:val="left"/>
      <w:pPr>
        <w:ind w:left="3600" w:hanging="360"/>
      </w:pPr>
    </w:lvl>
    <w:lvl w:ilvl="5" w:tplc="EC1A4692">
      <w:start w:val="1"/>
      <w:numFmt w:val="lowerRoman"/>
      <w:lvlText w:val="%6."/>
      <w:lvlJc w:val="right"/>
      <w:pPr>
        <w:ind w:left="4320" w:hanging="180"/>
      </w:pPr>
    </w:lvl>
    <w:lvl w:ilvl="6" w:tplc="C498B314">
      <w:start w:val="1"/>
      <w:numFmt w:val="decimal"/>
      <w:lvlText w:val="%7."/>
      <w:lvlJc w:val="left"/>
      <w:pPr>
        <w:ind w:left="5040" w:hanging="360"/>
      </w:pPr>
    </w:lvl>
    <w:lvl w:ilvl="7" w:tplc="BBB45D2E">
      <w:start w:val="1"/>
      <w:numFmt w:val="lowerLetter"/>
      <w:lvlText w:val="%8."/>
      <w:lvlJc w:val="left"/>
      <w:pPr>
        <w:ind w:left="5760" w:hanging="360"/>
      </w:pPr>
    </w:lvl>
    <w:lvl w:ilvl="8" w:tplc="06B80F34">
      <w:start w:val="1"/>
      <w:numFmt w:val="lowerRoman"/>
      <w:lvlText w:val="%9."/>
      <w:lvlJc w:val="right"/>
      <w:pPr>
        <w:ind w:left="6480" w:hanging="180"/>
      </w:pPr>
    </w:lvl>
  </w:abstractNum>
  <w:num w:numId="1">
    <w:abstractNumId w:val="2"/>
  </w:num>
  <w:num w:numId="2">
    <w:abstractNumId w:val="0"/>
  </w:num>
  <w:num w:numId="3">
    <w:abstractNumId w:val="7"/>
  </w:num>
  <w:num w:numId="4">
    <w:abstractNumId w:val="8"/>
  </w:num>
  <w:num w:numId="5">
    <w:abstractNumId w:val="1"/>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wNzQ1N7YwNzS2MDZV0lEKTi0uzszPAykwNKgFAAHVcG8tAAAA"/>
  </w:docVars>
  <w:rsids>
    <w:rsidRoot w:val="00BB7A2B"/>
    <w:rsid w:val="000167DA"/>
    <w:rsid w:val="0002729E"/>
    <w:rsid w:val="000362C5"/>
    <w:rsid w:val="000506BE"/>
    <w:rsid w:val="000518A4"/>
    <w:rsid w:val="00056E15"/>
    <w:rsid w:val="00057CE4"/>
    <w:rsid w:val="00090916"/>
    <w:rsid w:val="000A0066"/>
    <w:rsid w:val="000A3842"/>
    <w:rsid w:val="000A5F8D"/>
    <w:rsid w:val="000B277A"/>
    <w:rsid w:val="000B6480"/>
    <w:rsid w:val="000C3013"/>
    <w:rsid w:val="000C5DE1"/>
    <w:rsid w:val="000E4576"/>
    <w:rsid w:val="000E492B"/>
    <w:rsid w:val="00103957"/>
    <w:rsid w:val="00111513"/>
    <w:rsid w:val="00147847"/>
    <w:rsid w:val="00150B56"/>
    <w:rsid w:val="00150D0E"/>
    <w:rsid w:val="00176606"/>
    <w:rsid w:val="001967C7"/>
    <w:rsid w:val="001A5F41"/>
    <w:rsid w:val="001B3664"/>
    <w:rsid w:val="001B49DA"/>
    <w:rsid w:val="001B55D4"/>
    <w:rsid w:val="001D50ED"/>
    <w:rsid w:val="001F02F0"/>
    <w:rsid w:val="001F2056"/>
    <w:rsid w:val="001F3882"/>
    <w:rsid w:val="001F46C6"/>
    <w:rsid w:val="001F5644"/>
    <w:rsid w:val="00212AEC"/>
    <w:rsid w:val="00216550"/>
    <w:rsid w:val="00217745"/>
    <w:rsid w:val="00237184"/>
    <w:rsid w:val="002371EF"/>
    <w:rsid w:val="002519E2"/>
    <w:rsid w:val="0026081C"/>
    <w:rsid w:val="00265329"/>
    <w:rsid w:val="0028312E"/>
    <w:rsid w:val="002835E8"/>
    <w:rsid w:val="002921A4"/>
    <w:rsid w:val="00296413"/>
    <w:rsid w:val="002D087E"/>
    <w:rsid w:val="002F2CB9"/>
    <w:rsid w:val="00301FF4"/>
    <w:rsid w:val="003032C6"/>
    <w:rsid w:val="003052D1"/>
    <w:rsid w:val="00305C83"/>
    <w:rsid w:val="00310B8B"/>
    <w:rsid w:val="00312185"/>
    <w:rsid w:val="003222F2"/>
    <w:rsid w:val="00325C31"/>
    <w:rsid w:val="00325E9E"/>
    <w:rsid w:val="003649B8"/>
    <w:rsid w:val="00377FBF"/>
    <w:rsid w:val="00392E5C"/>
    <w:rsid w:val="00397D0B"/>
    <w:rsid w:val="003B497F"/>
    <w:rsid w:val="003D12A9"/>
    <w:rsid w:val="003E3836"/>
    <w:rsid w:val="003E6164"/>
    <w:rsid w:val="003E72B9"/>
    <w:rsid w:val="003F53DE"/>
    <w:rsid w:val="003F7B4F"/>
    <w:rsid w:val="004031CB"/>
    <w:rsid w:val="0040705E"/>
    <w:rsid w:val="00414D96"/>
    <w:rsid w:val="00417930"/>
    <w:rsid w:val="00431B94"/>
    <w:rsid w:val="004350CD"/>
    <w:rsid w:val="00435106"/>
    <w:rsid w:val="00435EA7"/>
    <w:rsid w:val="004373B6"/>
    <w:rsid w:val="00447914"/>
    <w:rsid w:val="0045439C"/>
    <w:rsid w:val="00456C41"/>
    <w:rsid w:val="004728CB"/>
    <w:rsid w:val="00473F46"/>
    <w:rsid w:val="00480AED"/>
    <w:rsid w:val="00483FB8"/>
    <w:rsid w:val="0048612A"/>
    <w:rsid w:val="00490EC5"/>
    <w:rsid w:val="00492280"/>
    <w:rsid w:val="004A4EE6"/>
    <w:rsid w:val="004B75E3"/>
    <w:rsid w:val="004C39F8"/>
    <w:rsid w:val="004E3516"/>
    <w:rsid w:val="004E3AF6"/>
    <w:rsid w:val="004E7032"/>
    <w:rsid w:val="004F5871"/>
    <w:rsid w:val="005057A8"/>
    <w:rsid w:val="005074FD"/>
    <w:rsid w:val="00523ECA"/>
    <w:rsid w:val="005252ED"/>
    <w:rsid w:val="0053584F"/>
    <w:rsid w:val="0054062C"/>
    <w:rsid w:val="00541D3A"/>
    <w:rsid w:val="005465BF"/>
    <w:rsid w:val="00551768"/>
    <w:rsid w:val="00554392"/>
    <w:rsid w:val="00561312"/>
    <w:rsid w:val="005710AE"/>
    <w:rsid w:val="005717CC"/>
    <w:rsid w:val="0057771A"/>
    <w:rsid w:val="005A0442"/>
    <w:rsid w:val="005A669F"/>
    <w:rsid w:val="005C4ACC"/>
    <w:rsid w:val="005D6B13"/>
    <w:rsid w:val="00607424"/>
    <w:rsid w:val="00614F60"/>
    <w:rsid w:val="00620044"/>
    <w:rsid w:val="006206A6"/>
    <w:rsid w:val="006307D9"/>
    <w:rsid w:val="0063672C"/>
    <w:rsid w:val="0065190A"/>
    <w:rsid w:val="006548A6"/>
    <w:rsid w:val="0066046B"/>
    <w:rsid w:val="00660DBE"/>
    <w:rsid w:val="00662075"/>
    <w:rsid w:val="0067152B"/>
    <w:rsid w:val="006A06D3"/>
    <w:rsid w:val="006A11FC"/>
    <w:rsid w:val="006B0FBD"/>
    <w:rsid w:val="006B4737"/>
    <w:rsid w:val="006D1E5D"/>
    <w:rsid w:val="006D2865"/>
    <w:rsid w:val="006D78DD"/>
    <w:rsid w:val="006F11F4"/>
    <w:rsid w:val="006F4C6B"/>
    <w:rsid w:val="00702560"/>
    <w:rsid w:val="00704290"/>
    <w:rsid w:val="007074AD"/>
    <w:rsid w:val="007136A3"/>
    <w:rsid w:val="0074356C"/>
    <w:rsid w:val="00760545"/>
    <w:rsid w:val="00765A8B"/>
    <w:rsid w:val="00765FD6"/>
    <w:rsid w:val="00783CF4"/>
    <w:rsid w:val="00785493"/>
    <w:rsid w:val="0079198C"/>
    <w:rsid w:val="0079511A"/>
    <w:rsid w:val="007A0346"/>
    <w:rsid w:val="007A175D"/>
    <w:rsid w:val="007A6E91"/>
    <w:rsid w:val="007B28DC"/>
    <w:rsid w:val="007E3258"/>
    <w:rsid w:val="007F54F9"/>
    <w:rsid w:val="007F68B0"/>
    <w:rsid w:val="008015B5"/>
    <w:rsid w:val="00811E5E"/>
    <w:rsid w:val="00813645"/>
    <w:rsid w:val="00814270"/>
    <w:rsid w:val="00826175"/>
    <w:rsid w:val="00826948"/>
    <w:rsid w:val="00831563"/>
    <w:rsid w:val="00843F30"/>
    <w:rsid w:val="008523D6"/>
    <w:rsid w:val="00876C02"/>
    <w:rsid w:val="0089061F"/>
    <w:rsid w:val="008906D4"/>
    <w:rsid w:val="008958E0"/>
    <w:rsid w:val="008E2562"/>
    <w:rsid w:val="00900C6D"/>
    <w:rsid w:val="00913BD6"/>
    <w:rsid w:val="009160A7"/>
    <w:rsid w:val="009207C3"/>
    <w:rsid w:val="00930396"/>
    <w:rsid w:val="00961A41"/>
    <w:rsid w:val="00963F11"/>
    <w:rsid w:val="00993FA7"/>
    <w:rsid w:val="009B5E8F"/>
    <w:rsid w:val="009C119E"/>
    <w:rsid w:val="009D6033"/>
    <w:rsid w:val="009E5B97"/>
    <w:rsid w:val="009F61AF"/>
    <w:rsid w:val="00A03BDE"/>
    <w:rsid w:val="00A14C0D"/>
    <w:rsid w:val="00A26246"/>
    <w:rsid w:val="00A3443D"/>
    <w:rsid w:val="00A42D35"/>
    <w:rsid w:val="00A47FE5"/>
    <w:rsid w:val="00A51F25"/>
    <w:rsid w:val="00A52152"/>
    <w:rsid w:val="00A57789"/>
    <w:rsid w:val="00A65DA7"/>
    <w:rsid w:val="00A76CC5"/>
    <w:rsid w:val="00A91A07"/>
    <w:rsid w:val="00AC2FBA"/>
    <w:rsid w:val="00AD7760"/>
    <w:rsid w:val="00B05ADB"/>
    <w:rsid w:val="00B1010D"/>
    <w:rsid w:val="00B1149B"/>
    <w:rsid w:val="00B14CB8"/>
    <w:rsid w:val="00B36CAD"/>
    <w:rsid w:val="00B40095"/>
    <w:rsid w:val="00B508E3"/>
    <w:rsid w:val="00B626EE"/>
    <w:rsid w:val="00B65953"/>
    <w:rsid w:val="00B81ECE"/>
    <w:rsid w:val="00B82F66"/>
    <w:rsid w:val="00BB31EC"/>
    <w:rsid w:val="00BB6456"/>
    <w:rsid w:val="00BB7A2B"/>
    <w:rsid w:val="00BF3D09"/>
    <w:rsid w:val="00BF415D"/>
    <w:rsid w:val="00C01AB4"/>
    <w:rsid w:val="00C25745"/>
    <w:rsid w:val="00C2655B"/>
    <w:rsid w:val="00C9096F"/>
    <w:rsid w:val="00C918F9"/>
    <w:rsid w:val="00C949D8"/>
    <w:rsid w:val="00CA0D8F"/>
    <w:rsid w:val="00CB2458"/>
    <w:rsid w:val="00CB29BA"/>
    <w:rsid w:val="00CB50BD"/>
    <w:rsid w:val="00CB6F4E"/>
    <w:rsid w:val="00CD7612"/>
    <w:rsid w:val="00CF3C12"/>
    <w:rsid w:val="00D07ED1"/>
    <w:rsid w:val="00D37F59"/>
    <w:rsid w:val="00D41FAE"/>
    <w:rsid w:val="00D421E2"/>
    <w:rsid w:val="00D4558C"/>
    <w:rsid w:val="00D534A5"/>
    <w:rsid w:val="00D54EA9"/>
    <w:rsid w:val="00D56AF6"/>
    <w:rsid w:val="00D65A96"/>
    <w:rsid w:val="00D775AE"/>
    <w:rsid w:val="00D77E04"/>
    <w:rsid w:val="00D810CF"/>
    <w:rsid w:val="00D91378"/>
    <w:rsid w:val="00DA5329"/>
    <w:rsid w:val="00DB079A"/>
    <w:rsid w:val="00DC2827"/>
    <w:rsid w:val="00DC42F7"/>
    <w:rsid w:val="00DD37DC"/>
    <w:rsid w:val="00DD7F82"/>
    <w:rsid w:val="00DE39CF"/>
    <w:rsid w:val="00E04C19"/>
    <w:rsid w:val="00E12958"/>
    <w:rsid w:val="00E14773"/>
    <w:rsid w:val="00E2014A"/>
    <w:rsid w:val="00E222B2"/>
    <w:rsid w:val="00E249B9"/>
    <w:rsid w:val="00E337E9"/>
    <w:rsid w:val="00E42FF4"/>
    <w:rsid w:val="00E4652E"/>
    <w:rsid w:val="00E4653C"/>
    <w:rsid w:val="00E54D52"/>
    <w:rsid w:val="00E90CAB"/>
    <w:rsid w:val="00EA0D56"/>
    <w:rsid w:val="00EB6E05"/>
    <w:rsid w:val="00EB7ACE"/>
    <w:rsid w:val="00EE5A32"/>
    <w:rsid w:val="00EE70A7"/>
    <w:rsid w:val="00EF5B61"/>
    <w:rsid w:val="00F0336F"/>
    <w:rsid w:val="00F17E34"/>
    <w:rsid w:val="00F43C34"/>
    <w:rsid w:val="00F8294F"/>
    <w:rsid w:val="00F855D0"/>
    <w:rsid w:val="00FB407B"/>
    <w:rsid w:val="00FB586F"/>
    <w:rsid w:val="00FB6AAB"/>
    <w:rsid w:val="00FC2C00"/>
    <w:rsid w:val="00FC785C"/>
    <w:rsid w:val="08A84796"/>
    <w:rsid w:val="18EE937D"/>
    <w:rsid w:val="1A184B96"/>
    <w:rsid w:val="559E17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A6B8"/>
  <w15:docId w15:val="{DEFE6AC7-8684-4AD0-AF3E-A8D6C6AF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AC2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FBA"/>
    <w:rPr>
      <w:rFonts w:ascii="Segoe UI" w:hAnsi="Segoe UI" w:cs="Segoe UI"/>
      <w:sz w:val="18"/>
      <w:szCs w:val="18"/>
    </w:rPr>
  </w:style>
  <w:style w:type="character" w:styleId="Hyperlink">
    <w:name w:val="Hyperlink"/>
    <w:basedOn w:val="DefaultParagraphFont"/>
    <w:uiPriority w:val="99"/>
    <w:unhideWhenUsed/>
    <w:rsid w:val="00A26246"/>
    <w:rPr>
      <w:color w:val="0000FF"/>
      <w:u w:val="single"/>
    </w:rPr>
  </w:style>
  <w:style w:type="character" w:styleId="Emphasis">
    <w:name w:val="Emphasis"/>
    <w:basedOn w:val="DefaultParagraphFont"/>
    <w:uiPriority w:val="20"/>
    <w:qFormat/>
    <w:rsid w:val="00A26246"/>
    <w:rPr>
      <w:i/>
      <w:iCs/>
    </w:rPr>
  </w:style>
  <w:style w:type="character" w:styleId="Strong">
    <w:name w:val="Strong"/>
    <w:basedOn w:val="DefaultParagraphFont"/>
    <w:uiPriority w:val="22"/>
    <w:qFormat/>
    <w:rsid w:val="001F02F0"/>
    <w:rPr>
      <w:b/>
      <w:bCs/>
    </w:rPr>
  </w:style>
  <w:style w:type="character" w:customStyle="1" w:styleId="anchor-text">
    <w:name w:val="anchor-text"/>
    <w:basedOn w:val="DefaultParagraphFont"/>
    <w:rsid w:val="001F02F0"/>
  </w:style>
  <w:style w:type="paragraph" w:styleId="ListParagraph">
    <w:name w:val="List Paragraph"/>
    <w:basedOn w:val="Normal"/>
    <w:uiPriority w:val="34"/>
    <w:qFormat/>
    <w:rsid w:val="00561312"/>
    <w:pPr>
      <w:ind w:left="720"/>
      <w:contextualSpacing/>
    </w:pPr>
  </w:style>
  <w:style w:type="character" w:styleId="CommentReference">
    <w:name w:val="annotation reference"/>
    <w:basedOn w:val="DefaultParagraphFont"/>
    <w:uiPriority w:val="99"/>
    <w:semiHidden/>
    <w:unhideWhenUsed/>
    <w:rsid w:val="0079198C"/>
    <w:rPr>
      <w:sz w:val="16"/>
      <w:szCs w:val="16"/>
    </w:rPr>
  </w:style>
  <w:style w:type="paragraph" w:styleId="CommentText">
    <w:name w:val="annotation text"/>
    <w:basedOn w:val="Normal"/>
    <w:link w:val="CommentTextChar"/>
    <w:uiPriority w:val="99"/>
    <w:unhideWhenUsed/>
    <w:rsid w:val="0079198C"/>
    <w:pPr>
      <w:spacing w:line="240" w:lineRule="auto"/>
    </w:pPr>
    <w:rPr>
      <w:sz w:val="20"/>
      <w:szCs w:val="20"/>
    </w:rPr>
  </w:style>
  <w:style w:type="character" w:customStyle="1" w:styleId="CommentTextChar">
    <w:name w:val="Comment Text Char"/>
    <w:basedOn w:val="DefaultParagraphFont"/>
    <w:link w:val="CommentText"/>
    <w:uiPriority w:val="99"/>
    <w:rsid w:val="0079198C"/>
    <w:rPr>
      <w:sz w:val="20"/>
      <w:szCs w:val="20"/>
    </w:rPr>
  </w:style>
  <w:style w:type="paragraph" w:styleId="CommentSubject">
    <w:name w:val="annotation subject"/>
    <w:basedOn w:val="CommentText"/>
    <w:next w:val="CommentText"/>
    <w:link w:val="CommentSubjectChar"/>
    <w:uiPriority w:val="99"/>
    <w:semiHidden/>
    <w:unhideWhenUsed/>
    <w:rsid w:val="0079198C"/>
    <w:rPr>
      <w:b/>
      <w:bCs/>
    </w:rPr>
  </w:style>
  <w:style w:type="character" w:customStyle="1" w:styleId="CommentSubjectChar">
    <w:name w:val="Comment Subject Char"/>
    <w:basedOn w:val="CommentTextChar"/>
    <w:link w:val="CommentSubject"/>
    <w:uiPriority w:val="99"/>
    <w:semiHidden/>
    <w:rsid w:val="0079198C"/>
    <w:rPr>
      <w:b/>
      <w:bCs/>
      <w:sz w:val="20"/>
      <w:szCs w:val="20"/>
    </w:rPr>
  </w:style>
  <w:style w:type="character" w:customStyle="1" w:styleId="UnresolvedMention1">
    <w:name w:val="Unresolved Mention1"/>
    <w:basedOn w:val="DefaultParagraphFont"/>
    <w:uiPriority w:val="99"/>
    <w:semiHidden/>
    <w:unhideWhenUsed/>
    <w:rsid w:val="0079198C"/>
    <w:rPr>
      <w:color w:val="605E5C"/>
      <w:shd w:val="clear" w:color="auto" w:fill="E1DFDD"/>
    </w:rPr>
  </w:style>
  <w:style w:type="paragraph" w:styleId="Header">
    <w:name w:val="header"/>
    <w:basedOn w:val="Normal"/>
    <w:link w:val="HeaderChar"/>
    <w:uiPriority w:val="99"/>
    <w:unhideWhenUsed/>
    <w:rsid w:val="004B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E3"/>
  </w:style>
  <w:style w:type="paragraph" w:styleId="Footer">
    <w:name w:val="footer"/>
    <w:basedOn w:val="Normal"/>
    <w:link w:val="FooterChar"/>
    <w:uiPriority w:val="99"/>
    <w:unhideWhenUsed/>
    <w:rsid w:val="004B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876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240">
      <w:bodyDiv w:val="1"/>
      <w:marLeft w:val="0"/>
      <w:marRight w:val="0"/>
      <w:marTop w:val="0"/>
      <w:marBottom w:val="0"/>
      <w:divBdr>
        <w:top w:val="none" w:sz="0" w:space="0" w:color="auto"/>
        <w:left w:val="none" w:sz="0" w:space="0" w:color="auto"/>
        <w:bottom w:val="none" w:sz="0" w:space="0" w:color="auto"/>
        <w:right w:val="none" w:sz="0" w:space="0" w:color="auto"/>
      </w:divBdr>
      <w:divsChild>
        <w:div w:id="810708406">
          <w:marLeft w:val="0"/>
          <w:marRight w:val="0"/>
          <w:marTop w:val="0"/>
          <w:marBottom w:val="0"/>
          <w:divBdr>
            <w:top w:val="none" w:sz="0" w:space="0" w:color="auto"/>
            <w:left w:val="none" w:sz="0" w:space="0" w:color="auto"/>
            <w:bottom w:val="none" w:sz="0" w:space="0" w:color="auto"/>
            <w:right w:val="none" w:sz="0" w:space="0" w:color="auto"/>
          </w:divBdr>
        </w:div>
        <w:div w:id="2121214482">
          <w:marLeft w:val="0"/>
          <w:marRight w:val="0"/>
          <w:marTop w:val="0"/>
          <w:marBottom w:val="0"/>
          <w:divBdr>
            <w:top w:val="none" w:sz="0" w:space="0" w:color="auto"/>
            <w:left w:val="none" w:sz="0" w:space="0" w:color="auto"/>
            <w:bottom w:val="none" w:sz="0" w:space="0" w:color="auto"/>
            <w:right w:val="none" w:sz="0" w:space="0" w:color="auto"/>
          </w:divBdr>
        </w:div>
        <w:div w:id="75328793">
          <w:marLeft w:val="0"/>
          <w:marRight w:val="0"/>
          <w:marTop w:val="0"/>
          <w:marBottom w:val="0"/>
          <w:divBdr>
            <w:top w:val="none" w:sz="0" w:space="0" w:color="auto"/>
            <w:left w:val="none" w:sz="0" w:space="0" w:color="auto"/>
            <w:bottom w:val="none" w:sz="0" w:space="0" w:color="auto"/>
            <w:right w:val="none" w:sz="0" w:space="0" w:color="auto"/>
          </w:divBdr>
        </w:div>
        <w:div w:id="2145999135">
          <w:marLeft w:val="0"/>
          <w:marRight w:val="0"/>
          <w:marTop w:val="0"/>
          <w:marBottom w:val="0"/>
          <w:divBdr>
            <w:top w:val="none" w:sz="0" w:space="0" w:color="auto"/>
            <w:left w:val="none" w:sz="0" w:space="0" w:color="auto"/>
            <w:bottom w:val="none" w:sz="0" w:space="0" w:color="auto"/>
            <w:right w:val="none" w:sz="0" w:space="0" w:color="auto"/>
          </w:divBdr>
        </w:div>
        <w:div w:id="649558189">
          <w:marLeft w:val="0"/>
          <w:marRight w:val="0"/>
          <w:marTop w:val="0"/>
          <w:marBottom w:val="0"/>
          <w:divBdr>
            <w:top w:val="none" w:sz="0" w:space="0" w:color="auto"/>
            <w:left w:val="none" w:sz="0" w:space="0" w:color="auto"/>
            <w:bottom w:val="none" w:sz="0" w:space="0" w:color="auto"/>
            <w:right w:val="none" w:sz="0" w:space="0" w:color="auto"/>
          </w:divBdr>
        </w:div>
        <w:div w:id="839268938">
          <w:marLeft w:val="0"/>
          <w:marRight w:val="0"/>
          <w:marTop w:val="0"/>
          <w:marBottom w:val="0"/>
          <w:divBdr>
            <w:top w:val="none" w:sz="0" w:space="0" w:color="auto"/>
            <w:left w:val="none" w:sz="0" w:space="0" w:color="auto"/>
            <w:bottom w:val="none" w:sz="0" w:space="0" w:color="auto"/>
            <w:right w:val="none" w:sz="0" w:space="0" w:color="auto"/>
          </w:divBdr>
        </w:div>
        <w:div w:id="1022171597">
          <w:marLeft w:val="0"/>
          <w:marRight w:val="0"/>
          <w:marTop w:val="0"/>
          <w:marBottom w:val="0"/>
          <w:divBdr>
            <w:top w:val="none" w:sz="0" w:space="0" w:color="auto"/>
            <w:left w:val="none" w:sz="0" w:space="0" w:color="auto"/>
            <w:bottom w:val="none" w:sz="0" w:space="0" w:color="auto"/>
            <w:right w:val="none" w:sz="0" w:space="0" w:color="auto"/>
          </w:divBdr>
        </w:div>
        <w:div w:id="1479766647">
          <w:marLeft w:val="0"/>
          <w:marRight w:val="0"/>
          <w:marTop w:val="0"/>
          <w:marBottom w:val="0"/>
          <w:divBdr>
            <w:top w:val="none" w:sz="0" w:space="0" w:color="auto"/>
            <w:left w:val="none" w:sz="0" w:space="0" w:color="auto"/>
            <w:bottom w:val="none" w:sz="0" w:space="0" w:color="auto"/>
            <w:right w:val="none" w:sz="0" w:space="0" w:color="auto"/>
          </w:divBdr>
        </w:div>
        <w:div w:id="1690255071">
          <w:marLeft w:val="0"/>
          <w:marRight w:val="0"/>
          <w:marTop w:val="0"/>
          <w:marBottom w:val="0"/>
          <w:divBdr>
            <w:top w:val="none" w:sz="0" w:space="0" w:color="auto"/>
            <w:left w:val="none" w:sz="0" w:space="0" w:color="auto"/>
            <w:bottom w:val="none" w:sz="0" w:space="0" w:color="auto"/>
            <w:right w:val="none" w:sz="0" w:space="0" w:color="auto"/>
          </w:divBdr>
        </w:div>
        <w:div w:id="2103915266">
          <w:marLeft w:val="0"/>
          <w:marRight w:val="0"/>
          <w:marTop w:val="0"/>
          <w:marBottom w:val="0"/>
          <w:divBdr>
            <w:top w:val="none" w:sz="0" w:space="0" w:color="auto"/>
            <w:left w:val="none" w:sz="0" w:space="0" w:color="auto"/>
            <w:bottom w:val="none" w:sz="0" w:space="0" w:color="auto"/>
            <w:right w:val="none" w:sz="0" w:space="0" w:color="auto"/>
          </w:divBdr>
        </w:div>
        <w:div w:id="1883977841">
          <w:marLeft w:val="0"/>
          <w:marRight w:val="0"/>
          <w:marTop w:val="0"/>
          <w:marBottom w:val="0"/>
          <w:divBdr>
            <w:top w:val="none" w:sz="0" w:space="0" w:color="auto"/>
            <w:left w:val="none" w:sz="0" w:space="0" w:color="auto"/>
            <w:bottom w:val="none" w:sz="0" w:space="0" w:color="auto"/>
            <w:right w:val="none" w:sz="0" w:space="0" w:color="auto"/>
          </w:divBdr>
        </w:div>
        <w:div w:id="1652639340">
          <w:marLeft w:val="0"/>
          <w:marRight w:val="0"/>
          <w:marTop w:val="0"/>
          <w:marBottom w:val="0"/>
          <w:divBdr>
            <w:top w:val="none" w:sz="0" w:space="0" w:color="auto"/>
            <w:left w:val="none" w:sz="0" w:space="0" w:color="auto"/>
            <w:bottom w:val="none" w:sz="0" w:space="0" w:color="auto"/>
            <w:right w:val="none" w:sz="0" w:space="0" w:color="auto"/>
          </w:divBdr>
        </w:div>
        <w:div w:id="1017006390">
          <w:marLeft w:val="0"/>
          <w:marRight w:val="0"/>
          <w:marTop w:val="0"/>
          <w:marBottom w:val="0"/>
          <w:divBdr>
            <w:top w:val="none" w:sz="0" w:space="0" w:color="auto"/>
            <w:left w:val="none" w:sz="0" w:space="0" w:color="auto"/>
            <w:bottom w:val="none" w:sz="0" w:space="0" w:color="auto"/>
            <w:right w:val="none" w:sz="0" w:space="0" w:color="auto"/>
          </w:divBdr>
        </w:div>
        <w:div w:id="843981777">
          <w:marLeft w:val="0"/>
          <w:marRight w:val="0"/>
          <w:marTop w:val="0"/>
          <w:marBottom w:val="0"/>
          <w:divBdr>
            <w:top w:val="none" w:sz="0" w:space="0" w:color="auto"/>
            <w:left w:val="none" w:sz="0" w:space="0" w:color="auto"/>
            <w:bottom w:val="none" w:sz="0" w:space="0" w:color="auto"/>
            <w:right w:val="none" w:sz="0" w:space="0" w:color="auto"/>
          </w:divBdr>
        </w:div>
        <w:div w:id="484859957">
          <w:marLeft w:val="0"/>
          <w:marRight w:val="0"/>
          <w:marTop w:val="0"/>
          <w:marBottom w:val="0"/>
          <w:divBdr>
            <w:top w:val="none" w:sz="0" w:space="0" w:color="auto"/>
            <w:left w:val="none" w:sz="0" w:space="0" w:color="auto"/>
            <w:bottom w:val="none" w:sz="0" w:space="0" w:color="auto"/>
            <w:right w:val="none" w:sz="0" w:space="0" w:color="auto"/>
          </w:divBdr>
        </w:div>
        <w:div w:id="1723409539">
          <w:marLeft w:val="0"/>
          <w:marRight w:val="0"/>
          <w:marTop w:val="0"/>
          <w:marBottom w:val="0"/>
          <w:divBdr>
            <w:top w:val="none" w:sz="0" w:space="0" w:color="auto"/>
            <w:left w:val="none" w:sz="0" w:space="0" w:color="auto"/>
            <w:bottom w:val="none" w:sz="0" w:space="0" w:color="auto"/>
            <w:right w:val="none" w:sz="0" w:space="0" w:color="auto"/>
          </w:divBdr>
        </w:div>
        <w:div w:id="1403915927">
          <w:marLeft w:val="0"/>
          <w:marRight w:val="0"/>
          <w:marTop w:val="0"/>
          <w:marBottom w:val="0"/>
          <w:divBdr>
            <w:top w:val="none" w:sz="0" w:space="0" w:color="auto"/>
            <w:left w:val="none" w:sz="0" w:space="0" w:color="auto"/>
            <w:bottom w:val="none" w:sz="0" w:space="0" w:color="auto"/>
            <w:right w:val="none" w:sz="0" w:space="0" w:color="auto"/>
          </w:divBdr>
        </w:div>
        <w:div w:id="1347905659">
          <w:marLeft w:val="0"/>
          <w:marRight w:val="0"/>
          <w:marTop w:val="0"/>
          <w:marBottom w:val="0"/>
          <w:divBdr>
            <w:top w:val="none" w:sz="0" w:space="0" w:color="auto"/>
            <w:left w:val="none" w:sz="0" w:space="0" w:color="auto"/>
            <w:bottom w:val="none" w:sz="0" w:space="0" w:color="auto"/>
            <w:right w:val="none" w:sz="0" w:space="0" w:color="auto"/>
          </w:divBdr>
        </w:div>
        <w:div w:id="1310327172">
          <w:marLeft w:val="0"/>
          <w:marRight w:val="0"/>
          <w:marTop w:val="0"/>
          <w:marBottom w:val="0"/>
          <w:divBdr>
            <w:top w:val="none" w:sz="0" w:space="0" w:color="auto"/>
            <w:left w:val="none" w:sz="0" w:space="0" w:color="auto"/>
            <w:bottom w:val="none" w:sz="0" w:space="0" w:color="auto"/>
            <w:right w:val="none" w:sz="0" w:space="0" w:color="auto"/>
          </w:divBdr>
        </w:div>
        <w:div w:id="496577163">
          <w:marLeft w:val="0"/>
          <w:marRight w:val="0"/>
          <w:marTop w:val="0"/>
          <w:marBottom w:val="0"/>
          <w:divBdr>
            <w:top w:val="none" w:sz="0" w:space="0" w:color="auto"/>
            <w:left w:val="none" w:sz="0" w:space="0" w:color="auto"/>
            <w:bottom w:val="none" w:sz="0" w:space="0" w:color="auto"/>
            <w:right w:val="none" w:sz="0" w:space="0" w:color="auto"/>
          </w:divBdr>
        </w:div>
        <w:div w:id="869143659">
          <w:marLeft w:val="0"/>
          <w:marRight w:val="0"/>
          <w:marTop w:val="0"/>
          <w:marBottom w:val="0"/>
          <w:divBdr>
            <w:top w:val="none" w:sz="0" w:space="0" w:color="auto"/>
            <w:left w:val="none" w:sz="0" w:space="0" w:color="auto"/>
            <w:bottom w:val="none" w:sz="0" w:space="0" w:color="auto"/>
            <w:right w:val="none" w:sz="0" w:space="0" w:color="auto"/>
          </w:divBdr>
        </w:div>
        <w:div w:id="1210193176">
          <w:marLeft w:val="0"/>
          <w:marRight w:val="0"/>
          <w:marTop w:val="0"/>
          <w:marBottom w:val="0"/>
          <w:divBdr>
            <w:top w:val="none" w:sz="0" w:space="0" w:color="auto"/>
            <w:left w:val="none" w:sz="0" w:space="0" w:color="auto"/>
            <w:bottom w:val="none" w:sz="0" w:space="0" w:color="auto"/>
            <w:right w:val="none" w:sz="0" w:space="0" w:color="auto"/>
          </w:divBdr>
        </w:div>
        <w:div w:id="1087309207">
          <w:marLeft w:val="0"/>
          <w:marRight w:val="0"/>
          <w:marTop w:val="0"/>
          <w:marBottom w:val="0"/>
          <w:divBdr>
            <w:top w:val="none" w:sz="0" w:space="0" w:color="auto"/>
            <w:left w:val="none" w:sz="0" w:space="0" w:color="auto"/>
            <w:bottom w:val="none" w:sz="0" w:space="0" w:color="auto"/>
            <w:right w:val="none" w:sz="0" w:space="0" w:color="auto"/>
          </w:divBdr>
        </w:div>
        <w:div w:id="148325632">
          <w:marLeft w:val="0"/>
          <w:marRight w:val="0"/>
          <w:marTop w:val="0"/>
          <w:marBottom w:val="0"/>
          <w:divBdr>
            <w:top w:val="none" w:sz="0" w:space="0" w:color="auto"/>
            <w:left w:val="none" w:sz="0" w:space="0" w:color="auto"/>
            <w:bottom w:val="none" w:sz="0" w:space="0" w:color="auto"/>
            <w:right w:val="none" w:sz="0" w:space="0" w:color="auto"/>
          </w:divBdr>
        </w:div>
        <w:div w:id="614287088">
          <w:marLeft w:val="0"/>
          <w:marRight w:val="0"/>
          <w:marTop w:val="0"/>
          <w:marBottom w:val="0"/>
          <w:divBdr>
            <w:top w:val="none" w:sz="0" w:space="0" w:color="auto"/>
            <w:left w:val="none" w:sz="0" w:space="0" w:color="auto"/>
            <w:bottom w:val="none" w:sz="0" w:space="0" w:color="auto"/>
            <w:right w:val="none" w:sz="0" w:space="0" w:color="auto"/>
          </w:divBdr>
        </w:div>
        <w:div w:id="2006475422">
          <w:marLeft w:val="0"/>
          <w:marRight w:val="0"/>
          <w:marTop w:val="0"/>
          <w:marBottom w:val="0"/>
          <w:divBdr>
            <w:top w:val="none" w:sz="0" w:space="0" w:color="auto"/>
            <w:left w:val="none" w:sz="0" w:space="0" w:color="auto"/>
            <w:bottom w:val="none" w:sz="0" w:space="0" w:color="auto"/>
            <w:right w:val="none" w:sz="0" w:space="0" w:color="auto"/>
          </w:divBdr>
        </w:div>
        <w:div w:id="1970476963">
          <w:marLeft w:val="0"/>
          <w:marRight w:val="0"/>
          <w:marTop w:val="0"/>
          <w:marBottom w:val="0"/>
          <w:divBdr>
            <w:top w:val="none" w:sz="0" w:space="0" w:color="auto"/>
            <w:left w:val="none" w:sz="0" w:space="0" w:color="auto"/>
            <w:bottom w:val="none" w:sz="0" w:space="0" w:color="auto"/>
            <w:right w:val="none" w:sz="0" w:space="0" w:color="auto"/>
          </w:divBdr>
        </w:div>
        <w:div w:id="1344163589">
          <w:marLeft w:val="0"/>
          <w:marRight w:val="0"/>
          <w:marTop w:val="0"/>
          <w:marBottom w:val="0"/>
          <w:divBdr>
            <w:top w:val="none" w:sz="0" w:space="0" w:color="auto"/>
            <w:left w:val="none" w:sz="0" w:space="0" w:color="auto"/>
            <w:bottom w:val="none" w:sz="0" w:space="0" w:color="auto"/>
            <w:right w:val="none" w:sz="0" w:space="0" w:color="auto"/>
          </w:divBdr>
        </w:div>
        <w:div w:id="409039393">
          <w:marLeft w:val="0"/>
          <w:marRight w:val="0"/>
          <w:marTop w:val="0"/>
          <w:marBottom w:val="0"/>
          <w:divBdr>
            <w:top w:val="none" w:sz="0" w:space="0" w:color="auto"/>
            <w:left w:val="none" w:sz="0" w:space="0" w:color="auto"/>
            <w:bottom w:val="none" w:sz="0" w:space="0" w:color="auto"/>
            <w:right w:val="none" w:sz="0" w:space="0" w:color="auto"/>
          </w:divBdr>
        </w:div>
        <w:div w:id="2143107390">
          <w:marLeft w:val="0"/>
          <w:marRight w:val="0"/>
          <w:marTop w:val="0"/>
          <w:marBottom w:val="0"/>
          <w:divBdr>
            <w:top w:val="none" w:sz="0" w:space="0" w:color="auto"/>
            <w:left w:val="none" w:sz="0" w:space="0" w:color="auto"/>
            <w:bottom w:val="none" w:sz="0" w:space="0" w:color="auto"/>
            <w:right w:val="none" w:sz="0" w:space="0" w:color="auto"/>
          </w:divBdr>
        </w:div>
        <w:div w:id="444547790">
          <w:marLeft w:val="0"/>
          <w:marRight w:val="0"/>
          <w:marTop w:val="0"/>
          <w:marBottom w:val="0"/>
          <w:divBdr>
            <w:top w:val="none" w:sz="0" w:space="0" w:color="auto"/>
            <w:left w:val="none" w:sz="0" w:space="0" w:color="auto"/>
            <w:bottom w:val="none" w:sz="0" w:space="0" w:color="auto"/>
            <w:right w:val="none" w:sz="0" w:space="0" w:color="auto"/>
          </w:divBdr>
        </w:div>
        <w:div w:id="1995916969">
          <w:marLeft w:val="0"/>
          <w:marRight w:val="0"/>
          <w:marTop w:val="0"/>
          <w:marBottom w:val="0"/>
          <w:divBdr>
            <w:top w:val="none" w:sz="0" w:space="0" w:color="auto"/>
            <w:left w:val="none" w:sz="0" w:space="0" w:color="auto"/>
            <w:bottom w:val="none" w:sz="0" w:space="0" w:color="auto"/>
            <w:right w:val="none" w:sz="0" w:space="0" w:color="auto"/>
          </w:divBdr>
        </w:div>
        <w:div w:id="1521776883">
          <w:marLeft w:val="0"/>
          <w:marRight w:val="0"/>
          <w:marTop w:val="0"/>
          <w:marBottom w:val="0"/>
          <w:divBdr>
            <w:top w:val="none" w:sz="0" w:space="0" w:color="auto"/>
            <w:left w:val="none" w:sz="0" w:space="0" w:color="auto"/>
            <w:bottom w:val="none" w:sz="0" w:space="0" w:color="auto"/>
            <w:right w:val="none" w:sz="0" w:space="0" w:color="auto"/>
          </w:divBdr>
        </w:div>
        <w:div w:id="900285321">
          <w:marLeft w:val="0"/>
          <w:marRight w:val="0"/>
          <w:marTop w:val="0"/>
          <w:marBottom w:val="0"/>
          <w:divBdr>
            <w:top w:val="none" w:sz="0" w:space="0" w:color="auto"/>
            <w:left w:val="none" w:sz="0" w:space="0" w:color="auto"/>
            <w:bottom w:val="none" w:sz="0" w:space="0" w:color="auto"/>
            <w:right w:val="none" w:sz="0" w:space="0" w:color="auto"/>
          </w:divBdr>
        </w:div>
        <w:div w:id="1872911438">
          <w:marLeft w:val="0"/>
          <w:marRight w:val="0"/>
          <w:marTop w:val="0"/>
          <w:marBottom w:val="0"/>
          <w:divBdr>
            <w:top w:val="none" w:sz="0" w:space="0" w:color="auto"/>
            <w:left w:val="none" w:sz="0" w:space="0" w:color="auto"/>
            <w:bottom w:val="none" w:sz="0" w:space="0" w:color="auto"/>
            <w:right w:val="none" w:sz="0" w:space="0" w:color="auto"/>
          </w:divBdr>
        </w:div>
        <w:div w:id="1322346290">
          <w:marLeft w:val="0"/>
          <w:marRight w:val="0"/>
          <w:marTop w:val="0"/>
          <w:marBottom w:val="0"/>
          <w:divBdr>
            <w:top w:val="none" w:sz="0" w:space="0" w:color="auto"/>
            <w:left w:val="none" w:sz="0" w:space="0" w:color="auto"/>
            <w:bottom w:val="none" w:sz="0" w:space="0" w:color="auto"/>
            <w:right w:val="none" w:sz="0" w:space="0" w:color="auto"/>
          </w:divBdr>
        </w:div>
        <w:div w:id="368921776">
          <w:marLeft w:val="0"/>
          <w:marRight w:val="0"/>
          <w:marTop w:val="0"/>
          <w:marBottom w:val="0"/>
          <w:divBdr>
            <w:top w:val="none" w:sz="0" w:space="0" w:color="auto"/>
            <w:left w:val="none" w:sz="0" w:space="0" w:color="auto"/>
            <w:bottom w:val="none" w:sz="0" w:space="0" w:color="auto"/>
            <w:right w:val="none" w:sz="0" w:space="0" w:color="auto"/>
          </w:divBdr>
        </w:div>
        <w:div w:id="605622249">
          <w:marLeft w:val="0"/>
          <w:marRight w:val="0"/>
          <w:marTop w:val="0"/>
          <w:marBottom w:val="0"/>
          <w:divBdr>
            <w:top w:val="none" w:sz="0" w:space="0" w:color="auto"/>
            <w:left w:val="none" w:sz="0" w:space="0" w:color="auto"/>
            <w:bottom w:val="none" w:sz="0" w:space="0" w:color="auto"/>
            <w:right w:val="none" w:sz="0" w:space="0" w:color="auto"/>
          </w:divBdr>
        </w:div>
        <w:div w:id="1479766481">
          <w:marLeft w:val="0"/>
          <w:marRight w:val="0"/>
          <w:marTop w:val="0"/>
          <w:marBottom w:val="0"/>
          <w:divBdr>
            <w:top w:val="none" w:sz="0" w:space="0" w:color="auto"/>
            <w:left w:val="none" w:sz="0" w:space="0" w:color="auto"/>
            <w:bottom w:val="none" w:sz="0" w:space="0" w:color="auto"/>
            <w:right w:val="none" w:sz="0" w:space="0" w:color="auto"/>
          </w:divBdr>
        </w:div>
        <w:div w:id="412312558">
          <w:marLeft w:val="0"/>
          <w:marRight w:val="0"/>
          <w:marTop w:val="0"/>
          <w:marBottom w:val="0"/>
          <w:divBdr>
            <w:top w:val="none" w:sz="0" w:space="0" w:color="auto"/>
            <w:left w:val="none" w:sz="0" w:space="0" w:color="auto"/>
            <w:bottom w:val="none" w:sz="0" w:space="0" w:color="auto"/>
            <w:right w:val="none" w:sz="0" w:space="0" w:color="auto"/>
          </w:divBdr>
        </w:div>
        <w:div w:id="1314719981">
          <w:marLeft w:val="0"/>
          <w:marRight w:val="0"/>
          <w:marTop w:val="0"/>
          <w:marBottom w:val="0"/>
          <w:divBdr>
            <w:top w:val="none" w:sz="0" w:space="0" w:color="auto"/>
            <w:left w:val="none" w:sz="0" w:space="0" w:color="auto"/>
            <w:bottom w:val="none" w:sz="0" w:space="0" w:color="auto"/>
            <w:right w:val="none" w:sz="0" w:space="0" w:color="auto"/>
          </w:divBdr>
        </w:div>
        <w:div w:id="1711107622">
          <w:marLeft w:val="0"/>
          <w:marRight w:val="0"/>
          <w:marTop w:val="0"/>
          <w:marBottom w:val="0"/>
          <w:divBdr>
            <w:top w:val="none" w:sz="0" w:space="0" w:color="auto"/>
            <w:left w:val="none" w:sz="0" w:space="0" w:color="auto"/>
            <w:bottom w:val="none" w:sz="0" w:space="0" w:color="auto"/>
            <w:right w:val="none" w:sz="0" w:space="0" w:color="auto"/>
          </w:divBdr>
        </w:div>
        <w:div w:id="1079253071">
          <w:marLeft w:val="0"/>
          <w:marRight w:val="0"/>
          <w:marTop w:val="0"/>
          <w:marBottom w:val="0"/>
          <w:divBdr>
            <w:top w:val="none" w:sz="0" w:space="0" w:color="auto"/>
            <w:left w:val="none" w:sz="0" w:space="0" w:color="auto"/>
            <w:bottom w:val="none" w:sz="0" w:space="0" w:color="auto"/>
            <w:right w:val="none" w:sz="0" w:space="0" w:color="auto"/>
          </w:divBdr>
        </w:div>
        <w:div w:id="194857281">
          <w:marLeft w:val="0"/>
          <w:marRight w:val="0"/>
          <w:marTop w:val="0"/>
          <w:marBottom w:val="0"/>
          <w:divBdr>
            <w:top w:val="none" w:sz="0" w:space="0" w:color="auto"/>
            <w:left w:val="none" w:sz="0" w:space="0" w:color="auto"/>
            <w:bottom w:val="none" w:sz="0" w:space="0" w:color="auto"/>
            <w:right w:val="none" w:sz="0" w:space="0" w:color="auto"/>
          </w:divBdr>
        </w:div>
        <w:div w:id="1561405694">
          <w:marLeft w:val="0"/>
          <w:marRight w:val="0"/>
          <w:marTop w:val="0"/>
          <w:marBottom w:val="0"/>
          <w:divBdr>
            <w:top w:val="none" w:sz="0" w:space="0" w:color="auto"/>
            <w:left w:val="none" w:sz="0" w:space="0" w:color="auto"/>
            <w:bottom w:val="none" w:sz="0" w:space="0" w:color="auto"/>
            <w:right w:val="none" w:sz="0" w:space="0" w:color="auto"/>
          </w:divBdr>
        </w:div>
        <w:div w:id="868294309">
          <w:marLeft w:val="0"/>
          <w:marRight w:val="0"/>
          <w:marTop w:val="0"/>
          <w:marBottom w:val="0"/>
          <w:divBdr>
            <w:top w:val="none" w:sz="0" w:space="0" w:color="auto"/>
            <w:left w:val="none" w:sz="0" w:space="0" w:color="auto"/>
            <w:bottom w:val="none" w:sz="0" w:space="0" w:color="auto"/>
            <w:right w:val="none" w:sz="0" w:space="0" w:color="auto"/>
          </w:divBdr>
        </w:div>
        <w:div w:id="756023504">
          <w:marLeft w:val="0"/>
          <w:marRight w:val="0"/>
          <w:marTop w:val="0"/>
          <w:marBottom w:val="0"/>
          <w:divBdr>
            <w:top w:val="none" w:sz="0" w:space="0" w:color="auto"/>
            <w:left w:val="none" w:sz="0" w:space="0" w:color="auto"/>
            <w:bottom w:val="none" w:sz="0" w:space="0" w:color="auto"/>
            <w:right w:val="none" w:sz="0" w:space="0" w:color="auto"/>
          </w:divBdr>
        </w:div>
        <w:div w:id="627932353">
          <w:marLeft w:val="0"/>
          <w:marRight w:val="0"/>
          <w:marTop w:val="0"/>
          <w:marBottom w:val="0"/>
          <w:divBdr>
            <w:top w:val="none" w:sz="0" w:space="0" w:color="auto"/>
            <w:left w:val="none" w:sz="0" w:space="0" w:color="auto"/>
            <w:bottom w:val="none" w:sz="0" w:space="0" w:color="auto"/>
            <w:right w:val="none" w:sz="0" w:space="0" w:color="auto"/>
          </w:divBdr>
        </w:div>
        <w:div w:id="691229682">
          <w:marLeft w:val="0"/>
          <w:marRight w:val="0"/>
          <w:marTop w:val="0"/>
          <w:marBottom w:val="0"/>
          <w:divBdr>
            <w:top w:val="none" w:sz="0" w:space="0" w:color="auto"/>
            <w:left w:val="none" w:sz="0" w:space="0" w:color="auto"/>
            <w:bottom w:val="none" w:sz="0" w:space="0" w:color="auto"/>
            <w:right w:val="none" w:sz="0" w:space="0" w:color="auto"/>
          </w:divBdr>
        </w:div>
        <w:div w:id="312301369">
          <w:marLeft w:val="0"/>
          <w:marRight w:val="0"/>
          <w:marTop w:val="0"/>
          <w:marBottom w:val="0"/>
          <w:divBdr>
            <w:top w:val="none" w:sz="0" w:space="0" w:color="auto"/>
            <w:left w:val="none" w:sz="0" w:space="0" w:color="auto"/>
            <w:bottom w:val="none" w:sz="0" w:space="0" w:color="auto"/>
            <w:right w:val="none" w:sz="0" w:space="0" w:color="auto"/>
          </w:divBdr>
        </w:div>
        <w:div w:id="1102065947">
          <w:marLeft w:val="0"/>
          <w:marRight w:val="0"/>
          <w:marTop w:val="0"/>
          <w:marBottom w:val="0"/>
          <w:divBdr>
            <w:top w:val="none" w:sz="0" w:space="0" w:color="auto"/>
            <w:left w:val="none" w:sz="0" w:space="0" w:color="auto"/>
            <w:bottom w:val="none" w:sz="0" w:space="0" w:color="auto"/>
            <w:right w:val="none" w:sz="0" w:space="0" w:color="auto"/>
          </w:divBdr>
        </w:div>
        <w:div w:id="1667631430">
          <w:marLeft w:val="0"/>
          <w:marRight w:val="0"/>
          <w:marTop w:val="0"/>
          <w:marBottom w:val="0"/>
          <w:divBdr>
            <w:top w:val="none" w:sz="0" w:space="0" w:color="auto"/>
            <w:left w:val="none" w:sz="0" w:space="0" w:color="auto"/>
            <w:bottom w:val="none" w:sz="0" w:space="0" w:color="auto"/>
            <w:right w:val="none" w:sz="0" w:space="0" w:color="auto"/>
          </w:divBdr>
        </w:div>
        <w:div w:id="1249802457">
          <w:marLeft w:val="0"/>
          <w:marRight w:val="0"/>
          <w:marTop w:val="0"/>
          <w:marBottom w:val="0"/>
          <w:divBdr>
            <w:top w:val="none" w:sz="0" w:space="0" w:color="auto"/>
            <w:left w:val="none" w:sz="0" w:space="0" w:color="auto"/>
            <w:bottom w:val="none" w:sz="0" w:space="0" w:color="auto"/>
            <w:right w:val="none" w:sz="0" w:space="0" w:color="auto"/>
          </w:divBdr>
        </w:div>
        <w:div w:id="1504006362">
          <w:marLeft w:val="0"/>
          <w:marRight w:val="0"/>
          <w:marTop w:val="0"/>
          <w:marBottom w:val="0"/>
          <w:divBdr>
            <w:top w:val="none" w:sz="0" w:space="0" w:color="auto"/>
            <w:left w:val="none" w:sz="0" w:space="0" w:color="auto"/>
            <w:bottom w:val="none" w:sz="0" w:space="0" w:color="auto"/>
            <w:right w:val="none" w:sz="0" w:space="0" w:color="auto"/>
          </w:divBdr>
        </w:div>
        <w:div w:id="1583755821">
          <w:marLeft w:val="0"/>
          <w:marRight w:val="0"/>
          <w:marTop w:val="0"/>
          <w:marBottom w:val="0"/>
          <w:divBdr>
            <w:top w:val="none" w:sz="0" w:space="0" w:color="auto"/>
            <w:left w:val="none" w:sz="0" w:space="0" w:color="auto"/>
            <w:bottom w:val="none" w:sz="0" w:space="0" w:color="auto"/>
            <w:right w:val="none" w:sz="0" w:space="0" w:color="auto"/>
          </w:divBdr>
        </w:div>
        <w:div w:id="239024518">
          <w:marLeft w:val="0"/>
          <w:marRight w:val="0"/>
          <w:marTop w:val="0"/>
          <w:marBottom w:val="0"/>
          <w:divBdr>
            <w:top w:val="none" w:sz="0" w:space="0" w:color="auto"/>
            <w:left w:val="none" w:sz="0" w:space="0" w:color="auto"/>
            <w:bottom w:val="none" w:sz="0" w:space="0" w:color="auto"/>
            <w:right w:val="none" w:sz="0" w:space="0" w:color="auto"/>
          </w:divBdr>
        </w:div>
        <w:div w:id="1585526241">
          <w:marLeft w:val="0"/>
          <w:marRight w:val="0"/>
          <w:marTop w:val="0"/>
          <w:marBottom w:val="0"/>
          <w:divBdr>
            <w:top w:val="none" w:sz="0" w:space="0" w:color="auto"/>
            <w:left w:val="none" w:sz="0" w:space="0" w:color="auto"/>
            <w:bottom w:val="none" w:sz="0" w:space="0" w:color="auto"/>
            <w:right w:val="none" w:sz="0" w:space="0" w:color="auto"/>
          </w:divBdr>
        </w:div>
        <w:div w:id="33584488">
          <w:marLeft w:val="0"/>
          <w:marRight w:val="0"/>
          <w:marTop w:val="0"/>
          <w:marBottom w:val="0"/>
          <w:divBdr>
            <w:top w:val="none" w:sz="0" w:space="0" w:color="auto"/>
            <w:left w:val="none" w:sz="0" w:space="0" w:color="auto"/>
            <w:bottom w:val="none" w:sz="0" w:space="0" w:color="auto"/>
            <w:right w:val="none" w:sz="0" w:space="0" w:color="auto"/>
          </w:divBdr>
        </w:div>
        <w:div w:id="974290728">
          <w:marLeft w:val="0"/>
          <w:marRight w:val="0"/>
          <w:marTop w:val="0"/>
          <w:marBottom w:val="0"/>
          <w:divBdr>
            <w:top w:val="none" w:sz="0" w:space="0" w:color="auto"/>
            <w:left w:val="none" w:sz="0" w:space="0" w:color="auto"/>
            <w:bottom w:val="none" w:sz="0" w:space="0" w:color="auto"/>
            <w:right w:val="none" w:sz="0" w:space="0" w:color="auto"/>
          </w:divBdr>
        </w:div>
        <w:div w:id="1520729370">
          <w:marLeft w:val="0"/>
          <w:marRight w:val="0"/>
          <w:marTop w:val="0"/>
          <w:marBottom w:val="0"/>
          <w:divBdr>
            <w:top w:val="none" w:sz="0" w:space="0" w:color="auto"/>
            <w:left w:val="none" w:sz="0" w:space="0" w:color="auto"/>
            <w:bottom w:val="none" w:sz="0" w:space="0" w:color="auto"/>
            <w:right w:val="none" w:sz="0" w:space="0" w:color="auto"/>
          </w:divBdr>
        </w:div>
      </w:divsChild>
    </w:div>
    <w:div w:id="100953831">
      <w:bodyDiv w:val="1"/>
      <w:marLeft w:val="0"/>
      <w:marRight w:val="0"/>
      <w:marTop w:val="0"/>
      <w:marBottom w:val="0"/>
      <w:divBdr>
        <w:top w:val="none" w:sz="0" w:space="0" w:color="auto"/>
        <w:left w:val="none" w:sz="0" w:space="0" w:color="auto"/>
        <w:bottom w:val="none" w:sz="0" w:space="0" w:color="auto"/>
        <w:right w:val="none" w:sz="0" w:space="0" w:color="auto"/>
      </w:divBdr>
    </w:div>
    <w:div w:id="758797832">
      <w:bodyDiv w:val="1"/>
      <w:marLeft w:val="0"/>
      <w:marRight w:val="0"/>
      <w:marTop w:val="0"/>
      <w:marBottom w:val="0"/>
      <w:divBdr>
        <w:top w:val="none" w:sz="0" w:space="0" w:color="auto"/>
        <w:left w:val="none" w:sz="0" w:space="0" w:color="auto"/>
        <w:bottom w:val="none" w:sz="0" w:space="0" w:color="auto"/>
        <w:right w:val="none" w:sz="0" w:space="0" w:color="auto"/>
      </w:divBdr>
    </w:div>
    <w:div w:id="1199466573">
      <w:bodyDiv w:val="1"/>
      <w:marLeft w:val="0"/>
      <w:marRight w:val="0"/>
      <w:marTop w:val="0"/>
      <w:marBottom w:val="0"/>
      <w:divBdr>
        <w:top w:val="none" w:sz="0" w:space="0" w:color="auto"/>
        <w:left w:val="none" w:sz="0" w:space="0" w:color="auto"/>
        <w:bottom w:val="none" w:sz="0" w:space="0" w:color="auto"/>
        <w:right w:val="none" w:sz="0" w:space="0" w:color="auto"/>
      </w:divBdr>
    </w:div>
    <w:div w:id="1838181599">
      <w:bodyDiv w:val="1"/>
      <w:marLeft w:val="0"/>
      <w:marRight w:val="0"/>
      <w:marTop w:val="0"/>
      <w:marBottom w:val="0"/>
      <w:divBdr>
        <w:top w:val="none" w:sz="0" w:space="0" w:color="auto"/>
        <w:left w:val="none" w:sz="0" w:space="0" w:color="auto"/>
        <w:bottom w:val="none" w:sz="0" w:space="0" w:color="auto"/>
        <w:right w:val="none" w:sz="0" w:space="0" w:color="auto"/>
      </w:divBdr>
      <w:divsChild>
        <w:div w:id="943464350">
          <w:marLeft w:val="0"/>
          <w:marRight w:val="0"/>
          <w:marTop w:val="0"/>
          <w:marBottom w:val="0"/>
          <w:divBdr>
            <w:top w:val="none" w:sz="0" w:space="0" w:color="auto"/>
            <w:left w:val="none" w:sz="0" w:space="0" w:color="auto"/>
            <w:bottom w:val="none" w:sz="0" w:space="0" w:color="auto"/>
            <w:right w:val="none" w:sz="0" w:space="0" w:color="auto"/>
          </w:divBdr>
        </w:div>
        <w:div w:id="2066834705">
          <w:marLeft w:val="0"/>
          <w:marRight w:val="0"/>
          <w:marTop w:val="0"/>
          <w:marBottom w:val="0"/>
          <w:divBdr>
            <w:top w:val="none" w:sz="0" w:space="0" w:color="auto"/>
            <w:left w:val="none" w:sz="0" w:space="0" w:color="auto"/>
            <w:bottom w:val="none" w:sz="0" w:space="0" w:color="auto"/>
            <w:right w:val="none" w:sz="0" w:space="0" w:color="auto"/>
          </w:divBdr>
        </w:div>
      </w:divsChild>
    </w:div>
    <w:div w:id="2028478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ene@adhb.govt.nz" TargetMode="External"/><Relationship Id="rId13" Type="http://schemas.openxmlformats.org/officeDocument/2006/relationships/hyperlink" Target="mailto:Kaitlyn@thesidescompany.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greg.ogrady@auckland.ac.nz" TargetMode="External"/><Relationship Id="rId12" Type="http://schemas.openxmlformats.org/officeDocument/2006/relationships/hyperlink" Target="mailto:davidsonrb@gmail.com"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ylorHa@adhb.govt.nz"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mailto:andre.modesto@auckland.ac.n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docs.live.net/4a3370f64dd9c70e/Neonate%20Study/brodie.elliott@gmail.com" TargetMode="External"/><Relationship Id="rId14" Type="http://schemas.openxmlformats.org/officeDocument/2006/relationships/image" Target="media/image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Modesto</dc:creator>
  <cp:lastModifiedBy>Andre Modesto</cp:lastModifiedBy>
  <cp:revision>4</cp:revision>
  <dcterms:created xsi:type="dcterms:W3CDTF">2021-05-04T20:58:00Z</dcterms:created>
  <dcterms:modified xsi:type="dcterms:W3CDTF">2021-05-04T21:37:00Z</dcterms:modified>
</cp:coreProperties>
</file>