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2BBB" w14:textId="24B585E8" w:rsidR="009704BE" w:rsidRPr="00A829DE" w:rsidRDefault="00EB73C9" w:rsidP="007A3A88">
      <w:pPr>
        <w:spacing w:line="360" w:lineRule="auto"/>
        <w:jc w:val="both"/>
        <w:rPr>
          <w:rFonts w:ascii="Arial" w:hAnsi="Arial"/>
          <w:b/>
          <w:color w:val="31849B" w:themeColor="accent5" w:themeShade="BF"/>
          <w:sz w:val="20"/>
          <w:szCs w:val="20"/>
        </w:rPr>
      </w:pPr>
      <w:r>
        <w:rPr>
          <w:rFonts w:ascii="Arial" w:hAnsi="Arial"/>
          <w:b/>
          <w:color w:val="31849B" w:themeColor="accent5" w:themeShade="BF"/>
          <w:sz w:val="20"/>
          <w:szCs w:val="20"/>
        </w:rPr>
        <w:t xml:space="preserve">Study </w:t>
      </w:r>
      <w:r w:rsidR="009704BE" w:rsidRPr="00A829DE">
        <w:rPr>
          <w:rFonts w:ascii="Arial" w:hAnsi="Arial"/>
          <w:b/>
          <w:color w:val="31849B" w:themeColor="accent5" w:themeShade="BF"/>
          <w:sz w:val="20"/>
          <w:szCs w:val="20"/>
        </w:rPr>
        <w:t>Title</w:t>
      </w:r>
    </w:p>
    <w:p w14:paraId="67B4190B" w14:textId="77777777" w:rsidR="00123B05" w:rsidRDefault="00123B05" w:rsidP="007A3A88">
      <w:pPr>
        <w:spacing w:line="360" w:lineRule="auto"/>
        <w:jc w:val="both"/>
        <w:rPr>
          <w:rFonts w:ascii="Arial" w:hAnsi="Arial"/>
          <w:sz w:val="20"/>
          <w:szCs w:val="20"/>
        </w:rPr>
      </w:pPr>
    </w:p>
    <w:p w14:paraId="2E5171C8" w14:textId="2AB6454B" w:rsidR="009704BE" w:rsidRDefault="00EA172B" w:rsidP="007A3A88">
      <w:pPr>
        <w:spacing w:line="360" w:lineRule="auto"/>
        <w:jc w:val="both"/>
        <w:rPr>
          <w:rFonts w:ascii="Arial" w:hAnsi="Arial"/>
          <w:sz w:val="20"/>
          <w:szCs w:val="20"/>
        </w:rPr>
      </w:pPr>
      <w:r w:rsidRPr="00EA172B">
        <w:rPr>
          <w:rFonts w:ascii="Arial" w:hAnsi="Arial"/>
          <w:sz w:val="20"/>
          <w:szCs w:val="20"/>
        </w:rPr>
        <w:t xml:space="preserve">Efficacy of single </w:t>
      </w:r>
      <w:r w:rsidR="00AF7188">
        <w:rPr>
          <w:rFonts w:ascii="Arial" w:hAnsi="Arial"/>
          <w:sz w:val="20"/>
          <w:szCs w:val="20"/>
        </w:rPr>
        <w:t xml:space="preserve">versus split dose </w:t>
      </w:r>
      <w:r w:rsidRPr="00EA172B">
        <w:rPr>
          <w:rFonts w:ascii="Arial" w:hAnsi="Arial"/>
          <w:sz w:val="20"/>
          <w:szCs w:val="20"/>
        </w:rPr>
        <w:t>enoxaparin post elective neurointervention in prevention of thromboembolic events</w:t>
      </w:r>
      <w:r w:rsidR="00B110C3">
        <w:rPr>
          <w:rFonts w:ascii="Arial" w:hAnsi="Arial"/>
          <w:sz w:val="20"/>
          <w:szCs w:val="20"/>
        </w:rPr>
        <w:t xml:space="preserve"> – a randomi</w:t>
      </w:r>
      <w:r w:rsidR="00332BCA">
        <w:rPr>
          <w:rFonts w:ascii="Arial" w:hAnsi="Arial"/>
          <w:sz w:val="20"/>
          <w:szCs w:val="20"/>
        </w:rPr>
        <w:t>s</w:t>
      </w:r>
      <w:r w:rsidR="00B110C3">
        <w:rPr>
          <w:rFonts w:ascii="Arial" w:hAnsi="Arial"/>
          <w:sz w:val="20"/>
          <w:szCs w:val="20"/>
        </w:rPr>
        <w:t xml:space="preserve">ed </w:t>
      </w:r>
      <w:r w:rsidR="00332BCA">
        <w:rPr>
          <w:rFonts w:ascii="Arial" w:hAnsi="Arial"/>
          <w:sz w:val="20"/>
          <w:szCs w:val="20"/>
        </w:rPr>
        <w:t>study</w:t>
      </w:r>
    </w:p>
    <w:p w14:paraId="2CE3411D" w14:textId="77777777" w:rsidR="00F74722" w:rsidRDefault="00F74722" w:rsidP="007A3A88">
      <w:pPr>
        <w:spacing w:line="360" w:lineRule="auto"/>
        <w:jc w:val="both"/>
        <w:rPr>
          <w:rFonts w:ascii="Arial" w:hAnsi="Arial"/>
          <w:sz w:val="20"/>
          <w:szCs w:val="20"/>
        </w:rPr>
      </w:pPr>
    </w:p>
    <w:p w14:paraId="694CF3C8" w14:textId="6272FE2C" w:rsidR="00C6374B" w:rsidRDefault="00C6374B" w:rsidP="007A3A88">
      <w:pPr>
        <w:spacing w:line="360" w:lineRule="auto"/>
        <w:jc w:val="both"/>
        <w:rPr>
          <w:rFonts w:ascii="Arial" w:hAnsi="Arial"/>
          <w:sz w:val="20"/>
          <w:szCs w:val="20"/>
        </w:rPr>
      </w:pPr>
      <w:r w:rsidRPr="00C6374B">
        <w:rPr>
          <w:rFonts w:ascii="Arial" w:hAnsi="Arial"/>
          <w:b/>
          <w:sz w:val="20"/>
          <w:szCs w:val="20"/>
        </w:rPr>
        <w:t>Short Title:</w:t>
      </w:r>
      <w:r>
        <w:rPr>
          <w:rFonts w:ascii="Arial" w:hAnsi="Arial"/>
          <w:sz w:val="20"/>
          <w:szCs w:val="20"/>
        </w:rPr>
        <w:t xml:space="preserve"> EPPICS </w:t>
      </w:r>
      <w:r w:rsidR="00F74722">
        <w:rPr>
          <w:rFonts w:ascii="Arial" w:hAnsi="Arial"/>
          <w:sz w:val="20"/>
          <w:szCs w:val="20"/>
        </w:rPr>
        <w:t xml:space="preserve">II </w:t>
      </w:r>
      <w:r>
        <w:rPr>
          <w:rFonts w:ascii="Arial" w:hAnsi="Arial"/>
          <w:sz w:val="20"/>
          <w:szCs w:val="20"/>
        </w:rPr>
        <w:t>Study</w:t>
      </w:r>
    </w:p>
    <w:p w14:paraId="1DE34EBB" w14:textId="77777777" w:rsidR="009704BE" w:rsidRDefault="009704BE" w:rsidP="007A3A88">
      <w:pPr>
        <w:spacing w:line="360" w:lineRule="auto"/>
        <w:jc w:val="both"/>
        <w:rPr>
          <w:rFonts w:ascii="Arial" w:hAnsi="Arial"/>
          <w:sz w:val="20"/>
          <w:szCs w:val="20"/>
        </w:rPr>
      </w:pPr>
    </w:p>
    <w:p w14:paraId="4A7869F5" w14:textId="77777777" w:rsidR="00C6374B" w:rsidRPr="00937205" w:rsidRDefault="00C6374B" w:rsidP="00C6374B">
      <w:pPr>
        <w:spacing w:line="360" w:lineRule="auto"/>
        <w:jc w:val="both"/>
        <w:rPr>
          <w:rFonts w:ascii="Arial" w:hAnsi="Arial"/>
          <w:b/>
          <w:color w:val="31849B" w:themeColor="accent5" w:themeShade="BF"/>
          <w:sz w:val="20"/>
          <w:szCs w:val="20"/>
        </w:rPr>
      </w:pPr>
      <w:r w:rsidRPr="00A829DE">
        <w:rPr>
          <w:rFonts w:ascii="Arial" w:hAnsi="Arial"/>
          <w:b/>
          <w:color w:val="31849B" w:themeColor="accent5" w:themeShade="BF"/>
          <w:sz w:val="20"/>
          <w:szCs w:val="20"/>
        </w:rPr>
        <w:t>Researchers</w:t>
      </w:r>
      <w:bookmarkStart w:id="0" w:name="_GoBack"/>
      <w:bookmarkEnd w:id="0"/>
    </w:p>
    <w:p w14:paraId="6465D3A8" w14:textId="77777777" w:rsidR="00207E6D" w:rsidRPr="00C6374B" w:rsidRDefault="00207E6D" w:rsidP="00207E6D">
      <w:pPr>
        <w:spacing w:line="360" w:lineRule="auto"/>
        <w:jc w:val="both"/>
        <w:rPr>
          <w:rFonts w:ascii="Arial" w:hAnsi="Arial"/>
          <w:b/>
          <w:sz w:val="20"/>
          <w:szCs w:val="20"/>
        </w:rPr>
      </w:pPr>
      <w:r w:rsidRPr="00C6374B">
        <w:rPr>
          <w:rFonts w:ascii="Arial" w:hAnsi="Arial"/>
          <w:b/>
          <w:sz w:val="20"/>
          <w:szCs w:val="20"/>
        </w:rPr>
        <w:t>Professor Alan Coulthard</w:t>
      </w:r>
    </w:p>
    <w:p w14:paraId="3175CE8A" w14:textId="77777777" w:rsidR="00207E6D" w:rsidRPr="00366356" w:rsidRDefault="00207E6D" w:rsidP="00207E6D">
      <w:pPr>
        <w:spacing w:line="360" w:lineRule="auto"/>
        <w:jc w:val="both"/>
        <w:rPr>
          <w:rFonts w:ascii="Arial" w:hAnsi="Arial"/>
          <w:i/>
          <w:sz w:val="20"/>
          <w:szCs w:val="20"/>
        </w:rPr>
      </w:pPr>
      <w:r w:rsidRPr="00366356">
        <w:rPr>
          <w:rFonts w:ascii="Arial" w:hAnsi="Arial"/>
          <w:i/>
          <w:sz w:val="20"/>
          <w:szCs w:val="20"/>
        </w:rPr>
        <w:t>Principal Investigator</w:t>
      </w:r>
    </w:p>
    <w:p w14:paraId="0F815D4D" w14:textId="77BE77FD" w:rsidR="00207E6D" w:rsidRDefault="00207E6D" w:rsidP="00207E6D">
      <w:pPr>
        <w:spacing w:line="360" w:lineRule="auto"/>
        <w:jc w:val="both"/>
        <w:rPr>
          <w:rFonts w:ascii="Arial" w:hAnsi="Arial"/>
          <w:sz w:val="20"/>
          <w:szCs w:val="20"/>
        </w:rPr>
      </w:pPr>
      <w:r>
        <w:rPr>
          <w:rFonts w:ascii="Arial" w:hAnsi="Arial"/>
          <w:sz w:val="20"/>
          <w:szCs w:val="20"/>
        </w:rPr>
        <w:t>Roles:</w:t>
      </w:r>
      <w:r w:rsidR="000F4934">
        <w:rPr>
          <w:rFonts w:ascii="Arial" w:hAnsi="Arial"/>
          <w:sz w:val="20"/>
          <w:szCs w:val="20"/>
        </w:rPr>
        <w:t xml:space="preserve"> Interventional Neuroradiologist,</w:t>
      </w:r>
      <w:r>
        <w:rPr>
          <w:rFonts w:ascii="Arial" w:hAnsi="Arial"/>
          <w:sz w:val="20"/>
          <w:szCs w:val="20"/>
        </w:rPr>
        <w:t xml:space="preserve"> supervisor, expert adviser</w:t>
      </w:r>
      <w:r w:rsidR="00BC2C8B">
        <w:rPr>
          <w:rFonts w:ascii="Arial" w:hAnsi="Arial"/>
          <w:sz w:val="20"/>
          <w:szCs w:val="20"/>
        </w:rPr>
        <w:t>, study desig</w:t>
      </w:r>
      <w:r w:rsidR="00197424">
        <w:rPr>
          <w:rFonts w:ascii="Arial" w:hAnsi="Arial"/>
          <w:sz w:val="20"/>
          <w:szCs w:val="20"/>
        </w:rPr>
        <w:t>n,</w:t>
      </w:r>
      <w:r>
        <w:rPr>
          <w:rFonts w:ascii="Arial" w:hAnsi="Arial"/>
          <w:sz w:val="20"/>
          <w:szCs w:val="20"/>
        </w:rPr>
        <w:t xml:space="preserve"> medical imaging analysis</w:t>
      </w:r>
    </w:p>
    <w:p w14:paraId="1E15715D" w14:textId="77777777" w:rsidR="00207E6D" w:rsidRDefault="00207E6D" w:rsidP="00207E6D">
      <w:pPr>
        <w:spacing w:line="360" w:lineRule="auto"/>
        <w:jc w:val="both"/>
        <w:rPr>
          <w:rFonts w:ascii="Arial" w:hAnsi="Arial"/>
          <w:sz w:val="20"/>
          <w:szCs w:val="20"/>
        </w:rPr>
      </w:pPr>
    </w:p>
    <w:p w14:paraId="0F5591D9" w14:textId="610E1CEF" w:rsidR="00C6374B" w:rsidRPr="00C6374B" w:rsidRDefault="00C6374B" w:rsidP="00C6374B">
      <w:pPr>
        <w:spacing w:line="360" w:lineRule="auto"/>
        <w:jc w:val="both"/>
        <w:rPr>
          <w:rFonts w:ascii="Arial" w:hAnsi="Arial"/>
          <w:b/>
          <w:sz w:val="20"/>
          <w:szCs w:val="20"/>
        </w:rPr>
      </w:pPr>
      <w:r w:rsidRPr="00C6374B">
        <w:rPr>
          <w:rFonts w:ascii="Arial" w:hAnsi="Arial"/>
          <w:b/>
          <w:sz w:val="20"/>
          <w:szCs w:val="20"/>
        </w:rPr>
        <w:t xml:space="preserve">Dr. </w:t>
      </w:r>
      <w:r w:rsidR="00F74722">
        <w:rPr>
          <w:rFonts w:ascii="Arial" w:hAnsi="Arial"/>
          <w:b/>
          <w:sz w:val="20"/>
          <w:szCs w:val="20"/>
        </w:rPr>
        <w:t>Rebecca Liong</w:t>
      </w:r>
    </w:p>
    <w:p w14:paraId="49FF646D" w14:textId="2BE74F56" w:rsidR="00C6374B" w:rsidRPr="00366356" w:rsidRDefault="00A021D6" w:rsidP="00C6374B">
      <w:pPr>
        <w:spacing w:line="360" w:lineRule="auto"/>
        <w:jc w:val="both"/>
        <w:rPr>
          <w:rFonts w:ascii="Arial" w:hAnsi="Arial"/>
          <w:i/>
          <w:sz w:val="20"/>
          <w:szCs w:val="20"/>
        </w:rPr>
      </w:pPr>
      <w:r>
        <w:rPr>
          <w:rFonts w:ascii="Arial" w:hAnsi="Arial"/>
          <w:i/>
          <w:sz w:val="20"/>
          <w:szCs w:val="20"/>
        </w:rPr>
        <w:t>Associate Investigator</w:t>
      </w:r>
    </w:p>
    <w:p w14:paraId="0C4D4E63" w14:textId="7578ED70" w:rsidR="00C6374B" w:rsidRDefault="00C6374B" w:rsidP="00C6374B">
      <w:pPr>
        <w:spacing w:line="360" w:lineRule="auto"/>
        <w:jc w:val="both"/>
        <w:rPr>
          <w:rFonts w:ascii="Arial" w:hAnsi="Arial"/>
          <w:sz w:val="20"/>
          <w:szCs w:val="20"/>
        </w:rPr>
      </w:pPr>
      <w:r>
        <w:rPr>
          <w:rFonts w:ascii="Arial" w:hAnsi="Arial"/>
          <w:sz w:val="20"/>
          <w:szCs w:val="20"/>
        </w:rPr>
        <w:t xml:space="preserve">Roles: </w:t>
      </w:r>
      <w:r w:rsidR="008127A4">
        <w:rPr>
          <w:rFonts w:ascii="Arial" w:hAnsi="Arial"/>
          <w:sz w:val="20"/>
          <w:szCs w:val="20"/>
        </w:rPr>
        <w:t>Senior House Officer Medical Imaging Research. D</w:t>
      </w:r>
      <w:r>
        <w:rPr>
          <w:rFonts w:ascii="Arial" w:hAnsi="Arial"/>
          <w:sz w:val="20"/>
          <w:szCs w:val="20"/>
        </w:rPr>
        <w:t>ata collection, co-ordination, and write up</w:t>
      </w:r>
    </w:p>
    <w:p w14:paraId="0420198D" w14:textId="3671C42C" w:rsidR="00C6374B" w:rsidRDefault="00C6374B" w:rsidP="00C6374B">
      <w:pPr>
        <w:spacing w:line="360" w:lineRule="auto"/>
        <w:jc w:val="both"/>
        <w:rPr>
          <w:rFonts w:ascii="Arial" w:hAnsi="Arial"/>
          <w:sz w:val="20"/>
          <w:szCs w:val="20"/>
        </w:rPr>
      </w:pPr>
    </w:p>
    <w:p w14:paraId="586A3A2B" w14:textId="77777777" w:rsidR="00207E6D" w:rsidRPr="00F24027" w:rsidRDefault="00207E6D" w:rsidP="00207E6D">
      <w:pPr>
        <w:spacing w:line="360" w:lineRule="auto"/>
        <w:jc w:val="both"/>
        <w:rPr>
          <w:rFonts w:ascii="Arial" w:hAnsi="Arial"/>
          <w:b/>
          <w:sz w:val="20"/>
          <w:szCs w:val="20"/>
        </w:rPr>
      </w:pPr>
      <w:r w:rsidRPr="00F24027">
        <w:rPr>
          <w:rFonts w:ascii="Arial" w:hAnsi="Arial"/>
          <w:b/>
          <w:sz w:val="20"/>
          <w:szCs w:val="20"/>
        </w:rPr>
        <w:t>Dr. Marita Prior</w:t>
      </w:r>
      <w:r>
        <w:rPr>
          <w:rFonts w:ascii="Arial" w:hAnsi="Arial"/>
          <w:b/>
          <w:sz w:val="20"/>
          <w:szCs w:val="20"/>
        </w:rPr>
        <w:t>,</w:t>
      </w:r>
      <w:r w:rsidRPr="00F24027">
        <w:rPr>
          <w:rFonts w:ascii="Arial" w:hAnsi="Arial"/>
          <w:b/>
          <w:sz w:val="20"/>
          <w:szCs w:val="20"/>
        </w:rPr>
        <w:t xml:space="preserve"> PhD</w:t>
      </w:r>
    </w:p>
    <w:p w14:paraId="7E467642" w14:textId="77777777" w:rsidR="00207E6D" w:rsidRPr="00F24027" w:rsidRDefault="00207E6D" w:rsidP="00207E6D">
      <w:pPr>
        <w:spacing w:line="360" w:lineRule="auto"/>
        <w:jc w:val="both"/>
        <w:rPr>
          <w:rFonts w:ascii="Arial" w:hAnsi="Arial"/>
          <w:i/>
          <w:sz w:val="20"/>
          <w:szCs w:val="20"/>
        </w:rPr>
      </w:pPr>
      <w:r w:rsidRPr="00F24027">
        <w:rPr>
          <w:rFonts w:ascii="Arial" w:hAnsi="Arial"/>
          <w:i/>
          <w:sz w:val="20"/>
          <w:szCs w:val="20"/>
        </w:rPr>
        <w:t>Associate Investigator</w:t>
      </w:r>
    </w:p>
    <w:p w14:paraId="7033BEBB" w14:textId="3EC60CC1" w:rsidR="00207E6D" w:rsidRDefault="00207E6D" w:rsidP="00207E6D">
      <w:pPr>
        <w:spacing w:line="360" w:lineRule="auto"/>
        <w:jc w:val="both"/>
        <w:rPr>
          <w:rFonts w:ascii="Arial" w:hAnsi="Arial"/>
          <w:sz w:val="20"/>
          <w:szCs w:val="20"/>
        </w:rPr>
      </w:pPr>
      <w:r>
        <w:rPr>
          <w:rFonts w:ascii="Arial" w:hAnsi="Arial"/>
          <w:sz w:val="20"/>
          <w:szCs w:val="20"/>
        </w:rPr>
        <w:t xml:space="preserve">Roles: </w:t>
      </w:r>
      <w:r w:rsidR="0083706F">
        <w:rPr>
          <w:rFonts w:ascii="Arial" w:hAnsi="Arial"/>
          <w:sz w:val="20"/>
          <w:szCs w:val="20"/>
        </w:rPr>
        <w:t>R</w:t>
      </w:r>
      <w:r>
        <w:rPr>
          <w:rFonts w:ascii="Arial" w:hAnsi="Arial"/>
          <w:sz w:val="20"/>
          <w:szCs w:val="20"/>
        </w:rPr>
        <w:t>esearch development, ethics</w:t>
      </w:r>
      <w:r w:rsidR="00E3712C">
        <w:rPr>
          <w:rFonts w:ascii="Arial" w:hAnsi="Arial"/>
          <w:sz w:val="20"/>
          <w:szCs w:val="20"/>
        </w:rPr>
        <w:t xml:space="preserve"> and governance</w:t>
      </w:r>
    </w:p>
    <w:p w14:paraId="457FA586" w14:textId="6EF00FE8" w:rsidR="00207E6D" w:rsidRDefault="00207E6D" w:rsidP="00C6374B">
      <w:pPr>
        <w:spacing w:line="360" w:lineRule="auto"/>
        <w:jc w:val="both"/>
        <w:rPr>
          <w:rFonts w:ascii="Arial" w:hAnsi="Arial"/>
          <w:sz w:val="20"/>
          <w:szCs w:val="20"/>
        </w:rPr>
      </w:pPr>
    </w:p>
    <w:p w14:paraId="322BA83D" w14:textId="09821DDE" w:rsidR="00197424" w:rsidRPr="00DC06A8" w:rsidRDefault="00197424" w:rsidP="00197424">
      <w:pPr>
        <w:spacing w:line="360" w:lineRule="auto"/>
        <w:jc w:val="both"/>
        <w:rPr>
          <w:rFonts w:ascii="Arial" w:hAnsi="Arial"/>
          <w:b/>
          <w:sz w:val="20"/>
          <w:szCs w:val="20"/>
        </w:rPr>
      </w:pPr>
      <w:r>
        <w:rPr>
          <w:rFonts w:ascii="Arial" w:hAnsi="Arial"/>
          <w:b/>
          <w:sz w:val="20"/>
          <w:szCs w:val="20"/>
        </w:rPr>
        <w:t>Ms Anita Pelecanos</w:t>
      </w:r>
    </w:p>
    <w:p w14:paraId="4FE20A6B" w14:textId="38E6BB9C" w:rsidR="00197424" w:rsidRPr="00366356" w:rsidRDefault="00AF193C" w:rsidP="00197424">
      <w:pPr>
        <w:spacing w:line="360" w:lineRule="auto"/>
        <w:jc w:val="both"/>
        <w:rPr>
          <w:rFonts w:ascii="Arial" w:hAnsi="Arial"/>
          <w:i/>
          <w:sz w:val="20"/>
          <w:szCs w:val="20"/>
        </w:rPr>
      </w:pPr>
      <w:r w:rsidRPr="00F24027">
        <w:rPr>
          <w:rFonts w:ascii="Arial" w:hAnsi="Arial"/>
          <w:i/>
          <w:sz w:val="20"/>
          <w:szCs w:val="20"/>
        </w:rPr>
        <w:t>Associate Investigator</w:t>
      </w:r>
      <w:r>
        <w:rPr>
          <w:rFonts w:ascii="Arial" w:hAnsi="Arial"/>
          <w:i/>
          <w:sz w:val="20"/>
          <w:szCs w:val="20"/>
        </w:rPr>
        <w:t xml:space="preserve">, </w:t>
      </w:r>
      <w:r w:rsidR="00197424">
        <w:rPr>
          <w:rFonts w:ascii="Arial" w:hAnsi="Arial"/>
          <w:i/>
          <w:sz w:val="20"/>
          <w:szCs w:val="20"/>
        </w:rPr>
        <w:t>Biostatistician</w:t>
      </w:r>
      <w:r w:rsidR="005E7FE7">
        <w:rPr>
          <w:rFonts w:ascii="Arial" w:hAnsi="Arial"/>
          <w:i/>
          <w:sz w:val="20"/>
          <w:szCs w:val="20"/>
        </w:rPr>
        <w:t xml:space="preserve"> QIMR</w:t>
      </w:r>
    </w:p>
    <w:p w14:paraId="2DB6980B" w14:textId="77777777" w:rsidR="00197424" w:rsidRDefault="00197424" w:rsidP="00197424">
      <w:pPr>
        <w:spacing w:line="360" w:lineRule="auto"/>
        <w:jc w:val="both"/>
        <w:rPr>
          <w:rFonts w:ascii="Arial" w:hAnsi="Arial"/>
          <w:sz w:val="20"/>
          <w:szCs w:val="20"/>
        </w:rPr>
      </w:pPr>
      <w:r>
        <w:rPr>
          <w:rFonts w:ascii="Arial" w:hAnsi="Arial"/>
          <w:sz w:val="20"/>
          <w:szCs w:val="20"/>
        </w:rPr>
        <w:t>Roles: Statistical analysis, assistance with study design</w:t>
      </w:r>
    </w:p>
    <w:p w14:paraId="0A9F377D" w14:textId="77777777" w:rsidR="00207E6D" w:rsidRDefault="00207E6D" w:rsidP="00C6374B">
      <w:pPr>
        <w:spacing w:line="360" w:lineRule="auto"/>
        <w:jc w:val="both"/>
        <w:rPr>
          <w:rFonts w:ascii="Arial" w:hAnsi="Arial"/>
          <w:sz w:val="20"/>
          <w:szCs w:val="20"/>
        </w:rPr>
      </w:pPr>
    </w:p>
    <w:p w14:paraId="5E80FA8E" w14:textId="40765D6F" w:rsidR="00C6374B" w:rsidRPr="00C6374B" w:rsidRDefault="00F31255" w:rsidP="00C6374B">
      <w:pPr>
        <w:spacing w:line="360" w:lineRule="auto"/>
        <w:jc w:val="both"/>
        <w:rPr>
          <w:rFonts w:ascii="Arial" w:hAnsi="Arial"/>
          <w:b/>
          <w:sz w:val="20"/>
          <w:szCs w:val="20"/>
        </w:rPr>
      </w:pPr>
      <w:r>
        <w:rPr>
          <w:rFonts w:ascii="Arial" w:hAnsi="Arial"/>
          <w:b/>
          <w:sz w:val="20"/>
          <w:szCs w:val="20"/>
        </w:rPr>
        <w:t>Professor Jeffrey Lipman</w:t>
      </w:r>
    </w:p>
    <w:p w14:paraId="7D0542D0" w14:textId="25A4DA35" w:rsidR="00C6374B" w:rsidRPr="00366356" w:rsidRDefault="00F31255" w:rsidP="00C6374B">
      <w:pPr>
        <w:spacing w:line="360" w:lineRule="auto"/>
        <w:jc w:val="both"/>
        <w:rPr>
          <w:rFonts w:ascii="Arial" w:hAnsi="Arial"/>
          <w:i/>
          <w:sz w:val="20"/>
          <w:szCs w:val="20"/>
        </w:rPr>
      </w:pPr>
      <w:r>
        <w:rPr>
          <w:rFonts w:ascii="Arial" w:hAnsi="Arial"/>
          <w:i/>
          <w:sz w:val="20"/>
          <w:szCs w:val="20"/>
        </w:rPr>
        <w:t>Associate Researcher</w:t>
      </w:r>
    </w:p>
    <w:p w14:paraId="72E17189" w14:textId="0674E2CE" w:rsidR="00C6374B" w:rsidRDefault="00F31255" w:rsidP="00C6374B">
      <w:pPr>
        <w:spacing w:line="360" w:lineRule="auto"/>
        <w:jc w:val="both"/>
        <w:rPr>
          <w:rFonts w:ascii="Arial" w:hAnsi="Arial"/>
          <w:sz w:val="20"/>
          <w:szCs w:val="20"/>
        </w:rPr>
      </w:pPr>
      <w:r>
        <w:rPr>
          <w:rFonts w:ascii="Arial" w:hAnsi="Arial"/>
          <w:sz w:val="20"/>
          <w:szCs w:val="20"/>
        </w:rPr>
        <w:t>Roles:</w:t>
      </w:r>
      <w:r w:rsidR="00027E96">
        <w:rPr>
          <w:rFonts w:ascii="Arial" w:hAnsi="Arial"/>
          <w:sz w:val="20"/>
          <w:szCs w:val="20"/>
        </w:rPr>
        <w:t xml:space="preserve"> Director of ICU</w:t>
      </w:r>
    </w:p>
    <w:p w14:paraId="3636C009" w14:textId="77777777" w:rsidR="00F31255" w:rsidRDefault="00F31255" w:rsidP="00C6374B">
      <w:pPr>
        <w:spacing w:line="360" w:lineRule="auto"/>
        <w:jc w:val="both"/>
        <w:rPr>
          <w:rFonts w:ascii="Arial" w:hAnsi="Arial"/>
          <w:sz w:val="20"/>
          <w:szCs w:val="20"/>
        </w:rPr>
      </w:pPr>
    </w:p>
    <w:p w14:paraId="47B08908" w14:textId="5D953DFC" w:rsidR="00F31255" w:rsidRPr="00536B91" w:rsidRDefault="00F31255" w:rsidP="00C6374B">
      <w:pPr>
        <w:spacing w:line="360" w:lineRule="auto"/>
        <w:jc w:val="both"/>
        <w:rPr>
          <w:rFonts w:ascii="Arial" w:hAnsi="Arial"/>
          <w:b/>
          <w:sz w:val="20"/>
          <w:szCs w:val="20"/>
        </w:rPr>
      </w:pPr>
      <w:r w:rsidRPr="00536B91">
        <w:rPr>
          <w:rFonts w:ascii="Arial" w:hAnsi="Arial"/>
          <w:b/>
          <w:sz w:val="20"/>
          <w:szCs w:val="20"/>
        </w:rPr>
        <w:t>Professor Jason Roberts</w:t>
      </w:r>
    </w:p>
    <w:p w14:paraId="5A85E454" w14:textId="2D023E9E" w:rsidR="00F31255" w:rsidRDefault="00F31255" w:rsidP="00C6374B">
      <w:pPr>
        <w:spacing w:line="360" w:lineRule="auto"/>
        <w:jc w:val="both"/>
        <w:rPr>
          <w:rFonts w:ascii="Arial" w:hAnsi="Arial"/>
          <w:sz w:val="20"/>
          <w:szCs w:val="20"/>
        </w:rPr>
      </w:pPr>
      <w:r>
        <w:rPr>
          <w:rFonts w:ascii="Arial" w:hAnsi="Arial"/>
          <w:sz w:val="20"/>
          <w:szCs w:val="20"/>
        </w:rPr>
        <w:t>Associate Researcher</w:t>
      </w:r>
    </w:p>
    <w:p w14:paraId="4177D3B9" w14:textId="09B07800" w:rsidR="00F31255" w:rsidRDefault="00F31255" w:rsidP="00C6374B">
      <w:pPr>
        <w:spacing w:line="360" w:lineRule="auto"/>
        <w:jc w:val="both"/>
        <w:rPr>
          <w:rFonts w:ascii="Arial" w:hAnsi="Arial"/>
          <w:sz w:val="20"/>
          <w:szCs w:val="20"/>
        </w:rPr>
      </w:pPr>
      <w:r>
        <w:rPr>
          <w:rFonts w:ascii="Arial" w:hAnsi="Arial"/>
          <w:sz w:val="20"/>
          <w:szCs w:val="20"/>
        </w:rPr>
        <w:t>Roles:</w:t>
      </w:r>
      <w:r w:rsidR="00027E96">
        <w:rPr>
          <w:rFonts w:ascii="Arial" w:hAnsi="Arial"/>
          <w:sz w:val="20"/>
          <w:szCs w:val="20"/>
        </w:rPr>
        <w:t xml:space="preserve"> Director of Intensive Care Pharmacology</w:t>
      </w:r>
    </w:p>
    <w:p w14:paraId="56784A67" w14:textId="77777777" w:rsidR="00B924BD" w:rsidRDefault="00B924BD" w:rsidP="00C6374B">
      <w:pPr>
        <w:spacing w:line="360" w:lineRule="auto"/>
        <w:jc w:val="both"/>
        <w:rPr>
          <w:rFonts w:ascii="Arial" w:hAnsi="Arial"/>
          <w:sz w:val="20"/>
          <w:szCs w:val="20"/>
        </w:rPr>
      </w:pPr>
    </w:p>
    <w:p w14:paraId="5FCB46C1" w14:textId="6B94C096" w:rsidR="00B924BD" w:rsidRDefault="00B924BD" w:rsidP="00C6374B">
      <w:pPr>
        <w:spacing w:line="360" w:lineRule="auto"/>
        <w:jc w:val="both"/>
        <w:rPr>
          <w:rFonts w:ascii="Arial" w:hAnsi="Arial"/>
          <w:b/>
          <w:sz w:val="20"/>
          <w:szCs w:val="20"/>
        </w:rPr>
      </w:pPr>
      <w:r>
        <w:rPr>
          <w:rFonts w:ascii="Arial" w:hAnsi="Arial"/>
          <w:b/>
          <w:sz w:val="20"/>
          <w:szCs w:val="20"/>
        </w:rPr>
        <w:t>Dr. Steve O’Donoghue</w:t>
      </w:r>
    </w:p>
    <w:p w14:paraId="3AE12D54" w14:textId="42056F31" w:rsidR="00B924BD" w:rsidRDefault="00B924BD" w:rsidP="00C6374B">
      <w:pPr>
        <w:spacing w:line="360" w:lineRule="auto"/>
        <w:jc w:val="both"/>
        <w:rPr>
          <w:rFonts w:ascii="Arial" w:hAnsi="Arial"/>
          <w:i/>
          <w:sz w:val="20"/>
          <w:szCs w:val="20"/>
        </w:rPr>
      </w:pPr>
      <w:r>
        <w:rPr>
          <w:rFonts w:ascii="Arial" w:hAnsi="Arial"/>
          <w:i/>
          <w:sz w:val="20"/>
          <w:szCs w:val="20"/>
        </w:rPr>
        <w:t>Associate Researcher</w:t>
      </w:r>
    </w:p>
    <w:p w14:paraId="44AD28DD" w14:textId="3D351BD6" w:rsidR="00B924BD" w:rsidRPr="00B924BD" w:rsidRDefault="00B924BD" w:rsidP="00C6374B">
      <w:pPr>
        <w:spacing w:line="360" w:lineRule="auto"/>
        <w:jc w:val="both"/>
        <w:rPr>
          <w:rFonts w:ascii="Arial" w:hAnsi="Arial"/>
          <w:sz w:val="20"/>
          <w:szCs w:val="20"/>
        </w:rPr>
      </w:pPr>
      <w:r>
        <w:rPr>
          <w:rFonts w:ascii="Arial" w:hAnsi="Arial"/>
          <w:sz w:val="20"/>
          <w:szCs w:val="20"/>
        </w:rPr>
        <w:t>Roles:</w:t>
      </w:r>
      <w:r w:rsidR="00027E96">
        <w:rPr>
          <w:rFonts w:ascii="Arial" w:hAnsi="Arial"/>
          <w:sz w:val="20"/>
          <w:szCs w:val="20"/>
        </w:rPr>
        <w:t xml:space="preserve"> Intensive Care Physician</w:t>
      </w:r>
    </w:p>
    <w:p w14:paraId="001D229C" w14:textId="77777777" w:rsidR="00C6374B" w:rsidRDefault="00C6374B" w:rsidP="007A3A88">
      <w:pPr>
        <w:spacing w:line="360" w:lineRule="auto"/>
        <w:jc w:val="both"/>
        <w:rPr>
          <w:rFonts w:ascii="Arial" w:hAnsi="Arial"/>
          <w:sz w:val="20"/>
          <w:szCs w:val="20"/>
        </w:rPr>
      </w:pPr>
    </w:p>
    <w:p w14:paraId="449F1CD8" w14:textId="77777777" w:rsidR="00C6374B" w:rsidRDefault="00C6374B" w:rsidP="007A3A88">
      <w:pPr>
        <w:spacing w:line="360" w:lineRule="auto"/>
        <w:jc w:val="both"/>
        <w:rPr>
          <w:rFonts w:ascii="Arial" w:hAnsi="Arial"/>
          <w:sz w:val="20"/>
          <w:szCs w:val="20"/>
        </w:rPr>
      </w:pPr>
    </w:p>
    <w:p w14:paraId="547B7331" w14:textId="77777777" w:rsidR="00F24027" w:rsidRDefault="00F24027" w:rsidP="007A3A88">
      <w:pPr>
        <w:spacing w:line="360" w:lineRule="auto"/>
        <w:jc w:val="both"/>
        <w:rPr>
          <w:rFonts w:ascii="Arial" w:hAnsi="Arial"/>
          <w:sz w:val="20"/>
          <w:szCs w:val="20"/>
        </w:rPr>
      </w:pPr>
    </w:p>
    <w:p w14:paraId="1776EFB9" w14:textId="7EA6D079" w:rsidR="00BB15A5" w:rsidRDefault="00BB15A5">
      <w:pPr>
        <w:rPr>
          <w:rFonts w:ascii="Arial" w:hAnsi="Arial"/>
          <w:sz w:val="20"/>
          <w:szCs w:val="20"/>
        </w:rPr>
      </w:pPr>
      <w:r>
        <w:rPr>
          <w:rFonts w:ascii="Arial" w:hAnsi="Arial"/>
          <w:sz w:val="20"/>
          <w:szCs w:val="20"/>
        </w:rPr>
        <w:br w:type="page"/>
      </w:r>
    </w:p>
    <w:p w14:paraId="6098A6D8" w14:textId="77777777" w:rsidR="00C6374B" w:rsidRDefault="00C6374B" w:rsidP="007A3A88">
      <w:pPr>
        <w:spacing w:line="360" w:lineRule="auto"/>
        <w:jc w:val="both"/>
        <w:rPr>
          <w:rFonts w:ascii="Arial" w:hAnsi="Arial"/>
          <w:sz w:val="20"/>
          <w:szCs w:val="20"/>
        </w:rPr>
      </w:pPr>
    </w:p>
    <w:p w14:paraId="78C57723" w14:textId="542B2D55" w:rsidR="00C6374B" w:rsidRPr="00C6374B" w:rsidRDefault="00C6374B" w:rsidP="007A3A88">
      <w:pPr>
        <w:spacing w:line="360" w:lineRule="auto"/>
        <w:jc w:val="both"/>
        <w:rPr>
          <w:rFonts w:ascii="Arial" w:hAnsi="Arial"/>
          <w:b/>
          <w:color w:val="31849B" w:themeColor="accent5" w:themeShade="BF"/>
          <w:sz w:val="20"/>
          <w:szCs w:val="20"/>
        </w:rPr>
      </w:pPr>
      <w:r w:rsidRPr="00C6374B">
        <w:rPr>
          <w:rFonts w:ascii="Arial" w:hAnsi="Arial"/>
          <w:b/>
          <w:color w:val="31849B" w:themeColor="accent5" w:themeShade="BF"/>
          <w:sz w:val="20"/>
          <w:szCs w:val="20"/>
        </w:rPr>
        <w:t>Site</w:t>
      </w:r>
    </w:p>
    <w:p w14:paraId="345020CB" w14:textId="77777777" w:rsidR="009704BE" w:rsidRPr="00626614" w:rsidRDefault="009704BE" w:rsidP="007A3A88">
      <w:pPr>
        <w:spacing w:line="360" w:lineRule="auto"/>
        <w:jc w:val="both"/>
        <w:rPr>
          <w:rFonts w:ascii="Arial" w:hAnsi="Arial"/>
          <w:iCs/>
          <w:sz w:val="20"/>
          <w:szCs w:val="20"/>
        </w:rPr>
      </w:pPr>
      <w:r w:rsidRPr="00626614">
        <w:rPr>
          <w:rFonts w:ascii="Arial" w:hAnsi="Arial"/>
          <w:iCs/>
          <w:sz w:val="20"/>
          <w:szCs w:val="20"/>
        </w:rPr>
        <w:t>Department of Medical Imaging, Royal Brisbane &amp; Women’s Hospital, Brisbane, QLD, Australia</w:t>
      </w:r>
    </w:p>
    <w:p w14:paraId="4F980FE7" w14:textId="65AC202B" w:rsidR="00996D4C" w:rsidRDefault="00996D4C" w:rsidP="007A3A88">
      <w:pPr>
        <w:spacing w:line="360" w:lineRule="auto"/>
        <w:jc w:val="both"/>
        <w:rPr>
          <w:rFonts w:ascii="Arial" w:hAnsi="Arial"/>
          <w:b/>
          <w:sz w:val="20"/>
          <w:szCs w:val="20"/>
        </w:rPr>
      </w:pPr>
    </w:p>
    <w:p w14:paraId="262556D8" w14:textId="77777777" w:rsidR="00F81921" w:rsidRDefault="00F81921" w:rsidP="00F81921">
      <w:pPr>
        <w:spacing w:line="360" w:lineRule="auto"/>
        <w:jc w:val="both"/>
        <w:rPr>
          <w:rFonts w:ascii="Arial" w:hAnsi="Arial"/>
          <w:b/>
          <w:color w:val="31849B" w:themeColor="accent5" w:themeShade="BF"/>
          <w:sz w:val="20"/>
          <w:szCs w:val="20"/>
        </w:rPr>
      </w:pPr>
      <w:r w:rsidRPr="004D06BB">
        <w:rPr>
          <w:rFonts w:ascii="Arial" w:hAnsi="Arial"/>
          <w:b/>
          <w:color w:val="31849B" w:themeColor="accent5" w:themeShade="BF"/>
          <w:sz w:val="20"/>
          <w:szCs w:val="20"/>
        </w:rPr>
        <w:t>Grant Considerations</w:t>
      </w:r>
    </w:p>
    <w:p w14:paraId="175B0FA7" w14:textId="12A23569" w:rsidR="00F81921" w:rsidRDefault="00F81921" w:rsidP="007A3A88">
      <w:pPr>
        <w:spacing w:line="360" w:lineRule="auto"/>
        <w:jc w:val="both"/>
        <w:rPr>
          <w:rFonts w:ascii="Arial" w:hAnsi="Arial"/>
          <w:b/>
          <w:sz w:val="20"/>
          <w:szCs w:val="20"/>
        </w:rPr>
      </w:pPr>
      <w:r>
        <w:rPr>
          <w:rFonts w:ascii="Arial" w:hAnsi="Arial"/>
          <w:sz w:val="20"/>
          <w:szCs w:val="20"/>
        </w:rPr>
        <w:t>A research grant application was lodged with the Royal Australian and New Zealand College of Radiologists (RANZCR) 2020.</w:t>
      </w:r>
    </w:p>
    <w:p w14:paraId="55F153B6" w14:textId="77777777" w:rsidR="00F81921" w:rsidRDefault="00F81921" w:rsidP="007A3A88">
      <w:pPr>
        <w:spacing w:line="360" w:lineRule="auto"/>
        <w:jc w:val="both"/>
        <w:rPr>
          <w:rFonts w:ascii="Arial" w:hAnsi="Arial"/>
          <w:b/>
          <w:sz w:val="20"/>
          <w:szCs w:val="20"/>
        </w:rPr>
      </w:pPr>
    </w:p>
    <w:p w14:paraId="14C6F2F3" w14:textId="07832DE4" w:rsidR="006E55AB" w:rsidRPr="00A829DE" w:rsidRDefault="006E55AB" w:rsidP="007A3A88">
      <w:pPr>
        <w:spacing w:line="360" w:lineRule="auto"/>
        <w:jc w:val="both"/>
        <w:rPr>
          <w:rFonts w:ascii="Arial" w:hAnsi="Arial"/>
          <w:b/>
          <w:color w:val="31849B" w:themeColor="accent5" w:themeShade="BF"/>
          <w:sz w:val="20"/>
          <w:szCs w:val="20"/>
        </w:rPr>
      </w:pPr>
      <w:r w:rsidRPr="00A829DE">
        <w:rPr>
          <w:rFonts w:ascii="Arial" w:hAnsi="Arial"/>
          <w:b/>
          <w:color w:val="31849B" w:themeColor="accent5" w:themeShade="BF"/>
          <w:sz w:val="20"/>
          <w:szCs w:val="20"/>
        </w:rPr>
        <w:t>Background</w:t>
      </w:r>
    </w:p>
    <w:p w14:paraId="4327AA73" w14:textId="3DCDB8B2" w:rsidR="00A9764A" w:rsidRPr="006F2894" w:rsidRDefault="00A9764A" w:rsidP="006F2894">
      <w:pPr>
        <w:spacing w:line="360" w:lineRule="auto"/>
        <w:jc w:val="both"/>
        <w:rPr>
          <w:rFonts w:ascii="Arial" w:hAnsi="Arial" w:cs="Arial"/>
          <w:sz w:val="20"/>
          <w:szCs w:val="20"/>
        </w:rPr>
      </w:pPr>
      <w:r w:rsidRPr="006F2894">
        <w:rPr>
          <w:rFonts w:ascii="Arial" w:hAnsi="Arial" w:cs="Arial"/>
          <w:sz w:val="20"/>
          <w:szCs w:val="20"/>
        </w:rPr>
        <w:t>Thromboembolic events are frequent adverse events in neurointerventional procedures. Intracranial thromboembolic events occur intraprocedurally at a rate of 8% (standard deviation +/-5.7%)</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{"citationItems":[{"id":"ITEM-1","itemData":{"DOI":"10.3174/ajnr.A1216","ISSN":"01956108","abstract":"BACKGROUND AND PURPOSE: Concurrent temporary inflation of a nondetachable balloon in the parent artery has been reported to be useful during endovascular coiling of complex, wide-neck aneurysms, facilitating truer coil reconstruction of the native vessel. Nevertheless, there exists concern that adjunctive use of balloon assistance may lead to increased adverse events during aneurysm coiling. MATERIALS AND METHODS: A literature search of all of the unassisted and balloon-remodeling studies published between 1997 and 2006 was conducted with application of strict selection criteria based on the reporting of complication incidence and outcome. The final cohort was analyzed to determine rates and clinical outcomes of iatrogenic aneurysm rupture and thromboembolism. Additional data were collected on the degree of initial and follow-up aneurysm occlusion rates. RESULTS: A total of 83 potential studies (4973 patients) were identified, from which 23 articles reporting results for 867 traditional-unassisted and 273 balloon-assisted coiled aneurysms met inclusion criteria for the analysis of thromboembolic complications, and 21 articles with 993 routinely coiled and 170 balloon-remodeled aneurysms were eligible for iatrogenic perforation analysis. No statistically significant difference was found in the rates of thromboembolism. Iatrogenic perforation rates were also comparable, though the overall numbers were too few for meaningful statistical analysis. Both initial and follow-up aneurysm occlusion rates were higher in balloon-assisted cases. CONCLUSION: This largest-to-date literature review and meta-analysis did not demonstrate a higher incidence of thromboembolic events or iatrogenic rupture with the use of adjunctive balloon remodeling compared with unassisted coiling. Balloon remodeling appears to result in higher initial and follow-up aneurysm occlusion rates.","author":[{"dropping-particle":"","family":"Shapiro","given":"M.","non-dropping-particle":"","parse-names":false,"suffix":""},{"dropping-particle":"","family":"Babb","given":"J.","non-dropping-particle":"","parse-names":false,"suffix":""},{"dropping-particle":"","family":"Becske","given":"T.","non-dropping-particle":"","parse-names":false,"suffix":""},{"dropping-particle":"","family":"Nelson","given":"Peter Kim","non-dropping-particle":"","parse-names":false,"suffix":""}],"container-title":"American Journal of Neuroradiology","id":"ITEM-1","issue":"9","issued":{"date-parts":[["2008","10","1"]]},"page":"1777-1781","publisher":"American Journal of Neuroradiology","title":"Safety and efficacy of adjunctive balloon remodeling during endovascular treatment of intracranial aneurysms: A literature review","type":"article-journal","volume":"29"},"uris":["http://www.mendeley.com/documents/?uuid=54d4ef80-5ed2-3a76-b60e-5dd6faed6453"]}],"mendeley":{"formattedCitation":"&lt;sup&gt;1&lt;/sup&gt;","plainTextFormattedCitation":"1","previouslyFormattedCitation":"&lt;sup&gt;1&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1</w:t>
      </w:r>
      <w:r w:rsidRPr="006F2894">
        <w:rPr>
          <w:rFonts w:ascii="Arial" w:hAnsi="Arial" w:cs="Arial"/>
          <w:sz w:val="20"/>
          <w:szCs w:val="20"/>
        </w:rPr>
        <w:fldChar w:fldCharType="end"/>
      </w:r>
      <w:r w:rsidRPr="006F2894">
        <w:rPr>
          <w:rFonts w:ascii="Arial" w:hAnsi="Arial" w:cs="Arial"/>
          <w:sz w:val="20"/>
          <w:szCs w:val="20"/>
        </w:rPr>
        <w:t>. Intravenous unfractionated heparin(UFH) is recommended during endovascular aneurysm treatment, with a monitored activated clotting time(ACT) of between 200-300</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{"citationItems":[{"id":"ITEM-1","itemData":{"DOI":"10.1016/j.ejrad.2013.02.012","ISSN":"18727727","abstract":"The most frequent risk in endovascular aneurysm treatment is thromboembolic complications. Thus adjuvant pharmaceuticals are largely focused on preventing and treating these latter. Additionally symptomatic treatment of subarachnoid hemorrhage (SAH) and treatments to avoid vasospasm will enter into play in cases of ruptured aneurisms. Consensus exists in the literature neither for the necessity of heparin or antiplatelets nor for the doses to be administered. The principles and rationale of the use of these medications are reviewed with a discussion of protocols according with clinical situations and technical choices. © 2013 Elsevier Ireland Ltd.","author":[{"dropping-particle":"","family":"Bracard","given":"S.","non-dropping-particle":"","parse-names":false,"suffix":""},{"dropping-particle":"","family":"Barbier","given":"C.","non-dropping-particle":"","parse-names":false,"suffix":""},{"dropping-particle":"","family":"Derelle","given":"A. L.","non-dropping-particle":"","parse-names":false,"suffix":""},{"dropping-particle":"","family":"Anxionnat","given":"R.","non-dropping-particle":"","parse-names":false,"suffix":""}],"container-title":"European Journal of Radiology","id":"ITEM-1","issue":"10","issued":{"date-parts":[["2013","10","1"]]},"page":"1633-1637","publisher":"Elsevier Ireland Ltd","title":"Endovascular treatment of aneurisms: Pre, intra and post operative management","type":"article-journal","volume":"82"},"uris":["http://www.mendeley.com/documents/?uuid=6ed8eb5c-e40b-3470-92b3-d0b9b943b345"]},{"id":"ITEM-2","itemData":{"DOI":"10.3389/fneur.2011.00083","ISSN":"16642295","abstract":"Antiplatelet resistance is emerging as a significant factor in effective secondary stroke prevention. Prevalence of aspirin and clopidogrel resistance is dependent upon laboratory test and remains contentious. Large studies in cardiovascular disease populations have demonstrated worse ischemic outcomes in patients with antiplatelet resistance, particularly in patients with coronary stents. Thromboembolism is a complication of neurointerventional procedures that leads to stroke. Stroke rates related to aneurysm coiling range from 2 to 10% and may be higher when considering silent ischemia. Stroke associated with carotid stenting is a major cause of morbidity. Antiplatelet use in the periprocedure setting varies among different centers. No guidelines exist for use of antiplatelet regimens in neurointerventional procedures. Incidence of stroke in patients post procedure may be partly explained by resistance to antiplatelet agents. Further research is required to establish the incidence of stroke in patients with antiplatelet resistance undergoing neurointerventional procedures. © 2011 Oxley, Dowling, Mitchell, Davis and Yan.","author":[{"dropping-particle":"","family":"Oxley","given":"Thomas J.","non-dropping-particle":"","parse-names":false,"suffix":""},{"dropping-particle":"","family":"Dowling","given":"Richard J.","non-dropping-particle":"","parse-names":false,"suffix":""},{"dropping-particle":"","family":"Mitchell","given":"Peter J.","non-dropping-particle":"","parse-names":false,"suffix":""},{"dropping-particle":"","family":"Davis","given":"Stephen","non-dropping-particle":"","parse-names":false,"suffix":""},{"dropping-particle":"","family":"Yan","given":"Bernard","non-dropping-particle":"","parse-names":false,"suffix":""}],"container-title":"Frontiers in Neurology","id":"ITEM-2","issued":{"date-parts":[["2011"]]},"publisher":"Frontiers Media SA","title":"Antiplatelet resistance and thromboembolic complications in neurointerventional procedures","type":"article-journal","volume":"DEC"},"uris":["http://www.mendeley.com/documents/?uuid=939eca5b-35cd-3f51-b872-06e1fb0d789d"]}],"mendeley":{"formattedCitation":"&lt;sup&gt;2&lt;/sup&gt;,&lt;sup&gt;3&lt;/sup&gt;","plainTextFormattedCitation":"2,3","previouslyFormattedCitation":"&lt;sup&gt;2&lt;/sup&gt;,&lt;sup&gt;3&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2</w:t>
      </w:r>
      <w:r w:rsidRPr="006F2894">
        <w:rPr>
          <w:rFonts w:ascii="Arial" w:hAnsi="Arial" w:cs="Arial"/>
          <w:noProof/>
          <w:sz w:val="20"/>
          <w:szCs w:val="20"/>
        </w:rPr>
        <w:t>,</w:t>
      </w:r>
      <w:r w:rsidRPr="006F2894">
        <w:rPr>
          <w:rFonts w:ascii="Arial" w:hAnsi="Arial" w:cs="Arial"/>
          <w:noProof/>
          <w:sz w:val="20"/>
          <w:szCs w:val="20"/>
          <w:vertAlign w:val="superscript"/>
        </w:rPr>
        <w:t>3</w:t>
      </w:r>
      <w:r w:rsidRPr="006F2894">
        <w:rPr>
          <w:rFonts w:ascii="Arial" w:hAnsi="Arial" w:cs="Arial"/>
          <w:sz w:val="20"/>
          <w:szCs w:val="20"/>
        </w:rPr>
        <w:fldChar w:fldCharType="end"/>
      </w:r>
      <w:r w:rsidRPr="006F2894">
        <w:rPr>
          <w:rFonts w:ascii="Arial" w:hAnsi="Arial" w:cs="Arial"/>
          <w:sz w:val="20"/>
          <w:szCs w:val="20"/>
        </w:rPr>
        <w:t>. Most ischaemic strokes occur between 4 and 12 hours post-procedure</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{"citationItems":[{"id":"ITEM-1","itemData":{"abstract":"Object Most patients with asymptomatic intracranial aneurysms treated with endovascular methods are closely observed overnight in an intensive care unit setting for complications, including ischemic and hemorrhagic stroke, cardiac dysfunction, and groin access complications. The purpose of this study was to analyze the timing, nature, and rate of in-house postoperative events. Methods Patients who underwent endovascular treatment or retreatment of unruptured cerebral aneurysms from March 2002 to June 2012 were identified from a prospective case log and their medical records were reviewed. The presentation, patient characteristics, aneurysm size and location, and method of endovascular treatment of each cerebral aneurysm were recorded. Patients with adverse intraprocedural events including perforation and thromboembolism were excluded from this analysis. Overnight postprocedural monitoring was performed in a neurological intensive care unit or postanesthesia care unit for all patients, with discharge planned for postoperative Day 1. Postprocedural events occurring during hospitalization were categorized as intracranial hemorrhage, ischemic stroke, groin hematoma resulting in additional treatment or prolonged hospital stay, retroperitoneal hematoma, and cardiac events. The time from the completion of the procedure to event discovery was recorded. Results A total of 687 endovascular treatments of unruptured cerebral aneurysms were performed. Nine treatments were excluded from our analysis due to intraprocedural events. Endovascular procedures included coiling alone, stent-assisted coiling, balloon-assisted coiling, balloon-assisted embolization with a liquid embolic agent, and placement of a flow diversion device with or without coiling. Twenty-seven treatments (4.0%) resulted in postprocedural complications: 3 intracranial hemorrhages, 6 ischemic strokes, 4 cardiac events, 5 retroperitoneal hematomas, and 9 groin hematomas. The majority (20 [74.0%]) of these 27 complications were detected within 4 hours from the procedure. These included 1 hemorrhage, 4 ischemic strokes, 4 cardiac events, 2 retroperitoneal hematomas, and 9 groin hematomas. All cardiac events and groin hematomas were detected within 4 hours. Four (14%) of the 27 complications were detected between 4 and 12 hours, 1 (3.7%) between 12 and 24 hours, and 2 (7.4%) more than 24 hours after the procedure. The complications detected more than 4 hours from the conclusion of the procedure included 2…","author":[{"dropping-particle":"","family":"Arias","given":"Eric","non-dropping-particle":"","parse-names":false,"suffix":""},{"dropping-particle":"","family":"Patel","given":"Bhuvic","non-dropping-particle":"","parse-names":false,"suffix":""},{"dropping-particle":"","family":"Cross","given":"DeWitte","non-dropping-particle":"","parse-names":false,"suffix":""},{"dropping-particle":"","family":"Moran","given":"Christopher","non-dropping-particle":"","parse-names":false,"suffix":""},{"dropping-particle":"","family":"Dacey Jr","given":"Ralph","non-dropping-particle":"","parse-names":false,"suffix":""},{"dropping-particle":"","family":"Zipfel","given":"Gregory","non-dropping-particle":"","parse-names":false,"suffix":""},{"dropping-particle":"","family":"Derdeyn","given":"Colin P","non-dropping-particle":"","parse-names":false,"suffix":""}],"container-title":"Journal of Neurosurgery","id":"ITEM-1","issue":"5 (Nov 2014)","issued":{"date-parts":[["2014"]]},"page":"1011-1293","title":"Timing and nature of in-house postoperative events following uncomplicated elective endovascular aneurysm treatment","type":"article-journal","volume":"121"},"uris":["http://www.mendeley.com/documents/?uuid=d21be476-024e-32cb-9aa7-8615e56b8ad3"]}],"mendeley":{"formattedCitation":"&lt;sup&gt;4&lt;/sup&gt;","plainTextFormattedCitation":"4","previouslyFormattedCitation":"&lt;sup&gt;4&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4</w:t>
      </w:r>
      <w:r w:rsidRPr="006F2894">
        <w:rPr>
          <w:rFonts w:ascii="Arial" w:hAnsi="Arial" w:cs="Arial"/>
          <w:sz w:val="20"/>
          <w:szCs w:val="20"/>
        </w:rPr>
        <w:fldChar w:fldCharType="end"/>
      </w:r>
      <w:r w:rsidRPr="006F2894">
        <w:rPr>
          <w:rFonts w:ascii="Arial" w:hAnsi="Arial" w:cs="Arial"/>
          <w:sz w:val="20"/>
          <w:szCs w:val="20"/>
        </w:rPr>
        <w:t>.The risk of thromboembolic events increases after stenting perioperatively and in the 48hrs post treatment by 10%</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{"citationItems":[{"id":"ITEM-1","itemData":{"DOI":"10.1016/j.ejrad.2013.02.012","ISSN":"18727727","abstract":"The most frequent risk in endovascular aneurysm treatment is thromboembolic complications. Thus adjuvant pharmaceuticals are largely focused on preventing and treating these latter. Additionally symptomatic treatment of subarachnoid hemorrhage (SAH) and treatments to avoid vasospasm will enter into play in cases of ruptured aneurisms. Consensus exists in the literature neither for the necessity of heparin or antiplatelets nor for the doses to be administered. The principles and rationale of the use of these medications are reviewed with a discussion of protocols according with clinical situations and technical choices. © 2013 Elsevier Ireland Ltd.","author":[{"dropping-particle":"","family":"Bracard","given":"S.","non-dropping-particle":"","parse-names":false,"suffix":""},{"dropping-particle":"","family":"Barbier","given":"C.","non-dropping-particle":"","parse-names":false,"suffix":""},{"dropping-particle":"","family":"Derelle","given":"A. L.","non-dropping-particle":"","parse-names":false,"suffix":""},{"dropping-particle":"","family":"Anxionnat","given":"R.","non-dropping-particle":"","parse-names":false,"suffix":""}],"container-title":"European Journal of Radiology","id":"ITEM-1","issue":"10","issued":{"date-parts":[["2013","10","1"]]},"page":"1633-1637","publisher":"Elsevier Ireland Ltd","title":"Endovascular treatment of aneurisms: Pre, intra and post operative management","type":"article-journal","volume":"82"},"uris":["http://www.mendeley.com/documents/?uuid=6ed8eb5c-e40b-3470-92b3-d0b9b943b345"]}],"mendeley":{"formattedCitation":"&lt;sup&gt;2&lt;/sup&gt;","plainTextFormattedCitation":"2","previouslyFormattedCitation":"&lt;sup&gt;2&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2</w:t>
      </w:r>
      <w:r w:rsidRPr="006F2894">
        <w:rPr>
          <w:rFonts w:ascii="Arial" w:hAnsi="Arial" w:cs="Arial"/>
          <w:sz w:val="20"/>
          <w:szCs w:val="20"/>
        </w:rPr>
        <w:fldChar w:fldCharType="end"/>
      </w:r>
      <w:r w:rsidRPr="006F2894">
        <w:rPr>
          <w:rFonts w:ascii="Arial" w:hAnsi="Arial" w:cs="Arial"/>
          <w:sz w:val="20"/>
          <w:szCs w:val="20"/>
        </w:rPr>
        <w:t>. A cumulative analysis of endovascular coiling demonstrated a reduction in postoperative thromboembolic events with heparin use compared with no heparin use (5.9 vs. 9.3%)</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{"citationItems":[{"id":"ITEM-1","itemData":{"DOI":"10.1097/00006123-200006000-00014","ISSN":"0148-396X","abstract":"We reviewed the incidence, risk factors, and clinical features of thromboembolic and ischemic events associated with diagnostic cerebral angiography, endovascular treatment of aneurysms using coils or balloons, angioplasty and stent placement to treat extracranial carotid artery stenosis, and embolization of arteriovenous malformations using glue or other embolic agents. We performed a cumulative analysis to determine the frequency and characteristics of these events and a subset analysis (whenever possible) to determine the benefits of various strategies for complication avoidance. Of the 1547 patients who underwent Guglielmi detachable coil treatment, thromboembolic events were observed for 127 (8.2%), consisting of asymptomatic events for 12 patients, transient ischemic attacks for 29, and strokes for 86. The outcomes for the 86 patients with strokes were categorized as full recovery for 15, good recovery for 27, partial recovery for 19, no recovery for 11, death for 12, and undetermined outcome for 2. Of the 834 patients who underwent carotid angioplasty and stent placement, thromboembolic events were observed for 73 (8.8%), consisting of transient ischemic attacks for 26 patients and strokes for 47. The outcomes for the patients with strokes were categorized as full recovery for 20, good recovery for 15, partial recovery for 6, no recovery for 2, and death for 4. High rates of thromboembolic events were also observed with balloon occlusion of aneurysms (11%) or parent arteries (19%) and carotid angioplasty alone (5.9%). Arteriovenous malformation embolization was associated with an ischemic event/procedure rate of 9.4%. High rates of thromboembolic and ischemic complications, with subsequent morbidity and death, are associated with most endovascular procedures. Further research and the formulation of standard preventive guidelines may help to reduce these risks and improve the overall success of these procedures.","author":[{"dropping-particle":"","family":"Qureshi","given":"Adnan I.","non-dropping-particle":"","parse-names":false,"suffix":""},{"dropping-particle":"","family":"Luft","given":"Andreas R.","non-dropping-particle":"","parse-names":false,"suffix":""},{"dropping-particle":"","family":"Sharma","given":"Mudit","non-dropping-particle":"","parse-names":false,"suffix":""},{"dropping-particle":"","family":"Guterman","given":"Lee R.","non-dropping-particle":"","parse-names":false,"suffix":""},{"dropping-particle":"","family":"Hopkins","given":"L. Nelson","non-dropping-particle":"","parse-names":false,"suffix":""}],"container-title":"Neurosurgery","id":"ITEM-1","issue":"6","issued":{"date-parts":[["2000","6","1"]]},"page":"1360-1376","publisher":"Lippincott Williams and Wilkins","title":"Prevention and Treatment of Thromboembolic and Ischemic Complications Associated with Endovascular Procedures: Part II—Clinical Aspects and Recommendations","type":"article-journal","volume":"46"},"uris":["http://www.mendeley.com/documents/?uuid=bea59b19-15a5-3cf1-946f-3067fd964f7c"]}],"mendeley":{"formattedCitation":"&lt;sup&gt;5&lt;/sup&gt;","plainTextFormattedCitation":"5","previouslyFormattedCitation":"&lt;sup&gt;5&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5</w:t>
      </w:r>
      <w:r w:rsidRPr="006F2894">
        <w:rPr>
          <w:rFonts w:ascii="Arial" w:hAnsi="Arial" w:cs="Arial"/>
          <w:sz w:val="20"/>
          <w:szCs w:val="20"/>
        </w:rPr>
        <w:fldChar w:fldCharType="end"/>
      </w:r>
      <w:r w:rsidRPr="006F2894">
        <w:rPr>
          <w:rFonts w:ascii="Arial" w:hAnsi="Arial" w:cs="Arial"/>
          <w:sz w:val="20"/>
          <w:szCs w:val="20"/>
        </w:rPr>
        <w:t xml:space="preserve">. In practice many operators adopt an ad hoc case-by-case approach to post-procedure anticoagulation, based on perceived risk of thromboembolic events. </w:t>
      </w:r>
    </w:p>
    <w:p w14:paraId="63C2E5B3" w14:textId="77777777" w:rsidR="00A9764A" w:rsidRPr="006F2894" w:rsidRDefault="00A9764A" w:rsidP="006F2894">
      <w:pPr>
        <w:spacing w:line="360" w:lineRule="auto"/>
        <w:jc w:val="both"/>
        <w:rPr>
          <w:rFonts w:ascii="Arial" w:hAnsi="Arial" w:cs="Arial"/>
          <w:sz w:val="20"/>
          <w:szCs w:val="20"/>
        </w:rPr>
      </w:pPr>
    </w:p>
    <w:p w14:paraId="46F301C2" w14:textId="040F8858" w:rsidR="00A9764A" w:rsidRPr="006F2894" w:rsidRDefault="00A9764A" w:rsidP="006F2894">
      <w:pPr>
        <w:spacing w:line="360" w:lineRule="auto"/>
        <w:jc w:val="both"/>
        <w:rPr>
          <w:rFonts w:ascii="Arial" w:hAnsi="Arial" w:cs="Arial"/>
          <w:sz w:val="20"/>
          <w:szCs w:val="20"/>
        </w:rPr>
      </w:pPr>
      <w:r w:rsidRPr="006F2894">
        <w:rPr>
          <w:rFonts w:ascii="Arial" w:hAnsi="Arial" w:cs="Arial"/>
          <w:sz w:val="20"/>
          <w:szCs w:val="20"/>
        </w:rPr>
        <w:t xml:space="preserve">In addition, there is a risk of developing clinically </w:t>
      </w:r>
      <w:r w:rsidR="004C716E">
        <w:rPr>
          <w:rFonts w:ascii="Arial" w:hAnsi="Arial" w:cs="Arial"/>
          <w:sz w:val="20"/>
          <w:szCs w:val="20"/>
        </w:rPr>
        <w:t>silent</w:t>
      </w:r>
      <w:r w:rsidRPr="006F2894">
        <w:rPr>
          <w:rFonts w:ascii="Arial" w:hAnsi="Arial" w:cs="Arial"/>
          <w:sz w:val="20"/>
          <w:szCs w:val="20"/>
        </w:rPr>
        <w:t xml:space="preserve"> ischaemic lesions (CSILs), which can be identified as ‘bright spots’ on diffusion weighted imaging (DWI). The overall incidence of DWI lesions post endovascular cerebral aneurysm treatment  has been reported as 49-60%</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author":[{"dropping-particle":"","family":"Bond","given":"K.M.","non-dropping-particle":"","parse-names":false,"suffix":""},{"dropping-particle":"","family":"Brinjikji","given":"W.","non-dropping-particle":"","parse-names":false,"suffix":""},{"dropping-particle":"","family":"Murad","given":"M.H.","non-dropping-particle":"","parse-names":false,"suffix":""},{"dropping-particle":"","family":"Kallmes","given":"D.F.","non-dropping-particle":"","parse-names":false,"suffix":""},{"dropping-particle":"","family":"Cloft","given":"H.J.","non-dropping-particle":"","parse-names":false,"suffix":""},{"dropping-particle":"","family":"Lanzino","given":"G.","non-dropping-particle":"","parse-names":false,"suffix":""}],"container-title":"American Journal of Neuroradiology","id":"ITEM-1","issue":"2","issued":{"date-parts":[["2017"]]},"title":"Diffusion-Weighted Imaging–Detected Ischemic Lesions following Endovascular Treatment of Cerebral Aneurysms: A Systematic Review and Meta-Analysis","type":"article-journal","volume":"38"},"uris":["http://www.mendeley.com/documents/?uuid=ba129aef-3df5-3ea3-9258-f811abe9ff97"]}],"mendeley":{"formattedCitation":"&lt;sup&gt;6&lt;/sup&gt;","plainTextFormattedCitation":"6","previouslyFormattedCitation":"&lt;sup&gt;6&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6</w:t>
      </w:r>
      <w:r w:rsidRPr="006F2894">
        <w:rPr>
          <w:rFonts w:ascii="Arial" w:hAnsi="Arial" w:cs="Arial"/>
          <w:sz w:val="20"/>
          <w:szCs w:val="20"/>
        </w:rPr>
        <w:fldChar w:fldCharType="end"/>
      </w:r>
      <w:r w:rsidRPr="006F2894">
        <w:rPr>
          <w:rFonts w:ascii="Arial" w:hAnsi="Arial" w:cs="Arial"/>
          <w:sz w:val="20"/>
          <w:szCs w:val="20"/>
        </w:rPr>
        <w:t>. The majority appear asymptomatic. However a long-term follow-up study of healthy volunteers by Vermeer et al suggested that CSILs increased the risk of dementia and cognitive decline over a 5-year period</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{"citationItems":[{"id":"ITEM-1","itemData":{"DOI":"10.1056/NEJMoa022066","ISSN":"00284793","PMID":"12660385","abstract":"BACKGROUND: Silent brain infarcts are frequently seen on magnetic resonance imaging (MRI) in healthy elderly people and may be associated with dementia and cognitive decline. METHODS: We studied the association between silent brain infarcts and the risk of dementia and cognitive decline in 1015 participants of the prospective, population-based Rotterdarr. Scan Study, who were 60 to 90 years of age and free of dementia and stroke at base line Participants underwent neuropsychological testing and cerebral MRI at base line ir 1995 to 1996 and again in 1999 to 2000 and were monitored for dementia throughout the study period. We performed Cox proportional-hazards and multiple linear-regression analyses, adjusted for age, sex, and level of education and for the presence or absence of subcortical atrophy and white-matter lesions. RESULTS: During 3697 person-years of follow-up (mean per person, 3.6 years), dementia developed in 30 of the 1015 participants. The presence of silent brain infarcts at base line more than doubled the risk of dementia (hazard ratio, 2.26; 95 percent confidence interval, 1.09 to 4.70). The presence of silent brain infarcts on the base-line MRI was associated with worse performance on neuropsychological tests and a steeper decline in global cognitive function. Silent thalamic infarcts were associated with a decline in memory performance, and nonthalamic infarcts with a decline in psychomotor speed. When participants with silent brain infarcts at base line were subdivided into those with and those without additional infarcts at follow-up, the decline in cognitive function was restricted to those with additional silent infarcts. CONCLUSIONS: Elderly people with silent brain infarcts have an increased risk of dementia and a steeper decline in cognitive function than those without such lesions.","author":[{"dropping-particle":"","family":"Vermeer","given":"Sarah E.","non-dropping-particle":"","parse-names":false,"suffix":""},{"dropping-particle":"","family":"Prins","given":"Niels D.","non-dropping-particle":"","parse-names":false,"suffix":""},{"dropping-particle":"","family":"Heijer","given":"Tom","non-dropping-particle":"Den","parse-names":false,"suffix":""},{"dropping-particle":"","family":"Hofman","given":"Albert","non-dropping-particle":"","parse-names":false,"suffix":""},{"dropping-particle":"","family":"Koudstaal","given":"Peter J.","non-dropping-particle":"","parse-names":false,"suffix":""},{"dropping-particle":"","family":"Breteler","given":"Monique M.B.","non-dropping-particle":"","parse-names":false,"suffix":""}],"container-title":"New England Journal of Medicine","id":"ITEM-1","issue":"13","issued":{"date-parts":[["2003","3","27"]]},"page":"1215-1222","title":"Silent brain infarcts and the risk of dementia and cognitive decline","type":"article-journal","volume":"348"},"uris":["http://www.mendeley.com/documents/?uuid=72a515ea-47d7-3061-85b4-1abd044b0db3"]}],"mendeley":{"formattedCitation":"&lt;sup&gt;7&lt;/sup&gt;","plainTextFormattedCitation":"7","previouslyFormattedCitation":"&lt;sup&gt;7&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7</w:t>
      </w:r>
      <w:r w:rsidRPr="006F2894">
        <w:rPr>
          <w:rFonts w:ascii="Arial" w:hAnsi="Arial" w:cs="Arial"/>
          <w:sz w:val="20"/>
          <w:szCs w:val="20"/>
        </w:rPr>
        <w:fldChar w:fldCharType="end"/>
      </w:r>
      <w:r w:rsidRPr="006F2894">
        <w:rPr>
          <w:rFonts w:ascii="Arial" w:hAnsi="Arial" w:cs="Arial"/>
          <w:sz w:val="20"/>
          <w:szCs w:val="20"/>
        </w:rPr>
        <w:t>. Conversely Kang et al. (n=40) did not find a significant difference between mean cognitive scores between patients with and without CSILs at 1 and 4 weeks</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{"citationItems":[{"id":"ITEM-1","itemData":{"DOI":"10.1227/NEU.0b013e3182846f74","ISSN":"0148396X","abstract":"BACKGROUND: Thromboembolic events are the most common complication after coiling of unruptured intracranial aneurysms (UIAs). However, it remains unclear whether these clinically silent ischemic lesions (CSILs) have any clinical significance. OBJECTIVE: To evaluate cognitive outcome after coil embolization of asymptomatic UIAs and its relationship with CSILs after the procedure. METHODS: We prospectively enrolled 40 UIA patients who showed no new focal neurological deficit after coil embolization. CSILs were assessed with diffusion-weighted imaging (DWI) within 1 day after the procedure. A battery of neuropsychological tests was performed 3 times: preoperatively and postoperatively at 1 and 4 weeks after coil embolization. RESULTS: The incidence of cognitive impairment after coiling in patients with UIAs was 44% (17 of 39) at 1 week and 19% (7 of 37) at 4 weeks after coil embolization. DWI within 1 day after coil embolization revealed that 60% of patients (24 of 40) showed CSILs. However, no significant difference was found in any mean cognitive scores or in the number of cognitively impaired variables between patients with and without CSILs at weeks 1 and 4. Additional correlation analysis revealed no correlations between the number of CSILs on DWI and the cognitive sum z score at both 1 and 4 weeks. CONCLUSION: Exhaustive neuropsychological evaluation of UIA patients who underwent coil embolization demonstrated recovery or improvements from baseline cognitive function after 4 weeks, although some patients still showed cognitive deficits at 4 weeks after the procedure. However, we found no statistically significant relationship between the presence and number of CSILs on DWI and cognitive changes after the procedure. Copyright © 2012 by the Congress of Neurological Surgeons.","author":[{"dropping-particle":"","family":"Kang","given":"Dong Hun","non-dropping-particle":"","parse-names":false,"suffix":""},{"dropping-particle":"","family":"Hwang","given":"Yang Ha","non-dropping-particle":"","parse-names":false,"suffix":""},{"dropping-particle":"","family":"Kim","given":"Yong Sun","non-dropping-particle":"","parse-names":false,"suffix":""},{"dropping-particle":"","family":"Bae","given":"Geum Ye","non-dropping-particle":"","parse-names":false,"suffix":""},{"dropping-particle":"","family":"Lee","given":"Seung Jae","non-dropping-particle":"","parse-names":false,"suffix":""}],"container-title":"Neurosurgery","id":"ITEM-1","issue":"4","issued":{"date-parts":[["2013","4"]]},"page":"638-645","title":"Cognitive outcome and clinically silent thromboembolic events after coiling of asymptomatic unruptured intracranial aneurysms","type":"article-journal","volume":"72"},"uris":["http://www.mendeley.com/documents/?uuid=9861c6f8-ee2d-33cb-93fb-7d119a871c5f"]}],"mendeley":{"formattedCitation":"&lt;sup&gt;8&lt;/sup&gt;","plainTextFormattedCitation":"8","previouslyFormattedCitation":"&lt;sup&gt;8&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8</w:t>
      </w:r>
      <w:r w:rsidRPr="006F2894">
        <w:rPr>
          <w:rFonts w:ascii="Arial" w:hAnsi="Arial" w:cs="Arial"/>
          <w:sz w:val="20"/>
          <w:szCs w:val="20"/>
        </w:rPr>
        <w:fldChar w:fldCharType="end"/>
      </w:r>
      <w:r w:rsidRPr="006F2894">
        <w:rPr>
          <w:rFonts w:ascii="Arial" w:hAnsi="Arial" w:cs="Arial"/>
          <w:sz w:val="20"/>
          <w:szCs w:val="20"/>
        </w:rPr>
        <w:t xml:space="preserve">. </w:t>
      </w:r>
    </w:p>
    <w:p w14:paraId="7397415F" w14:textId="77777777" w:rsidR="00A9764A" w:rsidRPr="006F2894" w:rsidRDefault="00A9764A" w:rsidP="006F2894">
      <w:pPr>
        <w:spacing w:line="360" w:lineRule="auto"/>
        <w:jc w:val="both"/>
        <w:rPr>
          <w:rFonts w:ascii="Arial" w:hAnsi="Arial" w:cs="Arial"/>
          <w:sz w:val="20"/>
          <w:szCs w:val="20"/>
        </w:rPr>
      </w:pPr>
    </w:p>
    <w:p w14:paraId="0CB3C7CF" w14:textId="792B9BA0" w:rsidR="00A9764A" w:rsidRPr="006F2894" w:rsidRDefault="00A9764A" w:rsidP="006F2894">
      <w:pPr>
        <w:spacing w:line="360" w:lineRule="auto"/>
        <w:jc w:val="both"/>
        <w:rPr>
          <w:rFonts w:ascii="Arial" w:hAnsi="Arial" w:cs="Arial"/>
          <w:sz w:val="20"/>
          <w:szCs w:val="20"/>
        </w:rPr>
      </w:pPr>
      <w:r w:rsidRPr="006F2894">
        <w:rPr>
          <w:rFonts w:ascii="Arial" w:hAnsi="Arial" w:cs="Arial"/>
          <w:sz w:val="20"/>
          <w:szCs w:val="20"/>
        </w:rPr>
        <w:t>There are conflicting opinions on the risk factors for DWI lesions post neurointervention. A meta-analysis found that flow diversion was associated with a higher rate of thromboembolic complications compared to coiling</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author":[{"dropping-particle":"","family":"Bond","given":"K.M.","non-dropping-particle":"","parse-names":false,"suffix":""},{"dropping-particle":"","family":"Brinjikji","given":"W.","non-dropping-particle":"","parse-names":false,"suffix":""},{"dropping-particle":"","family":"Murad","given":"M.H.","non-dropping-particle":"","parse-names":false,"suffix":""},{"dropping-particle":"","family":"Kallmes","given":"D.F.","non-dropping-particle":"","parse-names":false,"suffix":""},{"dropping-particle":"","family":"Cloft","given":"H.J.","non-dropping-particle":"","parse-names":false,"suffix":""},{"dropping-particle":"","family":"Lanzino","given":"G.","non-dropping-particle":"","parse-names":false,"suffix":""}],"container-title":"American Journal of Neuroradiology","id":"ITEM-1","issue":"2","issued":{"date-parts":[["2017"]]},"title":"Diffusion-Weighted Imaging–Detected Ischemic Lesions following Endovascular Treatment of Cerebral Aneurysms: A Systematic Review and Meta-Analysis","type":"article-journal","volume":"38"},"uris":["http://www.mendeley.com/documents/?uuid=ba129aef-3df5-3ea3-9258-f811abe9ff97"]}],"mendeley":{"formattedCitation":"&lt;sup&gt;6&lt;/sup&gt;","plainTextFormattedCitation":"6","previouslyFormattedCitation":"&lt;sup&gt;6&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6</w:t>
      </w:r>
      <w:r w:rsidRPr="006F2894">
        <w:rPr>
          <w:rFonts w:ascii="Arial" w:hAnsi="Arial" w:cs="Arial"/>
          <w:sz w:val="20"/>
          <w:szCs w:val="20"/>
        </w:rPr>
        <w:fldChar w:fldCharType="end"/>
      </w:r>
      <w:r w:rsidRPr="006F2894">
        <w:rPr>
          <w:rFonts w:ascii="Arial" w:hAnsi="Arial" w:cs="Arial"/>
          <w:sz w:val="20"/>
          <w:szCs w:val="20"/>
        </w:rPr>
        <w:t>.  The limitations of many studies in post-procedure DWI lesions include being retrospective and non-randomised</w:t>
      </w:r>
      <w:r w:rsidRPr="006F2894">
        <w:rPr>
          <w:rFonts w:ascii="Arial" w:hAnsi="Arial" w:cs="Arial"/>
          <w:sz w:val="20"/>
          <w:szCs w:val="20"/>
        </w:rPr>
        <w:fldChar w:fldCharType="begin" w:fldLock="1"/>
      </w:r>
      <w:r w:rsidR="00F45134">
        <w:rPr>
          <w:rFonts w:ascii="Arial" w:hAnsi="Arial" w:cs="Arial"/>
          <w:sz w:val="20"/>
          <w:szCs w:val="20"/>
        </w:rPr>
        <w:instrText>ADDIN CSL_CITATION {"citationItems":[{"id":"ITEM-1","itemData":{"DOI":"10.3171/2015.3.JNS142835","ISSN":"19330693","abstract":"Objective The incidence and risk factors of microembolic lesions on MR diffusion-weighted imaging (DWI) were analyzed after the endovascular coiling of unruptured intracranial aneurysms (UIAs). Methods Data obtained from 271 consecutive patients (70 men and 201 women; median age 57 years; range 23-79 years) who presented with UIA for coil embolization between July 2011 and June 2013 were analyzed. Two independent reviewers examined the DWI and apparent diffusion coefficient maps obtained the following day for the presence of restrictive diffusion spots and counted the number of spots. Multivariate analysis was then performed to identify independent risk factors for developing microembolism following the coiling of an aneurysm. Results Microembolic lesions were noted in 101 of 271 patients (37.3%). The results of the multivariate analysis showed that the following factors significantly influenced the risk for microembolism: age, diabetes, previous history of ischemic stroke, high-signal FLAIR lesions in the white matter, multiple aneurysms, and the insertion of an Enterprise stent (all ORs &gt; 1.0 and all p values &lt; 0.05). Previously known risk factors such as prolonged procedure duration, aneurysm size, and decreased antiplatelet function did not show any significant influence. Conclusions The incidence of microembolism after endovascular coiling of UIA was not low. Lesions occurred more frequently in patients with vascular status associated with old age, diabetes, and previous stroke. Aneurysm multiplicity and the type of stent used for treatment also influenced lesion occurrence.","author":[{"dropping-particle":"","family":"Park","given":"Jung Cheol","non-dropping-particle":"","parse-names":false,"suffix":""},{"dropping-particle":"","family":"Lee","given":"Deok Hee","non-dropping-particle":"","parse-names":false,"suffix":""},{"dropping-particle":"","family":"Kim","given":"Jae Kyun","non-dropping-particle":"","parse-names":false,"suffix":""},{"dropping-particle":"","family":"Ahn","given":"Jae Sung","non-dropping-particle":"","parse-names":false,"suffix":""},{"dropping-particle":"","family":"Kwun","given":"Byung Duk","non-dropping-particle":"","parse-names":false,"suffix":""},{"dropping-particle":"","family":"Kim","given":"Dae Yoon","non-dropping-particle":"","parse-names":false,"suffix":""},{"dropping-particle":"","family":"Choi","given":"Choong Gon","non-dropping-particle":"","parse-names":false,"suffix":""}],"container-title":"Journal of Neurosurgery","id":"ITEM-1","issue":"3","issued":{"date-parts":[["2016","3","1"]]},"page":"777-783","publisher":"American Association of Neurological Surgeons","title":"Microembolism after endovascular coiling of unruptured cerebral aneurysms: Incidence and risk factors","type":"article-journal","volume":"124"},"uris":["http://www.mendeley.com/documents/?uuid=8933fa2e-a0d0-3088-9a43-1ac099fbbe97"]}],"mendeley":{"formattedCitation":"&lt;sup&gt;9&lt;/sup&gt;","plainTextFormattedCitation":"9","previouslyFormattedCitation":"&lt;sup&gt;9&lt;/sup&gt;"},"properties":{"noteIndex":0},"schema":"https://github.com/citation-style-language/schema/raw/master/csl-citation.json"}</w:instrText>
      </w:r>
      <w:r w:rsidRPr="006F2894">
        <w:rPr>
          <w:rFonts w:ascii="Arial" w:hAnsi="Arial" w:cs="Arial"/>
          <w:sz w:val="20"/>
          <w:szCs w:val="20"/>
        </w:rPr>
        <w:fldChar w:fldCharType="separate"/>
      </w:r>
      <w:r w:rsidRPr="006F2894">
        <w:rPr>
          <w:rFonts w:ascii="Arial" w:hAnsi="Arial" w:cs="Arial"/>
          <w:noProof/>
          <w:sz w:val="20"/>
          <w:szCs w:val="20"/>
          <w:vertAlign w:val="superscript"/>
        </w:rPr>
        <w:t>9</w:t>
      </w:r>
      <w:r w:rsidRPr="006F2894">
        <w:rPr>
          <w:rFonts w:ascii="Arial" w:hAnsi="Arial" w:cs="Arial"/>
          <w:sz w:val="20"/>
          <w:szCs w:val="20"/>
        </w:rPr>
        <w:fldChar w:fldCharType="end"/>
      </w:r>
      <w:r w:rsidRPr="006F2894">
        <w:rPr>
          <w:rFonts w:ascii="Arial" w:hAnsi="Arial" w:cs="Arial"/>
          <w:sz w:val="20"/>
          <w:szCs w:val="20"/>
        </w:rPr>
        <w:t xml:space="preserve">, and lacking pre-procedure imaging.  </w:t>
      </w:r>
    </w:p>
    <w:p w14:paraId="6805120F" w14:textId="77777777" w:rsidR="00A9764A" w:rsidRPr="006F2894" w:rsidRDefault="00A9764A" w:rsidP="006F2894">
      <w:pPr>
        <w:spacing w:line="360" w:lineRule="auto"/>
        <w:jc w:val="both"/>
        <w:rPr>
          <w:rFonts w:ascii="Arial" w:hAnsi="Arial" w:cs="Arial"/>
          <w:sz w:val="20"/>
          <w:szCs w:val="20"/>
        </w:rPr>
      </w:pPr>
    </w:p>
    <w:p w14:paraId="2592BCB1" w14:textId="77777777" w:rsidR="00A9764A" w:rsidRPr="006F2894" w:rsidRDefault="00A9764A" w:rsidP="006F2894">
      <w:pPr>
        <w:spacing w:line="360" w:lineRule="auto"/>
        <w:jc w:val="both"/>
        <w:rPr>
          <w:rFonts w:ascii="Arial" w:hAnsi="Arial" w:cs="Arial"/>
          <w:sz w:val="20"/>
          <w:szCs w:val="20"/>
        </w:rPr>
      </w:pPr>
      <w:r w:rsidRPr="006F2894">
        <w:rPr>
          <w:rFonts w:ascii="Arial" w:hAnsi="Arial" w:cs="Arial"/>
          <w:sz w:val="20"/>
          <w:szCs w:val="20"/>
        </w:rPr>
        <w:t>Our randomised prospective trial (EPPICS) comparing standard of care unfractionated heparin infusion (UFH) post procedure with either enoxaparin 1.5mg/kg at T=0 or enoxaparin 1.5mg/kg at T=0 and T=12h had a primary outcome measure of therapeutic anticoagulation at T=4hrs. Only 11% of the UFH group were within the therapeutic range compared with the two enoxaparin arms (p&lt;0.001). For the secondary outcome of puncture site complications there were no differences between UFH and the lower dose of enoxaparin, but the higher dose had an odds ratio of developing puncture site complications of 3 compared with UFH. Fewer new DWI lesions were noted in the higher dose enoxaparin group compared to UFH (p&lt;0.01).</w:t>
      </w:r>
    </w:p>
    <w:p w14:paraId="095D93B8" w14:textId="77777777" w:rsidR="00A9764A" w:rsidRPr="006F2894" w:rsidRDefault="00A9764A" w:rsidP="006F2894">
      <w:pPr>
        <w:spacing w:line="360" w:lineRule="auto"/>
        <w:jc w:val="both"/>
        <w:rPr>
          <w:rFonts w:ascii="Arial" w:hAnsi="Arial" w:cs="Arial"/>
          <w:sz w:val="20"/>
          <w:szCs w:val="20"/>
        </w:rPr>
      </w:pPr>
    </w:p>
    <w:p w14:paraId="50512D5A" w14:textId="65F89CE9" w:rsidR="00A9764A" w:rsidRPr="006F2894" w:rsidRDefault="00A9764A" w:rsidP="006F2894">
      <w:pPr>
        <w:pBdr>
          <w:bottom w:val="single" w:sz="6" w:space="1" w:color="auto"/>
        </w:pBdr>
        <w:spacing w:line="360" w:lineRule="auto"/>
        <w:jc w:val="both"/>
        <w:rPr>
          <w:rFonts w:ascii="Arial" w:hAnsi="Arial" w:cs="Arial"/>
          <w:bCs/>
          <w:sz w:val="20"/>
          <w:szCs w:val="20"/>
        </w:rPr>
      </w:pPr>
      <w:r w:rsidRPr="006F2894">
        <w:rPr>
          <w:rFonts w:ascii="Arial" w:hAnsi="Arial" w:cs="Arial"/>
          <w:sz w:val="20"/>
          <w:szCs w:val="20"/>
        </w:rPr>
        <w:t xml:space="preserve">There is a clear and significant benefit to using enoxaparin over unfractionated heparin in terms of therapeutic anticoagulation. The purpose of this study is to determine whether the two dose regimes of </w:t>
      </w:r>
      <w:r w:rsidRPr="006F2894">
        <w:rPr>
          <w:rFonts w:ascii="Arial" w:hAnsi="Arial" w:cs="Arial"/>
          <w:sz w:val="20"/>
          <w:szCs w:val="20"/>
        </w:rPr>
        <w:lastRenderedPageBreak/>
        <w:t>enoxaparin differ in terms of post procedural DWI lesions (thromboembolic events) and puncture site complications.</w:t>
      </w:r>
    </w:p>
    <w:p w14:paraId="670445E7" w14:textId="77777777" w:rsidR="00442555" w:rsidRPr="00A9764A" w:rsidRDefault="00442555" w:rsidP="007A3A88">
      <w:pPr>
        <w:pBdr>
          <w:bottom w:val="single" w:sz="6" w:space="1" w:color="auto"/>
        </w:pBdr>
        <w:spacing w:line="360" w:lineRule="auto"/>
        <w:jc w:val="both"/>
        <w:rPr>
          <w:rFonts w:ascii="Arial" w:hAnsi="Arial"/>
          <w:bCs/>
          <w:sz w:val="20"/>
          <w:szCs w:val="20"/>
        </w:rPr>
      </w:pPr>
    </w:p>
    <w:p w14:paraId="0B3A739F" w14:textId="77777777" w:rsidR="006438F5" w:rsidRDefault="006438F5" w:rsidP="007A3A88">
      <w:pPr>
        <w:pBdr>
          <w:bottom w:val="single" w:sz="6" w:space="1" w:color="auto"/>
        </w:pBdr>
        <w:spacing w:line="360" w:lineRule="auto"/>
        <w:jc w:val="both"/>
        <w:rPr>
          <w:rFonts w:ascii="Arial" w:hAnsi="Arial"/>
          <w:b/>
          <w:sz w:val="20"/>
          <w:szCs w:val="20"/>
        </w:rPr>
      </w:pPr>
    </w:p>
    <w:p w14:paraId="4B2A0FAE" w14:textId="77777777" w:rsidR="006E55AB" w:rsidRDefault="006E55AB" w:rsidP="007A3A88">
      <w:pPr>
        <w:spacing w:line="360" w:lineRule="auto"/>
        <w:jc w:val="both"/>
        <w:rPr>
          <w:rFonts w:ascii="Arial" w:hAnsi="Arial"/>
          <w:b/>
          <w:sz w:val="20"/>
          <w:szCs w:val="20"/>
        </w:rPr>
      </w:pPr>
    </w:p>
    <w:p w14:paraId="047B3FB3" w14:textId="119B3143" w:rsidR="009704BE" w:rsidRDefault="003D26F8" w:rsidP="007A3A88">
      <w:pPr>
        <w:spacing w:line="360" w:lineRule="auto"/>
        <w:jc w:val="both"/>
        <w:rPr>
          <w:rFonts w:ascii="Arial" w:hAnsi="Arial"/>
          <w:b/>
          <w:color w:val="31849B" w:themeColor="accent5" w:themeShade="BF"/>
          <w:sz w:val="20"/>
          <w:szCs w:val="20"/>
        </w:rPr>
      </w:pPr>
      <w:r>
        <w:rPr>
          <w:rFonts w:ascii="Arial" w:hAnsi="Arial"/>
          <w:b/>
          <w:color w:val="31849B" w:themeColor="accent5" w:themeShade="BF"/>
          <w:sz w:val="20"/>
          <w:szCs w:val="20"/>
        </w:rPr>
        <w:t>Aims /</w:t>
      </w:r>
      <w:r w:rsidR="009704BE" w:rsidRPr="00096021">
        <w:rPr>
          <w:rFonts w:ascii="Arial" w:hAnsi="Arial"/>
          <w:b/>
          <w:color w:val="31849B" w:themeColor="accent5" w:themeShade="BF"/>
          <w:sz w:val="20"/>
          <w:szCs w:val="20"/>
        </w:rPr>
        <w:t xml:space="preserve"> </w:t>
      </w:r>
      <w:r>
        <w:rPr>
          <w:rFonts w:ascii="Arial" w:hAnsi="Arial"/>
          <w:b/>
          <w:color w:val="31849B" w:themeColor="accent5" w:themeShade="BF"/>
          <w:sz w:val="20"/>
          <w:szCs w:val="20"/>
        </w:rPr>
        <w:t>O</w:t>
      </w:r>
      <w:r w:rsidR="009704BE" w:rsidRPr="00096021">
        <w:rPr>
          <w:rFonts w:ascii="Arial" w:hAnsi="Arial"/>
          <w:b/>
          <w:color w:val="31849B" w:themeColor="accent5" w:themeShade="BF"/>
          <w:sz w:val="20"/>
          <w:szCs w:val="20"/>
        </w:rPr>
        <w:t>bjectives</w:t>
      </w:r>
    </w:p>
    <w:p w14:paraId="7A9591E9" w14:textId="5E1DAA29" w:rsidR="007904CC" w:rsidRPr="007F5E90" w:rsidRDefault="007904CC" w:rsidP="007A3A88">
      <w:pPr>
        <w:spacing w:line="360" w:lineRule="auto"/>
        <w:jc w:val="both"/>
        <w:rPr>
          <w:rFonts w:ascii="Arial" w:hAnsi="Arial"/>
          <w:sz w:val="20"/>
          <w:szCs w:val="20"/>
        </w:rPr>
      </w:pPr>
      <w:r w:rsidRPr="007F5E90">
        <w:rPr>
          <w:rFonts w:ascii="Arial" w:hAnsi="Arial"/>
          <w:sz w:val="20"/>
          <w:szCs w:val="20"/>
        </w:rPr>
        <w:t xml:space="preserve">Patients undergoing elective endovascular aneurysm treatments will be divided into </w:t>
      </w:r>
      <w:r w:rsidR="008D6853">
        <w:rPr>
          <w:rFonts w:ascii="Arial" w:hAnsi="Arial"/>
          <w:sz w:val="20"/>
          <w:szCs w:val="20"/>
        </w:rPr>
        <w:t>two</w:t>
      </w:r>
      <w:r w:rsidRPr="007F5E90">
        <w:rPr>
          <w:rFonts w:ascii="Arial" w:hAnsi="Arial"/>
          <w:sz w:val="20"/>
          <w:szCs w:val="20"/>
        </w:rPr>
        <w:t xml:space="preserve"> anticoagulation ‘arms’, each with a differing anticoagulation regimen. Outcomes between these groups will be assessed with respect to the following </w:t>
      </w:r>
      <w:r w:rsidR="00251020">
        <w:rPr>
          <w:rFonts w:ascii="Arial" w:hAnsi="Arial"/>
          <w:sz w:val="20"/>
          <w:szCs w:val="20"/>
        </w:rPr>
        <w:t>outcomes</w:t>
      </w:r>
      <w:r w:rsidRPr="007F5E90">
        <w:rPr>
          <w:rFonts w:ascii="Arial" w:hAnsi="Arial"/>
          <w:sz w:val="20"/>
          <w:szCs w:val="20"/>
        </w:rPr>
        <w:t>:</w:t>
      </w:r>
    </w:p>
    <w:p w14:paraId="72062EBA" w14:textId="77777777" w:rsidR="007904CC" w:rsidRPr="00096021" w:rsidRDefault="007904CC" w:rsidP="007A3A88">
      <w:pPr>
        <w:spacing w:line="360" w:lineRule="auto"/>
        <w:jc w:val="both"/>
        <w:rPr>
          <w:rFonts w:ascii="Arial" w:hAnsi="Arial"/>
          <w:b/>
          <w:color w:val="31849B" w:themeColor="accent5" w:themeShade="BF"/>
          <w:sz w:val="20"/>
          <w:szCs w:val="20"/>
        </w:rPr>
      </w:pPr>
    </w:p>
    <w:p w14:paraId="0910F352" w14:textId="00AED547" w:rsidR="00224F64" w:rsidRDefault="00224F64" w:rsidP="00224F64">
      <w:pPr>
        <w:spacing w:line="360" w:lineRule="auto"/>
        <w:jc w:val="both"/>
        <w:rPr>
          <w:rFonts w:ascii="Arial" w:hAnsi="Arial"/>
          <w:i/>
          <w:sz w:val="20"/>
          <w:szCs w:val="20"/>
        </w:rPr>
      </w:pPr>
      <w:r w:rsidRPr="00A125F2">
        <w:rPr>
          <w:rFonts w:ascii="Arial" w:hAnsi="Arial"/>
          <w:i/>
          <w:sz w:val="20"/>
          <w:szCs w:val="20"/>
        </w:rPr>
        <w:t>Primary</w:t>
      </w:r>
      <w:r w:rsidR="00B348D5">
        <w:rPr>
          <w:rFonts w:ascii="Arial" w:hAnsi="Arial"/>
          <w:i/>
          <w:sz w:val="20"/>
          <w:szCs w:val="20"/>
        </w:rPr>
        <w:t xml:space="preserve"> outcome</w:t>
      </w:r>
    </w:p>
    <w:p w14:paraId="3DA549E7" w14:textId="13C17FAC" w:rsidR="00224F64" w:rsidRDefault="00795E42" w:rsidP="007A3A88">
      <w:pPr>
        <w:spacing w:line="360" w:lineRule="auto"/>
        <w:jc w:val="both"/>
        <w:rPr>
          <w:rFonts w:ascii="Arial" w:hAnsi="Arial"/>
          <w:sz w:val="20"/>
          <w:szCs w:val="20"/>
        </w:rPr>
      </w:pPr>
      <w:r>
        <w:rPr>
          <w:rFonts w:ascii="Arial" w:hAnsi="Arial"/>
          <w:sz w:val="20"/>
          <w:szCs w:val="20"/>
        </w:rPr>
        <w:t xml:space="preserve">The proportion of patients </w:t>
      </w:r>
      <w:r w:rsidR="002F48C6">
        <w:rPr>
          <w:rFonts w:ascii="Arial" w:hAnsi="Arial"/>
          <w:sz w:val="20"/>
          <w:szCs w:val="20"/>
        </w:rPr>
        <w:t xml:space="preserve">per group </w:t>
      </w:r>
      <w:r w:rsidR="00F8684D">
        <w:rPr>
          <w:rFonts w:ascii="Arial" w:hAnsi="Arial"/>
          <w:sz w:val="20"/>
          <w:szCs w:val="20"/>
        </w:rPr>
        <w:t xml:space="preserve">who develop </w:t>
      </w:r>
      <w:r w:rsidR="001862FC">
        <w:rPr>
          <w:rFonts w:ascii="Arial" w:hAnsi="Arial"/>
          <w:sz w:val="20"/>
          <w:szCs w:val="20"/>
        </w:rPr>
        <w:t xml:space="preserve">thromboembolic </w:t>
      </w:r>
      <w:r w:rsidR="000A37EB">
        <w:rPr>
          <w:rFonts w:ascii="Arial" w:hAnsi="Arial"/>
          <w:sz w:val="20"/>
          <w:szCs w:val="20"/>
        </w:rPr>
        <w:t>events</w:t>
      </w:r>
      <w:r w:rsidR="001862FC">
        <w:rPr>
          <w:rFonts w:ascii="Arial" w:hAnsi="Arial"/>
          <w:sz w:val="20"/>
          <w:szCs w:val="20"/>
        </w:rPr>
        <w:t xml:space="preserve"> detected</w:t>
      </w:r>
      <w:r w:rsidR="009E69EE">
        <w:rPr>
          <w:rFonts w:ascii="Arial" w:hAnsi="Arial"/>
          <w:sz w:val="20"/>
          <w:szCs w:val="20"/>
        </w:rPr>
        <w:t xml:space="preserve"> </w:t>
      </w:r>
      <w:r w:rsidR="004073D4">
        <w:rPr>
          <w:rFonts w:ascii="Arial" w:hAnsi="Arial"/>
          <w:sz w:val="20"/>
          <w:szCs w:val="20"/>
        </w:rPr>
        <w:t>as lesions on</w:t>
      </w:r>
      <w:r w:rsidR="009E69EE">
        <w:rPr>
          <w:rFonts w:ascii="Arial" w:hAnsi="Arial"/>
          <w:sz w:val="20"/>
          <w:szCs w:val="20"/>
        </w:rPr>
        <w:t xml:space="preserve"> DWI </w:t>
      </w:r>
      <w:r w:rsidR="004E7EF3">
        <w:rPr>
          <w:rFonts w:ascii="Arial" w:hAnsi="Arial"/>
          <w:sz w:val="20"/>
          <w:szCs w:val="20"/>
        </w:rPr>
        <w:t xml:space="preserve">MRI </w:t>
      </w:r>
      <w:r w:rsidR="00752784">
        <w:rPr>
          <w:rFonts w:ascii="Arial" w:hAnsi="Arial"/>
          <w:sz w:val="20"/>
          <w:szCs w:val="20"/>
        </w:rPr>
        <w:t xml:space="preserve">within 48 hours </w:t>
      </w:r>
      <w:r w:rsidR="00EC1612">
        <w:rPr>
          <w:rFonts w:ascii="Arial" w:hAnsi="Arial"/>
          <w:sz w:val="20"/>
          <w:szCs w:val="20"/>
        </w:rPr>
        <w:t xml:space="preserve">post </w:t>
      </w:r>
      <w:r w:rsidR="005E2859">
        <w:rPr>
          <w:rFonts w:ascii="Arial" w:hAnsi="Arial"/>
          <w:sz w:val="20"/>
          <w:szCs w:val="20"/>
        </w:rPr>
        <w:t>endovascular treatment of intracranial aneurysm</w:t>
      </w:r>
      <w:r w:rsidR="00503838">
        <w:rPr>
          <w:rFonts w:ascii="Arial" w:hAnsi="Arial"/>
          <w:sz w:val="20"/>
          <w:szCs w:val="20"/>
        </w:rPr>
        <w:t>s</w:t>
      </w:r>
      <w:r w:rsidR="009448ED">
        <w:rPr>
          <w:rFonts w:ascii="Arial" w:hAnsi="Arial"/>
          <w:sz w:val="20"/>
          <w:szCs w:val="20"/>
        </w:rPr>
        <w:t xml:space="preserve"> </w:t>
      </w:r>
    </w:p>
    <w:p w14:paraId="1EF31FDE" w14:textId="453BAA52" w:rsidR="009448ED" w:rsidRDefault="009448ED" w:rsidP="009448ED">
      <w:pPr>
        <w:pStyle w:val="ListParagraph"/>
        <w:numPr>
          <w:ilvl w:val="0"/>
          <w:numId w:val="12"/>
        </w:numPr>
        <w:spacing w:line="360" w:lineRule="auto"/>
        <w:jc w:val="both"/>
        <w:rPr>
          <w:rFonts w:ascii="Arial" w:hAnsi="Arial"/>
          <w:sz w:val="20"/>
          <w:szCs w:val="20"/>
        </w:rPr>
      </w:pPr>
      <w:r>
        <w:rPr>
          <w:rFonts w:ascii="Arial" w:hAnsi="Arial"/>
          <w:sz w:val="20"/>
          <w:szCs w:val="20"/>
        </w:rPr>
        <w:t xml:space="preserve">Thromboembolic </w:t>
      </w:r>
      <w:r w:rsidR="000A37EB">
        <w:rPr>
          <w:rFonts w:ascii="Arial" w:hAnsi="Arial"/>
          <w:sz w:val="20"/>
          <w:szCs w:val="20"/>
        </w:rPr>
        <w:t xml:space="preserve">events </w:t>
      </w:r>
      <w:r w:rsidR="00000819">
        <w:rPr>
          <w:rFonts w:ascii="Arial" w:hAnsi="Arial"/>
          <w:sz w:val="20"/>
          <w:szCs w:val="20"/>
        </w:rPr>
        <w:t>will be further characteri</w:t>
      </w:r>
      <w:r w:rsidR="007C7002">
        <w:rPr>
          <w:rFonts w:ascii="Arial" w:hAnsi="Arial"/>
          <w:sz w:val="20"/>
          <w:szCs w:val="20"/>
        </w:rPr>
        <w:t>se</w:t>
      </w:r>
      <w:r w:rsidR="00000819">
        <w:rPr>
          <w:rFonts w:ascii="Arial" w:hAnsi="Arial"/>
          <w:sz w:val="20"/>
          <w:szCs w:val="20"/>
        </w:rPr>
        <w:t>d as clinically evident or clinically silent</w:t>
      </w:r>
      <w:r w:rsidR="005C39AE">
        <w:rPr>
          <w:rFonts w:ascii="Arial" w:hAnsi="Arial"/>
          <w:sz w:val="20"/>
          <w:szCs w:val="20"/>
        </w:rPr>
        <w:t xml:space="preserve"> </w:t>
      </w:r>
      <w:r>
        <w:rPr>
          <w:rFonts w:ascii="Arial" w:hAnsi="Arial"/>
          <w:sz w:val="20"/>
          <w:szCs w:val="20"/>
        </w:rPr>
        <w:t xml:space="preserve"> </w:t>
      </w:r>
    </w:p>
    <w:p w14:paraId="30EF6324" w14:textId="3D35C766" w:rsidR="000D6C9E" w:rsidRDefault="000D6C9E" w:rsidP="000D6C9E">
      <w:pPr>
        <w:pStyle w:val="ListParagraph"/>
        <w:numPr>
          <w:ilvl w:val="1"/>
          <w:numId w:val="12"/>
        </w:numPr>
        <w:spacing w:line="360" w:lineRule="auto"/>
        <w:jc w:val="both"/>
        <w:rPr>
          <w:rFonts w:ascii="Arial" w:hAnsi="Arial"/>
          <w:sz w:val="20"/>
          <w:szCs w:val="20"/>
        </w:rPr>
      </w:pPr>
      <w:r>
        <w:rPr>
          <w:rFonts w:ascii="Arial" w:hAnsi="Arial"/>
          <w:sz w:val="20"/>
          <w:szCs w:val="20"/>
        </w:rPr>
        <w:t>Clinically evident ischaemic lesion (CEIL)</w:t>
      </w:r>
      <w:r w:rsidR="00B82EA8">
        <w:rPr>
          <w:rFonts w:ascii="Arial" w:hAnsi="Arial"/>
          <w:sz w:val="20"/>
          <w:szCs w:val="20"/>
        </w:rPr>
        <w:t xml:space="preserve"> – Defined as the presence of </w:t>
      </w:r>
      <w:r w:rsidR="00EC4383">
        <w:rPr>
          <w:rFonts w:ascii="Arial" w:hAnsi="Arial"/>
          <w:sz w:val="20"/>
          <w:szCs w:val="20"/>
        </w:rPr>
        <w:t xml:space="preserve">new DWI brain lesions AND </w:t>
      </w:r>
      <w:r w:rsidR="00FD0323">
        <w:rPr>
          <w:rFonts w:ascii="Arial" w:hAnsi="Arial"/>
          <w:sz w:val="20"/>
          <w:szCs w:val="20"/>
        </w:rPr>
        <w:t>an acute event of cerebrovascular origin causing focal or global neurological dysfunction, lasting either &lt;24 hours (</w:t>
      </w:r>
      <w:r w:rsidR="00855033">
        <w:rPr>
          <w:rFonts w:ascii="Arial" w:hAnsi="Arial"/>
          <w:sz w:val="20"/>
          <w:szCs w:val="20"/>
        </w:rPr>
        <w:t>TIA) or &gt;24 hours</w:t>
      </w:r>
    </w:p>
    <w:p w14:paraId="532F5C36" w14:textId="64AC7104" w:rsidR="00855033" w:rsidRPr="009448ED" w:rsidRDefault="00855033" w:rsidP="000D6C9E">
      <w:pPr>
        <w:pStyle w:val="ListParagraph"/>
        <w:numPr>
          <w:ilvl w:val="1"/>
          <w:numId w:val="12"/>
        </w:numPr>
        <w:spacing w:line="360" w:lineRule="auto"/>
        <w:jc w:val="both"/>
        <w:rPr>
          <w:rFonts w:ascii="Arial" w:hAnsi="Arial"/>
          <w:sz w:val="20"/>
          <w:szCs w:val="20"/>
        </w:rPr>
      </w:pPr>
      <w:r>
        <w:rPr>
          <w:rFonts w:ascii="Arial" w:hAnsi="Arial"/>
          <w:sz w:val="20"/>
          <w:szCs w:val="20"/>
        </w:rPr>
        <w:t xml:space="preserve">Clinically silent ischaemic lesion (CSIL) </w:t>
      </w:r>
      <w:r w:rsidR="001F1E4C">
        <w:rPr>
          <w:rFonts w:ascii="Arial" w:hAnsi="Arial"/>
          <w:sz w:val="20"/>
          <w:szCs w:val="20"/>
        </w:rPr>
        <w:t>–</w:t>
      </w:r>
      <w:r>
        <w:rPr>
          <w:rFonts w:ascii="Arial" w:hAnsi="Arial"/>
          <w:sz w:val="20"/>
          <w:szCs w:val="20"/>
        </w:rPr>
        <w:t xml:space="preserve"> </w:t>
      </w:r>
      <w:r w:rsidR="001F1E4C">
        <w:rPr>
          <w:rFonts w:ascii="Arial" w:hAnsi="Arial"/>
          <w:sz w:val="20"/>
          <w:szCs w:val="20"/>
        </w:rPr>
        <w:t xml:space="preserve">Radiological evidence of ischaemic intracranial lesions without overt neurological dysfunction </w:t>
      </w:r>
    </w:p>
    <w:p w14:paraId="605E79DD" w14:textId="388B0957" w:rsidR="00497A69" w:rsidRDefault="00497A69" w:rsidP="007A3A88">
      <w:pPr>
        <w:spacing w:line="360" w:lineRule="auto"/>
        <w:jc w:val="both"/>
        <w:rPr>
          <w:rFonts w:ascii="Arial" w:hAnsi="Arial"/>
          <w:sz w:val="20"/>
          <w:szCs w:val="20"/>
        </w:rPr>
      </w:pPr>
    </w:p>
    <w:p w14:paraId="48F22260" w14:textId="07CB10E2" w:rsidR="00DB40DA" w:rsidRPr="00DB40DA" w:rsidRDefault="00DB40DA" w:rsidP="007A3A88">
      <w:pPr>
        <w:spacing w:line="360" w:lineRule="auto"/>
        <w:jc w:val="both"/>
        <w:rPr>
          <w:rFonts w:ascii="Arial" w:hAnsi="Arial"/>
          <w:i/>
          <w:iCs/>
          <w:sz w:val="20"/>
          <w:szCs w:val="20"/>
        </w:rPr>
      </w:pPr>
      <w:r w:rsidRPr="00DB40DA">
        <w:rPr>
          <w:rFonts w:ascii="Arial" w:hAnsi="Arial"/>
          <w:i/>
          <w:iCs/>
          <w:sz w:val="20"/>
          <w:szCs w:val="20"/>
        </w:rPr>
        <w:t xml:space="preserve">Secondary outcome </w:t>
      </w:r>
    </w:p>
    <w:p w14:paraId="6A2BF620" w14:textId="145373B7" w:rsidR="002D21C7" w:rsidRPr="00626614" w:rsidRDefault="00662375">
      <w:pPr>
        <w:pStyle w:val="ListParagraph"/>
        <w:numPr>
          <w:ilvl w:val="0"/>
          <w:numId w:val="13"/>
        </w:numPr>
        <w:spacing w:line="360" w:lineRule="auto"/>
        <w:jc w:val="both"/>
        <w:rPr>
          <w:rFonts w:ascii="Arial" w:hAnsi="Arial"/>
          <w:sz w:val="20"/>
          <w:szCs w:val="20"/>
        </w:rPr>
      </w:pPr>
      <w:r w:rsidRPr="00E51B28">
        <w:rPr>
          <w:rFonts w:ascii="Arial" w:hAnsi="Arial"/>
          <w:sz w:val="20"/>
          <w:szCs w:val="20"/>
        </w:rPr>
        <w:t xml:space="preserve">The proportion of patients </w:t>
      </w:r>
      <w:r w:rsidR="005F56CC" w:rsidRPr="00E51B28">
        <w:rPr>
          <w:rFonts w:ascii="Arial" w:hAnsi="Arial"/>
          <w:sz w:val="20"/>
          <w:szCs w:val="20"/>
        </w:rPr>
        <w:t>who experience</w:t>
      </w:r>
      <w:r w:rsidR="00F93567" w:rsidRPr="00E51B28">
        <w:rPr>
          <w:rFonts w:ascii="Arial" w:hAnsi="Arial"/>
          <w:sz w:val="20"/>
          <w:szCs w:val="20"/>
        </w:rPr>
        <w:t xml:space="preserve"> </w:t>
      </w:r>
      <w:r w:rsidR="00CC4F31">
        <w:rPr>
          <w:rFonts w:ascii="Arial" w:hAnsi="Arial"/>
          <w:sz w:val="20"/>
          <w:szCs w:val="20"/>
        </w:rPr>
        <w:t xml:space="preserve">a </w:t>
      </w:r>
      <w:r w:rsidR="00F93567" w:rsidRPr="00E51B28">
        <w:rPr>
          <w:rFonts w:ascii="Arial" w:hAnsi="Arial"/>
          <w:sz w:val="20"/>
          <w:szCs w:val="20"/>
        </w:rPr>
        <w:t>puncture site complication</w:t>
      </w:r>
      <w:r w:rsidR="00787F60">
        <w:rPr>
          <w:rFonts w:ascii="Arial" w:hAnsi="Arial"/>
          <w:sz w:val="20"/>
          <w:szCs w:val="20"/>
        </w:rPr>
        <w:t xml:space="preserve"> </w:t>
      </w:r>
    </w:p>
    <w:p w14:paraId="7828267D" w14:textId="47640515" w:rsidR="00694BD6" w:rsidRDefault="00694BD6" w:rsidP="00694BD6">
      <w:pPr>
        <w:spacing w:line="360" w:lineRule="auto"/>
        <w:jc w:val="both"/>
        <w:rPr>
          <w:rFonts w:ascii="Arial" w:hAnsi="Arial"/>
          <w:sz w:val="20"/>
          <w:szCs w:val="20"/>
        </w:rPr>
      </w:pPr>
    </w:p>
    <w:p w14:paraId="6323DB68" w14:textId="125E34C5" w:rsidR="00694BD6" w:rsidRPr="00694BD6" w:rsidRDefault="00694BD6" w:rsidP="00694BD6">
      <w:pPr>
        <w:spacing w:line="360" w:lineRule="auto"/>
        <w:jc w:val="both"/>
        <w:rPr>
          <w:rFonts w:ascii="Arial" w:hAnsi="Arial"/>
          <w:i/>
          <w:iCs/>
          <w:sz w:val="20"/>
          <w:szCs w:val="20"/>
        </w:rPr>
      </w:pPr>
      <w:r w:rsidRPr="00694BD6">
        <w:rPr>
          <w:rFonts w:ascii="Arial" w:hAnsi="Arial"/>
          <w:i/>
          <w:iCs/>
          <w:sz w:val="20"/>
          <w:szCs w:val="20"/>
        </w:rPr>
        <w:t>Tertiary outcomes</w:t>
      </w:r>
    </w:p>
    <w:p w14:paraId="117599D0" w14:textId="179AFF28" w:rsidR="001E58F4" w:rsidRDefault="001E58F4" w:rsidP="00694BD6">
      <w:pPr>
        <w:pStyle w:val="ListParagraph"/>
        <w:numPr>
          <w:ilvl w:val="0"/>
          <w:numId w:val="14"/>
        </w:numPr>
        <w:spacing w:line="360" w:lineRule="auto"/>
        <w:jc w:val="both"/>
        <w:rPr>
          <w:rFonts w:ascii="Arial" w:hAnsi="Arial"/>
          <w:sz w:val="20"/>
          <w:szCs w:val="20"/>
        </w:rPr>
      </w:pPr>
      <w:r>
        <w:rPr>
          <w:rFonts w:ascii="Arial" w:hAnsi="Arial"/>
          <w:sz w:val="20"/>
          <w:szCs w:val="20"/>
        </w:rPr>
        <w:t xml:space="preserve">Frequency of </w:t>
      </w:r>
      <w:r w:rsidR="000E474E">
        <w:rPr>
          <w:rFonts w:ascii="Arial" w:hAnsi="Arial"/>
          <w:sz w:val="20"/>
          <w:szCs w:val="20"/>
        </w:rPr>
        <w:t xml:space="preserve">new parenchymal </w:t>
      </w:r>
      <w:r w:rsidR="0015584D">
        <w:rPr>
          <w:rFonts w:ascii="Arial" w:hAnsi="Arial"/>
          <w:sz w:val="20"/>
          <w:szCs w:val="20"/>
        </w:rPr>
        <w:t>susceptibility weighted imaging (</w:t>
      </w:r>
      <w:r w:rsidR="000E474E">
        <w:rPr>
          <w:rFonts w:ascii="Arial" w:hAnsi="Arial"/>
          <w:sz w:val="20"/>
          <w:szCs w:val="20"/>
        </w:rPr>
        <w:t>SWI</w:t>
      </w:r>
      <w:r w:rsidR="0015584D">
        <w:rPr>
          <w:rFonts w:ascii="Arial" w:hAnsi="Arial"/>
          <w:sz w:val="20"/>
          <w:szCs w:val="20"/>
        </w:rPr>
        <w:t>)</w:t>
      </w:r>
      <w:r w:rsidR="000E474E">
        <w:rPr>
          <w:rFonts w:ascii="Arial" w:hAnsi="Arial"/>
          <w:sz w:val="20"/>
          <w:szCs w:val="20"/>
        </w:rPr>
        <w:t xml:space="preserve"> lesions</w:t>
      </w:r>
      <w:r w:rsidR="00C45215">
        <w:rPr>
          <w:rFonts w:ascii="Arial" w:hAnsi="Arial"/>
          <w:sz w:val="20"/>
          <w:szCs w:val="20"/>
        </w:rPr>
        <w:t xml:space="preserve"> in the brain</w:t>
      </w:r>
      <w:r w:rsidR="00095EB9">
        <w:rPr>
          <w:rFonts w:ascii="Arial" w:hAnsi="Arial"/>
          <w:sz w:val="20"/>
          <w:szCs w:val="20"/>
        </w:rPr>
        <w:t xml:space="preserve"> (which may signify microbleeds)</w:t>
      </w:r>
    </w:p>
    <w:p w14:paraId="4D3CC887" w14:textId="515568E3" w:rsidR="00E51B28" w:rsidRDefault="00E51B28" w:rsidP="00694BD6">
      <w:pPr>
        <w:pStyle w:val="ListParagraph"/>
        <w:numPr>
          <w:ilvl w:val="0"/>
          <w:numId w:val="14"/>
        </w:numPr>
        <w:spacing w:line="360" w:lineRule="auto"/>
        <w:jc w:val="both"/>
        <w:rPr>
          <w:rFonts w:ascii="Arial" w:hAnsi="Arial"/>
          <w:sz w:val="20"/>
          <w:szCs w:val="20"/>
        </w:rPr>
      </w:pPr>
      <w:r>
        <w:rPr>
          <w:rFonts w:ascii="Arial" w:hAnsi="Arial"/>
          <w:sz w:val="20"/>
          <w:szCs w:val="20"/>
        </w:rPr>
        <w:t xml:space="preserve">Frequency of </w:t>
      </w:r>
      <w:r w:rsidR="002C11B4">
        <w:rPr>
          <w:rFonts w:ascii="Arial" w:hAnsi="Arial"/>
          <w:sz w:val="20"/>
          <w:szCs w:val="20"/>
        </w:rPr>
        <w:t xml:space="preserve">haemorrhage </w:t>
      </w:r>
      <w:r w:rsidR="001E58F4">
        <w:rPr>
          <w:rFonts w:ascii="Arial" w:hAnsi="Arial"/>
          <w:sz w:val="20"/>
          <w:szCs w:val="20"/>
        </w:rPr>
        <w:t>(major and minor)</w:t>
      </w:r>
    </w:p>
    <w:p w14:paraId="54A5BDFB" w14:textId="242D37CA" w:rsidR="00A371F0" w:rsidRDefault="00A371F0" w:rsidP="00694BD6">
      <w:pPr>
        <w:pStyle w:val="ListParagraph"/>
        <w:numPr>
          <w:ilvl w:val="1"/>
          <w:numId w:val="14"/>
        </w:numPr>
        <w:spacing w:line="360" w:lineRule="auto"/>
        <w:jc w:val="both"/>
        <w:rPr>
          <w:rFonts w:ascii="Arial" w:hAnsi="Arial"/>
          <w:sz w:val="20"/>
          <w:szCs w:val="20"/>
        </w:rPr>
      </w:pPr>
      <w:r>
        <w:rPr>
          <w:rFonts w:ascii="Arial" w:hAnsi="Arial"/>
          <w:sz w:val="20"/>
          <w:szCs w:val="20"/>
        </w:rPr>
        <w:t xml:space="preserve">Major haemorrhage – A clinically overt haemorrhage resulting in a fall of </w:t>
      </w:r>
      <w:r w:rsidR="00517C44">
        <w:rPr>
          <w:rFonts w:ascii="Arial" w:hAnsi="Arial"/>
          <w:sz w:val="20"/>
          <w:szCs w:val="20"/>
        </w:rPr>
        <w:t>more than 30 g/L</w:t>
      </w:r>
      <w:r w:rsidR="00654E11">
        <w:rPr>
          <w:rFonts w:ascii="Arial" w:hAnsi="Arial"/>
          <w:sz w:val="20"/>
          <w:szCs w:val="20"/>
        </w:rPr>
        <w:t xml:space="preserve"> in haemoglobin; or a retroperitoneal, intracranial or intraocular haemorrhage</w:t>
      </w:r>
    </w:p>
    <w:p w14:paraId="75C2169F" w14:textId="61D00E73" w:rsidR="00D869A5" w:rsidRPr="00E51B28" w:rsidRDefault="00D869A5" w:rsidP="00694BD6">
      <w:pPr>
        <w:pStyle w:val="ListParagraph"/>
        <w:numPr>
          <w:ilvl w:val="1"/>
          <w:numId w:val="14"/>
        </w:numPr>
        <w:spacing w:line="360" w:lineRule="auto"/>
        <w:jc w:val="both"/>
        <w:rPr>
          <w:rFonts w:ascii="Arial" w:hAnsi="Arial"/>
          <w:sz w:val="20"/>
          <w:szCs w:val="20"/>
        </w:rPr>
      </w:pPr>
      <w:r>
        <w:rPr>
          <w:rFonts w:ascii="Arial" w:hAnsi="Arial"/>
          <w:sz w:val="20"/>
          <w:szCs w:val="20"/>
        </w:rPr>
        <w:t>Episodes of bleeding that were clinically overt but d</w:t>
      </w:r>
      <w:r w:rsidR="00CF2073">
        <w:rPr>
          <w:rFonts w:ascii="Arial" w:hAnsi="Arial"/>
          <w:sz w:val="20"/>
          <w:szCs w:val="20"/>
        </w:rPr>
        <w:t>o</w:t>
      </w:r>
      <w:r>
        <w:rPr>
          <w:rFonts w:ascii="Arial" w:hAnsi="Arial"/>
          <w:sz w:val="20"/>
          <w:szCs w:val="20"/>
        </w:rPr>
        <w:t xml:space="preserve"> not meet these criteria </w:t>
      </w:r>
      <w:r w:rsidR="00DF3CF1">
        <w:rPr>
          <w:rFonts w:ascii="Arial" w:hAnsi="Arial"/>
          <w:sz w:val="20"/>
          <w:szCs w:val="20"/>
        </w:rPr>
        <w:t xml:space="preserve">are </w:t>
      </w:r>
      <w:r>
        <w:rPr>
          <w:rFonts w:ascii="Arial" w:hAnsi="Arial"/>
          <w:sz w:val="20"/>
          <w:szCs w:val="20"/>
        </w:rPr>
        <w:t>considered minor haemorrhages</w:t>
      </w:r>
    </w:p>
    <w:p w14:paraId="38E37813" w14:textId="77777777" w:rsidR="00DB40DA" w:rsidRDefault="00DB40DA" w:rsidP="007A3A88">
      <w:pPr>
        <w:spacing w:line="360" w:lineRule="auto"/>
        <w:jc w:val="both"/>
        <w:rPr>
          <w:rFonts w:ascii="Arial" w:hAnsi="Arial"/>
          <w:sz w:val="20"/>
          <w:szCs w:val="20"/>
        </w:rPr>
      </w:pPr>
    </w:p>
    <w:p w14:paraId="0E58817F" w14:textId="0EF4EE5E" w:rsidR="00EB7FC2" w:rsidRDefault="00EB7FC2" w:rsidP="007A3A88">
      <w:pPr>
        <w:spacing w:line="360" w:lineRule="auto"/>
        <w:jc w:val="both"/>
        <w:rPr>
          <w:rFonts w:ascii="Arial" w:hAnsi="Arial"/>
          <w:b/>
          <w:color w:val="31849B" w:themeColor="accent5" w:themeShade="BF"/>
          <w:sz w:val="20"/>
          <w:szCs w:val="20"/>
        </w:rPr>
      </w:pPr>
      <w:r w:rsidRPr="00EB7FC2">
        <w:rPr>
          <w:rFonts w:ascii="Arial" w:hAnsi="Arial"/>
          <w:b/>
          <w:color w:val="31849B" w:themeColor="accent5" w:themeShade="BF"/>
          <w:sz w:val="20"/>
          <w:szCs w:val="20"/>
        </w:rPr>
        <w:t>Hypothesis</w:t>
      </w:r>
    </w:p>
    <w:p w14:paraId="7C077502" w14:textId="4520B67A" w:rsidR="00D7480A" w:rsidRPr="00D7480A" w:rsidRDefault="00D7480A" w:rsidP="007A3A88">
      <w:pPr>
        <w:spacing w:line="360" w:lineRule="auto"/>
        <w:jc w:val="both"/>
        <w:rPr>
          <w:rFonts w:ascii="Arial" w:hAnsi="Arial"/>
          <w:b/>
          <w:sz w:val="20"/>
          <w:szCs w:val="20"/>
        </w:rPr>
      </w:pPr>
      <w:r w:rsidRPr="00D7480A">
        <w:rPr>
          <w:rFonts w:ascii="Arial" w:hAnsi="Arial"/>
          <w:b/>
          <w:sz w:val="20"/>
          <w:szCs w:val="20"/>
        </w:rPr>
        <w:t>Primary</w:t>
      </w:r>
    </w:p>
    <w:p w14:paraId="5E363907" w14:textId="058EFA93" w:rsidR="004877A8" w:rsidRPr="00D7480A" w:rsidRDefault="00895045" w:rsidP="00D7480A">
      <w:pPr>
        <w:pStyle w:val="ListParagraph"/>
        <w:numPr>
          <w:ilvl w:val="0"/>
          <w:numId w:val="10"/>
        </w:numPr>
        <w:spacing w:line="360" w:lineRule="auto"/>
        <w:jc w:val="both"/>
        <w:rPr>
          <w:rFonts w:ascii="Arial" w:hAnsi="Arial"/>
          <w:sz w:val="20"/>
          <w:szCs w:val="20"/>
        </w:rPr>
      </w:pPr>
      <w:r w:rsidRPr="00895045">
        <w:rPr>
          <w:rFonts w:ascii="Arial" w:hAnsi="Arial"/>
          <w:sz w:val="20"/>
          <w:szCs w:val="20"/>
        </w:rPr>
        <w:t>In patients who have elective endovascular treatment of unruptured intracranial aneurysms randomised to receive anticoagulation post procedure of either enoxaparin 1.5mg/kg at T=0 OR enoxaparin 1mg/kg at T=0 and T=12hrs there is no difference in the number of thromboembolic events post procedure (new DWI lesions at T=48hrs MRI).</w:t>
      </w:r>
    </w:p>
    <w:p w14:paraId="206642A5" w14:textId="0E17829F" w:rsidR="00D7480A" w:rsidRPr="00D7480A" w:rsidRDefault="00D7480A" w:rsidP="00D7480A">
      <w:pPr>
        <w:spacing w:line="360" w:lineRule="auto"/>
        <w:jc w:val="both"/>
        <w:rPr>
          <w:rFonts w:ascii="Arial" w:hAnsi="Arial"/>
          <w:b/>
          <w:sz w:val="20"/>
          <w:szCs w:val="20"/>
        </w:rPr>
      </w:pPr>
      <w:r w:rsidRPr="00D7480A">
        <w:rPr>
          <w:rFonts w:ascii="Arial" w:hAnsi="Arial"/>
          <w:b/>
          <w:sz w:val="20"/>
          <w:szCs w:val="20"/>
        </w:rPr>
        <w:t>Secondary</w:t>
      </w:r>
    </w:p>
    <w:p w14:paraId="05D9C8B1" w14:textId="102C8A68" w:rsidR="00EB7FC2" w:rsidRPr="00D7480A" w:rsidRDefault="00B435E1" w:rsidP="00D7480A">
      <w:pPr>
        <w:pStyle w:val="ListParagraph"/>
        <w:numPr>
          <w:ilvl w:val="0"/>
          <w:numId w:val="10"/>
        </w:numPr>
        <w:spacing w:line="360" w:lineRule="auto"/>
        <w:jc w:val="both"/>
        <w:rPr>
          <w:rFonts w:ascii="Arial" w:hAnsi="Arial"/>
          <w:sz w:val="20"/>
          <w:szCs w:val="20"/>
        </w:rPr>
      </w:pPr>
      <w:r w:rsidRPr="00B435E1">
        <w:rPr>
          <w:rFonts w:ascii="Arial" w:hAnsi="Arial"/>
          <w:sz w:val="20"/>
          <w:szCs w:val="20"/>
        </w:rPr>
        <w:t xml:space="preserve">In patients who have elective endovascular treatment of unruptured intracranial aneurysms randomised to receive anticoagulation post procedure of either enoxaparin 1.5mg/kg at T=0 OR </w:t>
      </w:r>
      <w:r w:rsidRPr="00B435E1">
        <w:rPr>
          <w:rFonts w:ascii="Arial" w:hAnsi="Arial"/>
          <w:sz w:val="20"/>
          <w:szCs w:val="20"/>
        </w:rPr>
        <w:lastRenderedPageBreak/>
        <w:t>enoxaparin 1mg/kg at T=0 and T=12hrs there is no difference in the frequency of puncture site complications.</w:t>
      </w:r>
    </w:p>
    <w:p w14:paraId="6E383A3F" w14:textId="77777777" w:rsidR="00AB4F00" w:rsidRDefault="00AB4F00" w:rsidP="007A3A88">
      <w:pPr>
        <w:spacing w:line="360" w:lineRule="auto"/>
        <w:jc w:val="both"/>
        <w:rPr>
          <w:rFonts w:ascii="Arial" w:hAnsi="Arial"/>
          <w:sz w:val="20"/>
          <w:szCs w:val="20"/>
        </w:rPr>
      </w:pPr>
    </w:p>
    <w:p w14:paraId="21AFCE98" w14:textId="77777777" w:rsidR="00BF7CA6" w:rsidRPr="004D06BB" w:rsidRDefault="00BF7CA6" w:rsidP="007A3A88">
      <w:pPr>
        <w:spacing w:line="360" w:lineRule="auto"/>
        <w:jc w:val="both"/>
        <w:rPr>
          <w:rFonts w:ascii="Arial" w:hAnsi="Arial"/>
          <w:b/>
          <w:color w:val="31849B" w:themeColor="accent5" w:themeShade="BF"/>
          <w:sz w:val="20"/>
          <w:szCs w:val="20"/>
        </w:rPr>
      </w:pPr>
      <w:r w:rsidRPr="004D06BB">
        <w:rPr>
          <w:rFonts w:ascii="Arial" w:hAnsi="Arial"/>
          <w:b/>
          <w:color w:val="31849B" w:themeColor="accent5" w:themeShade="BF"/>
          <w:sz w:val="20"/>
          <w:szCs w:val="20"/>
        </w:rPr>
        <w:t>Method</w:t>
      </w:r>
    </w:p>
    <w:p w14:paraId="378E6297" w14:textId="70BD9F29" w:rsidR="00793A50" w:rsidRDefault="009C4013" w:rsidP="00793A50">
      <w:pPr>
        <w:spacing w:line="360" w:lineRule="auto"/>
        <w:jc w:val="both"/>
        <w:rPr>
          <w:rFonts w:ascii="Arial" w:hAnsi="Arial"/>
          <w:sz w:val="20"/>
          <w:szCs w:val="20"/>
        </w:rPr>
      </w:pPr>
      <w:r w:rsidRPr="009C4013">
        <w:rPr>
          <w:rFonts w:ascii="Arial" w:hAnsi="Arial"/>
          <w:sz w:val="20"/>
          <w:szCs w:val="20"/>
        </w:rPr>
        <w:t>Patients presenting for an aneurysm coiling who fit the inclusion criteria will be recruited for the study pre-operatively. Informed consent will be obtained. A brain MRI will be obtained pre-operatively, utili</w:t>
      </w:r>
      <w:r w:rsidR="0099006F">
        <w:rPr>
          <w:rFonts w:ascii="Arial" w:hAnsi="Arial"/>
          <w:sz w:val="20"/>
          <w:szCs w:val="20"/>
        </w:rPr>
        <w:t>s</w:t>
      </w:r>
      <w:r w:rsidRPr="009C4013">
        <w:rPr>
          <w:rFonts w:ascii="Arial" w:hAnsi="Arial"/>
          <w:sz w:val="20"/>
          <w:szCs w:val="20"/>
        </w:rPr>
        <w:t>ing DWI, SWI and Axial FLAIR sequences in addition to standard of care imaging. Patients will undergo the endovascular coiling/stenting procedure as per local protocol and will subsequently be randomi</w:t>
      </w:r>
      <w:r>
        <w:rPr>
          <w:rFonts w:ascii="Arial" w:hAnsi="Arial"/>
          <w:sz w:val="20"/>
          <w:szCs w:val="20"/>
        </w:rPr>
        <w:t>s</w:t>
      </w:r>
      <w:r w:rsidRPr="009C4013">
        <w:rPr>
          <w:rFonts w:ascii="Arial" w:hAnsi="Arial"/>
          <w:sz w:val="20"/>
          <w:szCs w:val="20"/>
        </w:rPr>
        <w:t xml:space="preserve">ed into one of </w:t>
      </w:r>
      <w:r w:rsidR="00E6586D">
        <w:rPr>
          <w:rFonts w:ascii="Arial" w:hAnsi="Arial"/>
          <w:sz w:val="20"/>
          <w:szCs w:val="20"/>
        </w:rPr>
        <w:t>two</w:t>
      </w:r>
      <w:r w:rsidRPr="009C4013">
        <w:rPr>
          <w:rFonts w:ascii="Arial" w:hAnsi="Arial"/>
          <w:sz w:val="20"/>
          <w:szCs w:val="20"/>
        </w:rPr>
        <w:t xml:space="preserve"> categories of </w:t>
      </w:r>
      <w:r w:rsidR="00E6586D">
        <w:rPr>
          <w:rFonts w:ascii="Arial" w:hAnsi="Arial"/>
          <w:sz w:val="20"/>
          <w:szCs w:val="20"/>
        </w:rPr>
        <w:t>enoxaparin</w:t>
      </w:r>
      <w:r w:rsidRPr="009C4013">
        <w:rPr>
          <w:rFonts w:ascii="Arial" w:hAnsi="Arial"/>
          <w:sz w:val="20"/>
          <w:szCs w:val="20"/>
        </w:rPr>
        <w:t xml:space="preserve"> administration (see below).</w:t>
      </w:r>
      <w:r w:rsidR="007723F0">
        <w:rPr>
          <w:rFonts w:ascii="Arial" w:hAnsi="Arial"/>
          <w:sz w:val="20"/>
          <w:szCs w:val="20"/>
        </w:rPr>
        <w:t xml:space="preserve"> </w:t>
      </w:r>
      <w:r w:rsidR="007723F0" w:rsidRPr="007723F0">
        <w:rPr>
          <w:rFonts w:ascii="Arial" w:hAnsi="Arial"/>
          <w:sz w:val="20"/>
          <w:szCs w:val="20"/>
        </w:rPr>
        <w:t xml:space="preserve">Outcomes will be assessed starting from removal of the vascular sheath and </w:t>
      </w:r>
      <w:r w:rsidR="00F407F1">
        <w:rPr>
          <w:rFonts w:ascii="Arial" w:hAnsi="Arial"/>
          <w:sz w:val="20"/>
          <w:szCs w:val="20"/>
        </w:rPr>
        <w:t xml:space="preserve">extending </w:t>
      </w:r>
      <w:r w:rsidR="00CD38B4">
        <w:rPr>
          <w:rFonts w:ascii="Arial" w:hAnsi="Arial"/>
          <w:sz w:val="20"/>
          <w:szCs w:val="20"/>
        </w:rPr>
        <w:t>unti</w:t>
      </w:r>
      <w:r w:rsidR="00F2525B">
        <w:rPr>
          <w:rFonts w:ascii="Arial" w:hAnsi="Arial"/>
          <w:sz w:val="20"/>
          <w:szCs w:val="20"/>
        </w:rPr>
        <w:t xml:space="preserve">l </w:t>
      </w:r>
      <w:r w:rsidR="0004250B">
        <w:rPr>
          <w:rFonts w:ascii="Arial" w:hAnsi="Arial"/>
          <w:sz w:val="20"/>
          <w:szCs w:val="20"/>
        </w:rPr>
        <w:t>48 hours post procedure</w:t>
      </w:r>
      <w:r w:rsidR="00CB587A">
        <w:rPr>
          <w:rFonts w:ascii="Arial" w:hAnsi="Arial"/>
          <w:sz w:val="20"/>
          <w:szCs w:val="20"/>
        </w:rPr>
        <w:t xml:space="preserve"> or ICU discharge, whichever </w:t>
      </w:r>
      <w:r w:rsidR="00D911B3">
        <w:rPr>
          <w:rFonts w:ascii="Arial" w:hAnsi="Arial"/>
          <w:sz w:val="20"/>
          <w:szCs w:val="20"/>
        </w:rPr>
        <w:t>happens</w:t>
      </w:r>
      <w:r w:rsidR="00CB587A">
        <w:rPr>
          <w:rFonts w:ascii="Arial" w:hAnsi="Arial"/>
          <w:sz w:val="20"/>
          <w:szCs w:val="20"/>
        </w:rPr>
        <w:t xml:space="preserve"> later</w:t>
      </w:r>
      <w:r w:rsidR="00793A50">
        <w:rPr>
          <w:rFonts w:ascii="Arial" w:hAnsi="Arial"/>
          <w:sz w:val="20"/>
          <w:szCs w:val="20"/>
        </w:rPr>
        <w:t>. Patients will undergo an additional brain MRI with identical imaging sequences</w:t>
      </w:r>
      <w:r w:rsidR="009D6405">
        <w:rPr>
          <w:rFonts w:ascii="Arial" w:hAnsi="Arial"/>
          <w:sz w:val="20"/>
          <w:szCs w:val="20"/>
        </w:rPr>
        <w:t xml:space="preserve"> within 48 hours post procedure</w:t>
      </w:r>
      <w:r w:rsidR="00793A50">
        <w:rPr>
          <w:rFonts w:ascii="Arial" w:hAnsi="Arial"/>
          <w:sz w:val="20"/>
          <w:szCs w:val="20"/>
        </w:rPr>
        <w:t>. Data will be collected (as per Variables section) throughout the patient’s admission.</w:t>
      </w:r>
    </w:p>
    <w:p w14:paraId="7EC4E876" w14:textId="3D95BA68" w:rsidR="005F5203" w:rsidRDefault="005F5203" w:rsidP="007A3A88">
      <w:pPr>
        <w:spacing w:line="360" w:lineRule="auto"/>
        <w:jc w:val="both"/>
        <w:rPr>
          <w:rFonts w:ascii="Arial" w:hAnsi="Arial"/>
          <w:sz w:val="20"/>
          <w:szCs w:val="20"/>
        </w:rPr>
      </w:pPr>
    </w:p>
    <w:p w14:paraId="341CF269" w14:textId="7488B6ED" w:rsidR="006C2FE6" w:rsidRDefault="006C2FE6" w:rsidP="007A3A88">
      <w:pPr>
        <w:spacing w:line="360" w:lineRule="auto"/>
        <w:jc w:val="both"/>
        <w:rPr>
          <w:rFonts w:ascii="Arial" w:hAnsi="Arial"/>
          <w:sz w:val="20"/>
          <w:szCs w:val="20"/>
        </w:rPr>
      </w:pPr>
      <w:r>
        <w:rPr>
          <w:rFonts w:ascii="Arial" w:hAnsi="Arial"/>
          <w:sz w:val="20"/>
          <w:szCs w:val="20"/>
        </w:rPr>
        <w:t>The primary outcome</w:t>
      </w:r>
      <w:r w:rsidR="00FE5533">
        <w:rPr>
          <w:rFonts w:ascii="Arial" w:hAnsi="Arial"/>
          <w:sz w:val="20"/>
          <w:szCs w:val="20"/>
        </w:rPr>
        <w:t xml:space="preserve">, thromboembolic events, will be assessed through identifying </w:t>
      </w:r>
      <w:r w:rsidR="00A10CE4">
        <w:rPr>
          <w:rFonts w:ascii="Arial" w:hAnsi="Arial"/>
          <w:sz w:val="20"/>
          <w:szCs w:val="20"/>
        </w:rPr>
        <w:t>new DWI lesions on post-procedure MRI and clinical ex</w:t>
      </w:r>
      <w:r w:rsidR="001559B6">
        <w:rPr>
          <w:rFonts w:ascii="Arial" w:hAnsi="Arial"/>
          <w:sz w:val="20"/>
          <w:szCs w:val="20"/>
        </w:rPr>
        <w:t>amination for neurological deficit (</w:t>
      </w:r>
      <w:r w:rsidR="00DE77D6">
        <w:rPr>
          <w:rFonts w:ascii="Arial" w:hAnsi="Arial"/>
          <w:sz w:val="20"/>
          <w:szCs w:val="20"/>
        </w:rPr>
        <w:t xml:space="preserve">indicating </w:t>
      </w:r>
      <w:r w:rsidR="001559B6">
        <w:rPr>
          <w:rFonts w:ascii="Arial" w:hAnsi="Arial"/>
          <w:sz w:val="20"/>
          <w:szCs w:val="20"/>
        </w:rPr>
        <w:t xml:space="preserve">CEIL) or the </w:t>
      </w:r>
      <w:r w:rsidR="00004247">
        <w:rPr>
          <w:rFonts w:ascii="Arial" w:hAnsi="Arial"/>
          <w:sz w:val="20"/>
          <w:szCs w:val="20"/>
        </w:rPr>
        <w:t>lack thereof</w:t>
      </w:r>
      <w:r w:rsidR="001559B6">
        <w:rPr>
          <w:rFonts w:ascii="Arial" w:hAnsi="Arial"/>
          <w:sz w:val="20"/>
          <w:szCs w:val="20"/>
        </w:rPr>
        <w:t xml:space="preserve"> (CSIL)</w:t>
      </w:r>
      <w:r w:rsidR="00C8619D">
        <w:rPr>
          <w:rFonts w:ascii="Arial" w:hAnsi="Arial"/>
          <w:sz w:val="20"/>
          <w:szCs w:val="20"/>
        </w:rPr>
        <w:t>.</w:t>
      </w:r>
      <w:r w:rsidR="006A7C73">
        <w:rPr>
          <w:rFonts w:ascii="Arial" w:hAnsi="Arial"/>
          <w:sz w:val="20"/>
          <w:szCs w:val="20"/>
        </w:rPr>
        <w:t xml:space="preserve"> The number of </w:t>
      </w:r>
      <w:r w:rsidR="00FD37DE">
        <w:rPr>
          <w:rFonts w:ascii="Arial" w:hAnsi="Arial"/>
          <w:sz w:val="20"/>
          <w:szCs w:val="20"/>
        </w:rPr>
        <w:t>DWI brain lesions</w:t>
      </w:r>
      <w:r w:rsidR="006A7C73">
        <w:rPr>
          <w:rFonts w:ascii="Arial" w:hAnsi="Arial"/>
          <w:sz w:val="20"/>
          <w:szCs w:val="20"/>
        </w:rPr>
        <w:t xml:space="preserve"> will be interpreted by </w:t>
      </w:r>
      <w:r w:rsidR="00DE77D6">
        <w:rPr>
          <w:rFonts w:ascii="Arial" w:hAnsi="Arial"/>
          <w:sz w:val="20"/>
          <w:szCs w:val="20"/>
        </w:rPr>
        <w:t>an experienced radiologist</w:t>
      </w:r>
      <w:r w:rsidR="006A7C73">
        <w:rPr>
          <w:rFonts w:ascii="Arial" w:hAnsi="Arial"/>
          <w:sz w:val="20"/>
          <w:szCs w:val="20"/>
        </w:rPr>
        <w:t xml:space="preserve"> on both sets of brain MRI.</w:t>
      </w:r>
      <w:r w:rsidR="00B85D44">
        <w:rPr>
          <w:rFonts w:ascii="Arial" w:hAnsi="Arial"/>
          <w:sz w:val="20"/>
          <w:szCs w:val="20"/>
        </w:rPr>
        <w:t xml:space="preserve"> Both </w:t>
      </w:r>
      <w:r w:rsidR="00FA62B1">
        <w:rPr>
          <w:rFonts w:ascii="Arial" w:hAnsi="Arial"/>
          <w:sz w:val="20"/>
          <w:szCs w:val="20"/>
        </w:rPr>
        <w:t>trial arms will be compared</w:t>
      </w:r>
      <w:r w:rsidR="001E0B36">
        <w:rPr>
          <w:rFonts w:ascii="Arial" w:hAnsi="Arial"/>
          <w:sz w:val="20"/>
          <w:szCs w:val="20"/>
        </w:rPr>
        <w:t>.</w:t>
      </w:r>
      <w:r w:rsidR="00FA62B1">
        <w:rPr>
          <w:rFonts w:ascii="Arial" w:hAnsi="Arial"/>
          <w:sz w:val="20"/>
          <w:szCs w:val="20"/>
        </w:rPr>
        <w:t xml:space="preserve"> </w:t>
      </w:r>
    </w:p>
    <w:p w14:paraId="7C7B5153" w14:textId="21EBD351" w:rsidR="00C8619D" w:rsidRDefault="00C8619D" w:rsidP="007A3A88">
      <w:pPr>
        <w:spacing w:line="360" w:lineRule="auto"/>
        <w:jc w:val="both"/>
        <w:rPr>
          <w:rFonts w:ascii="Arial" w:hAnsi="Arial"/>
          <w:sz w:val="20"/>
          <w:szCs w:val="20"/>
        </w:rPr>
      </w:pPr>
    </w:p>
    <w:p w14:paraId="6F168F22" w14:textId="3FF16A95" w:rsidR="00C8619D" w:rsidRDefault="00C8619D" w:rsidP="007A3A88">
      <w:pPr>
        <w:spacing w:line="360" w:lineRule="auto"/>
        <w:jc w:val="both"/>
        <w:rPr>
          <w:rFonts w:ascii="Arial" w:hAnsi="Arial"/>
          <w:sz w:val="20"/>
          <w:szCs w:val="20"/>
        </w:rPr>
      </w:pPr>
      <w:r>
        <w:rPr>
          <w:rFonts w:ascii="Arial" w:hAnsi="Arial"/>
          <w:sz w:val="20"/>
          <w:szCs w:val="20"/>
        </w:rPr>
        <w:t xml:space="preserve">The secondary outcome, </w:t>
      </w:r>
      <w:r w:rsidR="00326E62">
        <w:rPr>
          <w:rFonts w:ascii="Arial" w:hAnsi="Arial"/>
          <w:sz w:val="20"/>
          <w:szCs w:val="20"/>
        </w:rPr>
        <w:t>puncture site complications</w:t>
      </w:r>
      <w:r w:rsidR="0097749E">
        <w:rPr>
          <w:rFonts w:ascii="Arial" w:hAnsi="Arial"/>
          <w:sz w:val="20"/>
          <w:szCs w:val="20"/>
        </w:rPr>
        <w:t xml:space="preserve">, will be assessed through clinical </w:t>
      </w:r>
      <w:r w:rsidR="003D3C6D">
        <w:rPr>
          <w:rFonts w:ascii="Arial" w:hAnsi="Arial"/>
          <w:sz w:val="20"/>
          <w:szCs w:val="20"/>
        </w:rPr>
        <w:t xml:space="preserve">observation. Puncture site complications </w:t>
      </w:r>
      <w:r w:rsidR="002E6FC0">
        <w:rPr>
          <w:rFonts w:ascii="Arial" w:hAnsi="Arial"/>
          <w:sz w:val="20"/>
          <w:szCs w:val="20"/>
        </w:rPr>
        <w:t xml:space="preserve">may </w:t>
      </w:r>
      <w:r w:rsidR="003D3C6D">
        <w:rPr>
          <w:rFonts w:ascii="Arial" w:hAnsi="Arial"/>
          <w:sz w:val="20"/>
          <w:szCs w:val="20"/>
        </w:rPr>
        <w:t xml:space="preserve">include </w:t>
      </w:r>
      <w:r w:rsidR="002E6FC0">
        <w:rPr>
          <w:rFonts w:ascii="Arial" w:hAnsi="Arial"/>
          <w:sz w:val="20"/>
          <w:szCs w:val="20"/>
        </w:rPr>
        <w:t xml:space="preserve">1) </w:t>
      </w:r>
      <w:r w:rsidR="003D3C6D">
        <w:rPr>
          <w:rFonts w:ascii="Arial" w:hAnsi="Arial"/>
          <w:sz w:val="20"/>
          <w:szCs w:val="20"/>
        </w:rPr>
        <w:t>haematoma</w:t>
      </w:r>
      <w:r w:rsidR="005B0115">
        <w:rPr>
          <w:rFonts w:ascii="Arial" w:hAnsi="Arial"/>
          <w:sz w:val="20"/>
          <w:szCs w:val="20"/>
        </w:rPr>
        <w:t>;</w:t>
      </w:r>
      <w:r w:rsidR="002E6FC0">
        <w:rPr>
          <w:rFonts w:ascii="Arial" w:hAnsi="Arial"/>
          <w:sz w:val="20"/>
          <w:szCs w:val="20"/>
        </w:rPr>
        <w:t xml:space="preserve"> 2)</w:t>
      </w:r>
      <w:r w:rsidR="005B0115">
        <w:rPr>
          <w:rFonts w:ascii="Arial" w:hAnsi="Arial"/>
          <w:sz w:val="20"/>
          <w:szCs w:val="20"/>
        </w:rPr>
        <w:t xml:space="preserve"> </w:t>
      </w:r>
      <w:r w:rsidR="003D3C6D">
        <w:rPr>
          <w:rFonts w:ascii="Arial" w:hAnsi="Arial"/>
          <w:sz w:val="20"/>
          <w:szCs w:val="20"/>
        </w:rPr>
        <w:t xml:space="preserve">requiring a vascular compression device </w:t>
      </w:r>
      <w:r w:rsidR="002E6FC0">
        <w:rPr>
          <w:rFonts w:ascii="Arial" w:hAnsi="Arial"/>
          <w:sz w:val="20"/>
          <w:szCs w:val="20"/>
        </w:rPr>
        <w:t>such as Femstop</w:t>
      </w:r>
      <w:r w:rsidR="005B0115">
        <w:rPr>
          <w:rFonts w:ascii="Arial" w:hAnsi="Arial"/>
          <w:sz w:val="20"/>
          <w:szCs w:val="20"/>
        </w:rPr>
        <w:t xml:space="preserve">; </w:t>
      </w:r>
      <w:r w:rsidR="003D3C6D">
        <w:rPr>
          <w:rFonts w:ascii="Arial" w:hAnsi="Arial"/>
          <w:sz w:val="20"/>
          <w:szCs w:val="20"/>
        </w:rPr>
        <w:t xml:space="preserve">or </w:t>
      </w:r>
      <w:r w:rsidR="005B0115">
        <w:rPr>
          <w:rFonts w:ascii="Arial" w:hAnsi="Arial"/>
          <w:sz w:val="20"/>
          <w:szCs w:val="20"/>
        </w:rPr>
        <w:t xml:space="preserve">3) </w:t>
      </w:r>
      <w:r w:rsidR="003D3C6D">
        <w:rPr>
          <w:rFonts w:ascii="Arial" w:hAnsi="Arial"/>
          <w:sz w:val="20"/>
          <w:szCs w:val="20"/>
        </w:rPr>
        <w:t>surgical intervention</w:t>
      </w:r>
      <w:r w:rsidR="00FD18DA">
        <w:rPr>
          <w:rFonts w:ascii="Arial" w:hAnsi="Arial"/>
          <w:sz w:val="20"/>
          <w:szCs w:val="20"/>
        </w:rPr>
        <w:t>.</w:t>
      </w:r>
    </w:p>
    <w:p w14:paraId="2B92A7F4" w14:textId="3441FC9B" w:rsidR="00FD18DA" w:rsidRDefault="00FD18DA" w:rsidP="007A3A88">
      <w:pPr>
        <w:spacing w:line="360" w:lineRule="auto"/>
        <w:jc w:val="both"/>
        <w:rPr>
          <w:rFonts w:ascii="Arial" w:hAnsi="Arial"/>
          <w:sz w:val="20"/>
          <w:szCs w:val="20"/>
        </w:rPr>
      </w:pPr>
    </w:p>
    <w:p w14:paraId="62848C4A" w14:textId="620C40A8" w:rsidR="00FD18DA" w:rsidRDefault="00FD18DA" w:rsidP="007A3A88">
      <w:pPr>
        <w:spacing w:line="360" w:lineRule="auto"/>
        <w:jc w:val="both"/>
        <w:rPr>
          <w:rFonts w:ascii="Arial" w:hAnsi="Arial"/>
          <w:sz w:val="20"/>
          <w:szCs w:val="20"/>
        </w:rPr>
      </w:pPr>
      <w:r>
        <w:rPr>
          <w:rFonts w:ascii="Arial" w:hAnsi="Arial"/>
          <w:sz w:val="20"/>
          <w:szCs w:val="20"/>
        </w:rPr>
        <w:t>Additional complications will also be assessed between these groups, especially major haemorrhage and microbleeds.</w:t>
      </w:r>
    </w:p>
    <w:p w14:paraId="0B195D6D" w14:textId="6721E3C1" w:rsidR="00681B7B" w:rsidRDefault="00681B7B" w:rsidP="007A3A88">
      <w:pPr>
        <w:spacing w:line="360" w:lineRule="auto"/>
        <w:jc w:val="both"/>
        <w:rPr>
          <w:rFonts w:ascii="Arial" w:hAnsi="Arial"/>
          <w:sz w:val="20"/>
          <w:szCs w:val="20"/>
        </w:rPr>
      </w:pPr>
    </w:p>
    <w:p w14:paraId="0B9122FE" w14:textId="78FA6FF3" w:rsidR="00681B7B" w:rsidRDefault="00681B7B" w:rsidP="00681B7B">
      <w:pPr>
        <w:spacing w:line="360" w:lineRule="auto"/>
        <w:rPr>
          <w:rFonts w:ascii="Arial" w:hAnsi="Arial" w:cs="Arial"/>
          <w:sz w:val="20"/>
          <w:szCs w:val="20"/>
        </w:rPr>
      </w:pPr>
      <w:r w:rsidRPr="007F5E90">
        <w:rPr>
          <w:rFonts w:ascii="Arial" w:hAnsi="Arial" w:cs="Arial"/>
          <w:sz w:val="20"/>
          <w:szCs w:val="20"/>
        </w:rPr>
        <w:t xml:space="preserve">The decision to anticoagulate or not is made at the end of the endovascular procedure, depending on the assessment by the operator that the patient is at higher risk of thromboembolic events. </w:t>
      </w:r>
      <w:r w:rsidR="000F3886">
        <w:rPr>
          <w:rFonts w:ascii="Arial" w:hAnsi="Arial" w:cs="Arial"/>
          <w:sz w:val="20"/>
          <w:szCs w:val="20"/>
        </w:rPr>
        <w:t xml:space="preserve">The </w:t>
      </w:r>
      <w:r w:rsidR="00454591" w:rsidRPr="00454591">
        <w:rPr>
          <w:rFonts w:ascii="Arial" w:hAnsi="Arial" w:cs="Arial"/>
          <w:sz w:val="20"/>
          <w:szCs w:val="20"/>
        </w:rPr>
        <w:t xml:space="preserve">indicators for post procedural anticoagulation </w:t>
      </w:r>
      <w:r w:rsidR="000A64FB">
        <w:rPr>
          <w:rFonts w:ascii="Arial" w:hAnsi="Arial" w:cs="Arial"/>
          <w:sz w:val="20"/>
          <w:szCs w:val="20"/>
        </w:rPr>
        <w:t>include placement of an endovascular device such as a stent, coil or loop protrusion into the parent vessel, large area of coil exposure at the aneurysm neck and intraprocedural platelet aggregation</w:t>
      </w:r>
      <w:r w:rsidR="00583006">
        <w:rPr>
          <w:rFonts w:ascii="Arial" w:hAnsi="Arial" w:cs="Arial"/>
          <w:sz w:val="20"/>
          <w:szCs w:val="20"/>
        </w:rPr>
        <w:t>. These are</w:t>
      </w:r>
      <w:r w:rsidR="000A64FB">
        <w:rPr>
          <w:rFonts w:ascii="Arial" w:hAnsi="Arial" w:cs="Arial"/>
          <w:sz w:val="20"/>
          <w:szCs w:val="20"/>
        </w:rPr>
        <w:t xml:space="preserve"> detailed in our inclusion criteria. </w:t>
      </w:r>
      <w:r w:rsidRPr="007F5E90">
        <w:rPr>
          <w:rFonts w:ascii="Arial" w:hAnsi="Arial" w:cs="Arial"/>
          <w:sz w:val="20"/>
          <w:szCs w:val="20"/>
        </w:rPr>
        <w:t xml:space="preserve">From our experience </w:t>
      </w:r>
      <w:r w:rsidR="008A2B67">
        <w:rPr>
          <w:rFonts w:ascii="Arial" w:hAnsi="Arial" w:cs="Arial"/>
          <w:sz w:val="20"/>
          <w:szCs w:val="20"/>
        </w:rPr>
        <w:t>approximately</w:t>
      </w:r>
      <w:r w:rsidRPr="007F5E90">
        <w:rPr>
          <w:rFonts w:ascii="Arial" w:hAnsi="Arial" w:cs="Arial"/>
          <w:sz w:val="20"/>
          <w:szCs w:val="20"/>
        </w:rPr>
        <w:t xml:space="preserve"> </w:t>
      </w:r>
      <w:r w:rsidR="00564BFB">
        <w:rPr>
          <w:rFonts w:ascii="Arial" w:hAnsi="Arial" w:cs="Arial"/>
          <w:sz w:val="20"/>
          <w:szCs w:val="20"/>
        </w:rPr>
        <w:t>70-90</w:t>
      </w:r>
      <w:r w:rsidRPr="007F5E90">
        <w:rPr>
          <w:rFonts w:ascii="Arial" w:hAnsi="Arial" w:cs="Arial"/>
          <w:sz w:val="20"/>
          <w:szCs w:val="20"/>
        </w:rPr>
        <w:t xml:space="preserve">% of the </w:t>
      </w:r>
      <w:r w:rsidRPr="009D7F29">
        <w:rPr>
          <w:rFonts w:ascii="Arial" w:hAnsi="Arial" w:cs="Arial"/>
          <w:sz w:val="20"/>
          <w:szCs w:val="20"/>
        </w:rPr>
        <w:t>consented subjects who have had baseline MRI</w:t>
      </w:r>
      <w:r w:rsidRPr="007F5E90">
        <w:rPr>
          <w:rFonts w:ascii="Arial" w:hAnsi="Arial" w:cs="Arial"/>
          <w:sz w:val="20"/>
          <w:szCs w:val="20"/>
        </w:rPr>
        <w:t xml:space="preserve"> will require post procedural anticoagulation. This </w:t>
      </w:r>
      <w:r w:rsidR="00B151D9">
        <w:rPr>
          <w:rFonts w:ascii="Arial" w:hAnsi="Arial" w:cs="Arial"/>
          <w:sz w:val="20"/>
          <w:szCs w:val="20"/>
        </w:rPr>
        <w:t>higher risk group</w:t>
      </w:r>
      <w:r w:rsidRPr="007F5E90">
        <w:rPr>
          <w:rFonts w:ascii="Arial" w:hAnsi="Arial" w:cs="Arial"/>
          <w:sz w:val="20"/>
          <w:szCs w:val="20"/>
        </w:rPr>
        <w:t xml:space="preserve"> will be randomised for either </w:t>
      </w:r>
      <w:r w:rsidR="00461F24" w:rsidRPr="00895045">
        <w:rPr>
          <w:rFonts w:ascii="Arial" w:hAnsi="Arial"/>
          <w:sz w:val="20"/>
          <w:szCs w:val="20"/>
        </w:rPr>
        <w:t>enoxaparin 1.5mg/kg at T=0</w:t>
      </w:r>
      <w:r w:rsidR="00E97A9C">
        <w:rPr>
          <w:rFonts w:ascii="Arial" w:hAnsi="Arial"/>
          <w:sz w:val="20"/>
          <w:szCs w:val="20"/>
        </w:rPr>
        <w:t>,</w:t>
      </w:r>
      <w:r w:rsidR="00461F24" w:rsidRPr="00895045">
        <w:rPr>
          <w:rFonts w:ascii="Arial" w:hAnsi="Arial"/>
          <w:sz w:val="20"/>
          <w:szCs w:val="20"/>
        </w:rPr>
        <w:t xml:space="preserve"> </w:t>
      </w:r>
      <w:r w:rsidR="00E97A9C">
        <w:rPr>
          <w:rFonts w:ascii="Arial" w:hAnsi="Arial"/>
          <w:sz w:val="20"/>
          <w:szCs w:val="20"/>
        </w:rPr>
        <w:t>or</w:t>
      </w:r>
      <w:r w:rsidR="00461F24" w:rsidRPr="00895045">
        <w:rPr>
          <w:rFonts w:ascii="Arial" w:hAnsi="Arial"/>
          <w:sz w:val="20"/>
          <w:szCs w:val="20"/>
        </w:rPr>
        <w:t xml:space="preserve"> enoxaparin 1mg/kg at T=0 and T=12hrs</w:t>
      </w:r>
      <w:r w:rsidRPr="007F5E90">
        <w:rPr>
          <w:rFonts w:ascii="Arial" w:hAnsi="Arial" w:cs="Arial"/>
          <w:sz w:val="20"/>
          <w:szCs w:val="20"/>
        </w:rPr>
        <w:t>. It is intended that the remain</w:t>
      </w:r>
      <w:r w:rsidR="00EB5BFF">
        <w:rPr>
          <w:rFonts w:ascii="Arial" w:hAnsi="Arial" w:cs="Arial"/>
          <w:sz w:val="20"/>
          <w:szCs w:val="20"/>
        </w:rPr>
        <w:t>ing participants</w:t>
      </w:r>
      <w:r w:rsidRPr="007F5E90">
        <w:rPr>
          <w:rFonts w:ascii="Arial" w:hAnsi="Arial" w:cs="Arial"/>
          <w:sz w:val="20"/>
          <w:szCs w:val="20"/>
        </w:rPr>
        <w:t xml:space="preserve"> (no anticoagulation, “low</w:t>
      </w:r>
      <w:r w:rsidR="00703441">
        <w:rPr>
          <w:rFonts w:ascii="Arial" w:hAnsi="Arial" w:cs="Arial"/>
          <w:sz w:val="20"/>
          <w:szCs w:val="20"/>
        </w:rPr>
        <w:t>er</w:t>
      </w:r>
      <w:r w:rsidRPr="007F5E90">
        <w:rPr>
          <w:rFonts w:ascii="Arial" w:hAnsi="Arial" w:cs="Arial"/>
          <w:sz w:val="20"/>
          <w:szCs w:val="20"/>
        </w:rPr>
        <w:t xml:space="preserve"> risk” group) form a separate study group adding data to our group’s research on thromboembolic outcomes after neuroendovascular procedures. They will be assessed for thromboembolic complications by neurological examination at 24 hours and MRI at 48 hours.</w:t>
      </w:r>
    </w:p>
    <w:p w14:paraId="24E2DF2D" w14:textId="77777777" w:rsidR="00D84924" w:rsidRPr="00DF0665" w:rsidRDefault="00D84924" w:rsidP="007A3A88">
      <w:pPr>
        <w:spacing w:line="360" w:lineRule="auto"/>
        <w:jc w:val="both"/>
        <w:rPr>
          <w:rFonts w:ascii="Arial" w:hAnsi="Arial"/>
          <w:sz w:val="20"/>
          <w:szCs w:val="20"/>
        </w:rPr>
      </w:pPr>
    </w:p>
    <w:p w14:paraId="6C0ABD57" w14:textId="14CF0DE2" w:rsidR="00F33517" w:rsidRPr="00F33517" w:rsidRDefault="00F33517" w:rsidP="007A3A88">
      <w:pPr>
        <w:spacing w:line="360" w:lineRule="auto"/>
        <w:jc w:val="both"/>
        <w:rPr>
          <w:rFonts w:ascii="Arial" w:hAnsi="Arial"/>
          <w:i/>
          <w:color w:val="92CDDC" w:themeColor="accent5" w:themeTint="99"/>
          <w:sz w:val="20"/>
          <w:szCs w:val="20"/>
        </w:rPr>
      </w:pPr>
      <w:r w:rsidRPr="00F33517">
        <w:rPr>
          <w:rFonts w:ascii="Arial" w:hAnsi="Arial"/>
          <w:i/>
          <w:color w:val="92CDDC" w:themeColor="accent5" w:themeTint="99"/>
          <w:sz w:val="20"/>
          <w:szCs w:val="20"/>
        </w:rPr>
        <w:t>Study Type</w:t>
      </w:r>
    </w:p>
    <w:p w14:paraId="730EAB50" w14:textId="62C17513" w:rsidR="00F33517" w:rsidRPr="00F33517" w:rsidRDefault="009710D8" w:rsidP="007A3A88">
      <w:pPr>
        <w:spacing w:line="360" w:lineRule="auto"/>
        <w:jc w:val="both"/>
        <w:rPr>
          <w:rFonts w:ascii="Arial" w:hAnsi="Arial"/>
          <w:sz w:val="20"/>
          <w:szCs w:val="20"/>
        </w:rPr>
      </w:pPr>
      <w:r>
        <w:rPr>
          <w:rFonts w:ascii="Arial" w:hAnsi="Arial"/>
          <w:sz w:val="20"/>
          <w:szCs w:val="20"/>
        </w:rPr>
        <w:t>R</w:t>
      </w:r>
      <w:r w:rsidR="008D6853">
        <w:rPr>
          <w:rFonts w:ascii="Arial" w:hAnsi="Arial"/>
          <w:sz w:val="20"/>
          <w:szCs w:val="20"/>
        </w:rPr>
        <w:t>andomi</w:t>
      </w:r>
      <w:r w:rsidR="00B50D9D">
        <w:rPr>
          <w:rFonts w:ascii="Arial" w:hAnsi="Arial"/>
          <w:sz w:val="20"/>
          <w:szCs w:val="20"/>
        </w:rPr>
        <w:t>s</w:t>
      </w:r>
      <w:r w:rsidR="008D6853">
        <w:rPr>
          <w:rFonts w:ascii="Arial" w:hAnsi="Arial"/>
          <w:sz w:val="20"/>
          <w:szCs w:val="20"/>
        </w:rPr>
        <w:t xml:space="preserve">ed </w:t>
      </w:r>
      <w:r w:rsidR="00F33517">
        <w:rPr>
          <w:rFonts w:ascii="Arial" w:hAnsi="Arial"/>
          <w:sz w:val="20"/>
          <w:szCs w:val="20"/>
        </w:rPr>
        <w:t>prospective single-centre study</w:t>
      </w:r>
    </w:p>
    <w:p w14:paraId="6DE7ADFD" w14:textId="77777777" w:rsidR="00F33517" w:rsidRDefault="00F33517" w:rsidP="007A3A88">
      <w:pPr>
        <w:spacing w:line="360" w:lineRule="auto"/>
        <w:jc w:val="both"/>
        <w:rPr>
          <w:rFonts w:ascii="Arial" w:hAnsi="Arial"/>
          <w:b/>
          <w:sz w:val="20"/>
          <w:szCs w:val="20"/>
        </w:rPr>
      </w:pPr>
    </w:p>
    <w:p w14:paraId="6E03E02D" w14:textId="3C4EC002" w:rsidR="002D2DF9" w:rsidRDefault="002D2DF9" w:rsidP="007A3A88">
      <w:pPr>
        <w:spacing w:line="360" w:lineRule="auto"/>
        <w:jc w:val="both"/>
        <w:rPr>
          <w:rFonts w:ascii="Arial" w:hAnsi="Arial"/>
          <w:color w:val="92CDDC" w:themeColor="accent5" w:themeTint="99"/>
          <w:sz w:val="20"/>
          <w:szCs w:val="20"/>
          <w:u w:val="single"/>
        </w:rPr>
      </w:pPr>
      <w:r w:rsidRPr="00F33517">
        <w:rPr>
          <w:rFonts w:ascii="Arial" w:hAnsi="Arial"/>
          <w:color w:val="92CDDC" w:themeColor="accent5" w:themeTint="99"/>
          <w:sz w:val="20"/>
          <w:szCs w:val="20"/>
          <w:u w:val="single"/>
        </w:rPr>
        <w:t>Population</w:t>
      </w:r>
    </w:p>
    <w:p w14:paraId="701E80D8" w14:textId="27E8542A" w:rsidR="001B2D26" w:rsidRPr="0098412F" w:rsidRDefault="001B2D26" w:rsidP="001B2D26">
      <w:pPr>
        <w:spacing w:line="360" w:lineRule="auto"/>
        <w:jc w:val="both"/>
        <w:rPr>
          <w:rFonts w:ascii="Arial" w:hAnsi="Arial"/>
          <w:sz w:val="20"/>
          <w:szCs w:val="20"/>
        </w:rPr>
      </w:pPr>
      <w:r>
        <w:rPr>
          <w:rFonts w:ascii="Arial" w:hAnsi="Arial"/>
          <w:sz w:val="20"/>
          <w:szCs w:val="20"/>
        </w:rPr>
        <w:lastRenderedPageBreak/>
        <w:t xml:space="preserve">Patients presenting with unruptured intracranial aneurysms who are scheduled to undergo </w:t>
      </w:r>
      <w:r w:rsidR="00C72AA2">
        <w:rPr>
          <w:rFonts w:ascii="Arial" w:hAnsi="Arial"/>
          <w:sz w:val="20"/>
          <w:szCs w:val="20"/>
        </w:rPr>
        <w:t>endovascular treatment</w:t>
      </w:r>
      <w:r w:rsidR="00FA1AB4">
        <w:rPr>
          <w:rFonts w:ascii="Arial" w:hAnsi="Arial"/>
          <w:sz w:val="20"/>
          <w:szCs w:val="20"/>
        </w:rPr>
        <w:t xml:space="preserve">, such as </w:t>
      </w:r>
      <w:r>
        <w:rPr>
          <w:rFonts w:ascii="Arial" w:hAnsi="Arial"/>
          <w:sz w:val="20"/>
          <w:szCs w:val="20"/>
        </w:rPr>
        <w:t>elective coiling, stent assisted coiling, balloon assisted coiling or flow diverting stents</w:t>
      </w:r>
    </w:p>
    <w:p w14:paraId="3D25D9BA" w14:textId="77777777" w:rsidR="001B2D26" w:rsidRPr="002D2DF9" w:rsidRDefault="001B2D26" w:rsidP="007A3A88">
      <w:pPr>
        <w:spacing w:line="360" w:lineRule="auto"/>
        <w:jc w:val="both"/>
        <w:rPr>
          <w:rFonts w:ascii="Arial" w:hAnsi="Arial"/>
          <w:color w:val="92CDDC" w:themeColor="accent5" w:themeTint="99"/>
          <w:sz w:val="20"/>
          <w:szCs w:val="20"/>
          <w:u w:val="single"/>
        </w:rPr>
      </w:pPr>
    </w:p>
    <w:p w14:paraId="72080DD2" w14:textId="77777777" w:rsidR="00BF7CA6" w:rsidRDefault="00BF7CA6" w:rsidP="007A3A88">
      <w:pPr>
        <w:spacing w:line="360" w:lineRule="auto"/>
        <w:jc w:val="both"/>
        <w:rPr>
          <w:rFonts w:ascii="Arial" w:hAnsi="Arial"/>
          <w:i/>
          <w:color w:val="92CDDC" w:themeColor="accent5" w:themeTint="99"/>
          <w:sz w:val="20"/>
          <w:szCs w:val="20"/>
        </w:rPr>
      </w:pPr>
      <w:r w:rsidRPr="004D06BB">
        <w:rPr>
          <w:rFonts w:ascii="Arial" w:hAnsi="Arial"/>
          <w:i/>
          <w:color w:val="92CDDC" w:themeColor="accent5" w:themeTint="99"/>
          <w:sz w:val="20"/>
          <w:szCs w:val="20"/>
        </w:rPr>
        <w:t>Inclusion criteria</w:t>
      </w:r>
    </w:p>
    <w:p w14:paraId="74EA8CE3" w14:textId="2DC2BD79" w:rsidR="006E275E" w:rsidRDefault="006E275E" w:rsidP="007A3A88">
      <w:pPr>
        <w:spacing w:line="360" w:lineRule="auto"/>
        <w:jc w:val="both"/>
        <w:rPr>
          <w:rFonts w:ascii="Arial" w:hAnsi="Arial"/>
          <w:sz w:val="20"/>
          <w:szCs w:val="20"/>
        </w:rPr>
      </w:pPr>
      <w:r>
        <w:rPr>
          <w:rFonts w:ascii="Arial" w:hAnsi="Arial"/>
          <w:sz w:val="20"/>
          <w:szCs w:val="20"/>
        </w:rPr>
        <w:t>Patients deemed fit for an elective endovascular aneurysm treatment</w:t>
      </w:r>
    </w:p>
    <w:p w14:paraId="1765F07F" w14:textId="69E0E7D9" w:rsidR="00756A51" w:rsidRDefault="00CC197F" w:rsidP="007A3A88">
      <w:pPr>
        <w:spacing w:line="360" w:lineRule="auto"/>
        <w:jc w:val="both"/>
        <w:rPr>
          <w:rFonts w:ascii="Arial" w:hAnsi="Arial"/>
          <w:sz w:val="20"/>
          <w:szCs w:val="20"/>
        </w:rPr>
      </w:pPr>
      <w:r>
        <w:rPr>
          <w:rFonts w:ascii="Arial" w:hAnsi="Arial"/>
          <w:sz w:val="20"/>
          <w:szCs w:val="20"/>
        </w:rPr>
        <w:t>P</w:t>
      </w:r>
      <w:r w:rsidR="007F5C63" w:rsidRPr="00A142D8">
        <w:rPr>
          <w:rFonts w:ascii="Arial" w:hAnsi="Arial"/>
          <w:sz w:val="20"/>
          <w:szCs w:val="20"/>
        </w:rPr>
        <w:t>atient</w:t>
      </w:r>
      <w:r>
        <w:rPr>
          <w:rFonts w:ascii="Arial" w:hAnsi="Arial"/>
          <w:sz w:val="20"/>
          <w:szCs w:val="20"/>
        </w:rPr>
        <w:t>s</w:t>
      </w:r>
      <w:r w:rsidR="007F5C63" w:rsidRPr="00A142D8">
        <w:rPr>
          <w:rFonts w:ascii="Arial" w:hAnsi="Arial"/>
          <w:sz w:val="20"/>
          <w:szCs w:val="20"/>
        </w:rPr>
        <w:t xml:space="preserve"> </w:t>
      </w:r>
      <w:r>
        <w:rPr>
          <w:rFonts w:ascii="Arial" w:hAnsi="Arial"/>
          <w:sz w:val="20"/>
          <w:szCs w:val="20"/>
        </w:rPr>
        <w:t>who</w:t>
      </w:r>
      <w:r w:rsidR="007F5C63" w:rsidRPr="00A142D8">
        <w:rPr>
          <w:rFonts w:ascii="Arial" w:hAnsi="Arial"/>
          <w:sz w:val="20"/>
          <w:szCs w:val="20"/>
        </w:rPr>
        <w:t xml:space="preserve"> require post procedure anticoagulation</w:t>
      </w:r>
      <w:r w:rsidR="00A142D8" w:rsidRPr="00A142D8">
        <w:rPr>
          <w:rFonts w:ascii="Arial" w:hAnsi="Arial"/>
          <w:sz w:val="20"/>
          <w:szCs w:val="20"/>
        </w:rPr>
        <w:t xml:space="preserve"> after intracranial </w:t>
      </w:r>
      <w:r w:rsidR="00B74BB8">
        <w:rPr>
          <w:rFonts w:ascii="Arial" w:hAnsi="Arial"/>
          <w:sz w:val="20"/>
          <w:szCs w:val="20"/>
        </w:rPr>
        <w:t>endovascular aneurysm treatment.</w:t>
      </w:r>
      <w:r w:rsidR="00594D4F">
        <w:rPr>
          <w:rFonts w:ascii="Arial" w:hAnsi="Arial"/>
          <w:sz w:val="20"/>
          <w:szCs w:val="20"/>
        </w:rPr>
        <w:t xml:space="preserve"> </w:t>
      </w:r>
      <w:r w:rsidR="00594D4F" w:rsidRPr="00594D4F">
        <w:rPr>
          <w:rFonts w:ascii="Arial" w:hAnsi="Arial"/>
          <w:sz w:val="20"/>
          <w:szCs w:val="20"/>
        </w:rPr>
        <w:t>The criteria for post procedural anticoagulation are any of the following:</w:t>
      </w:r>
    </w:p>
    <w:p w14:paraId="3FC8A552" w14:textId="77777777" w:rsidR="00756A51" w:rsidRPr="00756A51" w:rsidRDefault="00756A51" w:rsidP="00756A51">
      <w:pPr>
        <w:spacing w:line="360" w:lineRule="auto"/>
        <w:ind w:firstLine="720"/>
        <w:jc w:val="both"/>
        <w:rPr>
          <w:rFonts w:ascii="Arial" w:hAnsi="Arial"/>
          <w:sz w:val="20"/>
          <w:szCs w:val="20"/>
        </w:rPr>
      </w:pPr>
      <w:r w:rsidRPr="00756A51">
        <w:rPr>
          <w:rFonts w:ascii="Arial" w:hAnsi="Arial"/>
          <w:sz w:val="20"/>
          <w:szCs w:val="20"/>
        </w:rPr>
        <w:t>1) Placement of an Endovascular Device</w:t>
      </w:r>
    </w:p>
    <w:p w14:paraId="0F7B0D23" w14:textId="77777777" w:rsidR="00756A51" w:rsidRPr="00756A51" w:rsidRDefault="00756A51" w:rsidP="00756A51">
      <w:pPr>
        <w:spacing w:line="360" w:lineRule="auto"/>
        <w:ind w:firstLine="720"/>
        <w:jc w:val="both"/>
        <w:rPr>
          <w:rFonts w:ascii="Arial" w:hAnsi="Arial"/>
          <w:sz w:val="20"/>
          <w:szCs w:val="20"/>
        </w:rPr>
      </w:pPr>
      <w:r w:rsidRPr="00756A51">
        <w:rPr>
          <w:rFonts w:ascii="Arial" w:hAnsi="Arial"/>
          <w:sz w:val="20"/>
          <w:szCs w:val="20"/>
        </w:rPr>
        <w:t>2) Presence of procedural platelet aggregation</w:t>
      </w:r>
    </w:p>
    <w:p w14:paraId="7EB3C317" w14:textId="7F8867D7" w:rsidR="00756A51" w:rsidRPr="00756A51" w:rsidRDefault="00756A51" w:rsidP="00756A51">
      <w:pPr>
        <w:spacing w:line="360" w:lineRule="auto"/>
        <w:ind w:firstLine="720"/>
        <w:jc w:val="both"/>
        <w:rPr>
          <w:rFonts w:ascii="Arial" w:hAnsi="Arial"/>
          <w:sz w:val="20"/>
          <w:szCs w:val="20"/>
        </w:rPr>
      </w:pPr>
      <w:r w:rsidRPr="00756A51">
        <w:rPr>
          <w:rFonts w:ascii="Arial" w:hAnsi="Arial"/>
          <w:sz w:val="20"/>
          <w:szCs w:val="20"/>
        </w:rPr>
        <w:t xml:space="preserve">3) </w:t>
      </w:r>
      <w:r w:rsidR="00B93CE4">
        <w:rPr>
          <w:rFonts w:ascii="Arial" w:hAnsi="Arial"/>
          <w:sz w:val="20"/>
          <w:szCs w:val="20"/>
        </w:rPr>
        <w:t>I</w:t>
      </w:r>
      <w:r w:rsidRPr="00756A51">
        <w:rPr>
          <w:rFonts w:ascii="Arial" w:hAnsi="Arial"/>
          <w:sz w:val="20"/>
          <w:szCs w:val="20"/>
        </w:rPr>
        <w:t xml:space="preserve">ncreased risk of thromboembolic events due to </w:t>
      </w:r>
    </w:p>
    <w:p w14:paraId="51503F38" w14:textId="77777777" w:rsidR="00756A51" w:rsidRPr="00756A51" w:rsidRDefault="00756A51" w:rsidP="00756A51">
      <w:pPr>
        <w:spacing w:line="360" w:lineRule="auto"/>
        <w:ind w:left="720" w:firstLine="720"/>
        <w:jc w:val="both"/>
        <w:rPr>
          <w:rFonts w:ascii="Arial" w:hAnsi="Arial"/>
          <w:sz w:val="20"/>
          <w:szCs w:val="20"/>
        </w:rPr>
      </w:pPr>
      <w:r w:rsidRPr="00756A51">
        <w:rPr>
          <w:rFonts w:ascii="Arial" w:hAnsi="Arial"/>
          <w:sz w:val="20"/>
          <w:szCs w:val="20"/>
        </w:rPr>
        <w:t xml:space="preserve">(3a) large area of coil exposure at aneurysm neck </w:t>
      </w:r>
    </w:p>
    <w:p w14:paraId="0E96168C" w14:textId="77777777" w:rsidR="00756A51" w:rsidRPr="00756A51" w:rsidRDefault="00756A51" w:rsidP="00756A51">
      <w:pPr>
        <w:spacing w:line="360" w:lineRule="auto"/>
        <w:ind w:left="720" w:firstLine="720"/>
        <w:jc w:val="both"/>
        <w:rPr>
          <w:rFonts w:ascii="Arial" w:hAnsi="Arial"/>
          <w:sz w:val="20"/>
          <w:szCs w:val="20"/>
        </w:rPr>
      </w:pPr>
      <w:r w:rsidRPr="00756A51">
        <w:rPr>
          <w:rFonts w:ascii="Arial" w:hAnsi="Arial"/>
          <w:sz w:val="20"/>
          <w:szCs w:val="20"/>
        </w:rPr>
        <w:t>(3b) loop protrusion into parent artery</w:t>
      </w:r>
    </w:p>
    <w:p w14:paraId="6346DAF1" w14:textId="6C8B96AA" w:rsidR="001A2A7B" w:rsidRPr="0080341E" w:rsidRDefault="001A2A7B" w:rsidP="007A3A88">
      <w:pPr>
        <w:spacing w:line="360" w:lineRule="auto"/>
        <w:jc w:val="both"/>
        <w:rPr>
          <w:rFonts w:ascii="Arial" w:hAnsi="Arial"/>
          <w:color w:val="92CDDC" w:themeColor="accent5" w:themeTint="99"/>
          <w:sz w:val="20"/>
          <w:szCs w:val="20"/>
        </w:rPr>
      </w:pPr>
      <w:r>
        <w:rPr>
          <w:rFonts w:ascii="Arial" w:hAnsi="Arial"/>
          <w:sz w:val="20"/>
          <w:szCs w:val="20"/>
        </w:rPr>
        <w:t>Able to understand the project and provide voluntary consent</w:t>
      </w:r>
      <w:r w:rsidR="007D5B9D">
        <w:rPr>
          <w:rFonts w:ascii="Arial" w:hAnsi="Arial"/>
          <w:sz w:val="20"/>
          <w:szCs w:val="20"/>
        </w:rPr>
        <w:t xml:space="preserve"> and continued participation</w:t>
      </w:r>
    </w:p>
    <w:p w14:paraId="05B4240B" w14:textId="77777777" w:rsidR="003B4AC1" w:rsidRDefault="003B4AC1" w:rsidP="007A3A88">
      <w:pPr>
        <w:spacing w:line="360" w:lineRule="auto"/>
        <w:jc w:val="both"/>
        <w:rPr>
          <w:rFonts w:ascii="Arial" w:hAnsi="Arial"/>
          <w:i/>
          <w:sz w:val="20"/>
          <w:szCs w:val="20"/>
        </w:rPr>
      </w:pPr>
    </w:p>
    <w:p w14:paraId="3DFDD9AB" w14:textId="5F8AA684" w:rsidR="00BF7CA6" w:rsidRPr="00BF7CA6" w:rsidRDefault="00BF7CA6" w:rsidP="007A3A88">
      <w:pPr>
        <w:spacing w:line="360" w:lineRule="auto"/>
        <w:jc w:val="both"/>
        <w:rPr>
          <w:rFonts w:ascii="Arial" w:hAnsi="Arial"/>
          <w:i/>
          <w:color w:val="92CDDC" w:themeColor="accent5" w:themeTint="99"/>
          <w:sz w:val="20"/>
          <w:szCs w:val="20"/>
        </w:rPr>
      </w:pPr>
      <w:r w:rsidRPr="004D06BB">
        <w:rPr>
          <w:rFonts w:ascii="Arial" w:hAnsi="Arial"/>
          <w:i/>
          <w:color w:val="92CDDC" w:themeColor="accent5" w:themeTint="99"/>
          <w:sz w:val="20"/>
          <w:szCs w:val="20"/>
        </w:rPr>
        <w:t>Exclusion criteria</w:t>
      </w:r>
    </w:p>
    <w:p w14:paraId="5B338CBD" w14:textId="509272AC" w:rsidR="003B4AC1" w:rsidRDefault="003B4AC1" w:rsidP="007A3A88">
      <w:pPr>
        <w:spacing w:line="360" w:lineRule="auto"/>
        <w:jc w:val="both"/>
        <w:rPr>
          <w:rFonts w:ascii="Arial" w:hAnsi="Arial"/>
          <w:sz w:val="20"/>
          <w:szCs w:val="20"/>
        </w:rPr>
      </w:pPr>
      <w:r>
        <w:rPr>
          <w:rFonts w:ascii="Arial" w:hAnsi="Arial"/>
          <w:sz w:val="20"/>
          <w:szCs w:val="20"/>
        </w:rPr>
        <w:t>Patients under 18 years of age</w:t>
      </w:r>
      <w:r w:rsidR="00A5646C">
        <w:rPr>
          <w:rFonts w:ascii="Arial" w:hAnsi="Arial"/>
          <w:sz w:val="20"/>
          <w:szCs w:val="20"/>
        </w:rPr>
        <w:t xml:space="preserve"> (i.e. paediatric population)</w:t>
      </w:r>
    </w:p>
    <w:p w14:paraId="61D6B811" w14:textId="2565688A" w:rsidR="002B4344" w:rsidRDefault="002B4344" w:rsidP="007A3A88">
      <w:pPr>
        <w:spacing w:line="360" w:lineRule="auto"/>
        <w:jc w:val="both"/>
        <w:rPr>
          <w:rFonts w:ascii="Arial" w:hAnsi="Arial"/>
          <w:sz w:val="20"/>
          <w:szCs w:val="20"/>
        </w:rPr>
      </w:pPr>
      <w:r>
        <w:rPr>
          <w:rFonts w:ascii="Arial" w:hAnsi="Arial"/>
          <w:sz w:val="20"/>
          <w:szCs w:val="20"/>
        </w:rPr>
        <w:t xml:space="preserve">Patients presenting with </w:t>
      </w:r>
      <w:r w:rsidR="00A5646C">
        <w:rPr>
          <w:rFonts w:ascii="Arial" w:hAnsi="Arial"/>
          <w:sz w:val="20"/>
          <w:szCs w:val="20"/>
        </w:rPr>
        <w:t xml:space="preserve">acute </w:t>
      </w:r>
      <w:r>
        <w:rPr>
          <w:rFonts w:ascii="Arial" w:hAnsi="Arial"/>
          <w:sz w:val="20"/>
          <w:szCs w:val="20"/>
        </w:rPr>
        <w:t>subarachnoid haemorrhage</w:t>
      </w:r>
    </w:p>
    <w:p w14:paraId="753F69A0" w14:textId="1CC414EA" w:rsidR="00D63824" w:rsidRDefault="00D63824" w:rsidP="007A3A88">
      <w:pPr>
        <w:spacing w:line="360" w:lineRule="auto"/>
        <w:jc w:val="both"/>
        <w:rPr>
          <w:rFonts w:ascii="Arial" w:hAnsi="Arial"/>
          <w:sz w:val="20"/>
          <w:szCs w:val="20"/>
        </w:rPr>
      </w:pPr>
      <w:r>
        <w:rPr>
          <w:rFonts w:ascii="Arial" w:hAnsi="Arial"/>
          <w:sz w:val="20"/>
          <w:szCs w:val="20"/>
        </w:rPr>
        <w:t>Patients with significantly impaired renal function (eGFR &lt; 30)</w:t>
      </w:r>
    </w:p>
    <w:p w14:paraId="5193CDD5" w14:textId="35995796" w:rsidR="001A2A7B" w:rsidRDefault="00BE776F" w:rsidP="007A3A88">
      <w:pPr>
        <w:spacing w:line="360" w:lineRule="auto"/>
        <w:jc w:val="both"/>
        <w:rPr>
          <w:rFonts w:ascii="Arial" w:hAnsi="Arial"/>
          <w:sz w:val="20"/>
          <w:szCs w:val="20"/>
        </w:rPr>
      </w:pPr>
      <w:r>
        <w:rPr>
          <w:rFonts w:ascii="Arial" w:hAnsi="Arial"/>
          <w:sz w:val="20"/>
          <w:szCs w:val="20"/>
        </w:rPr>
        <w:t>Patients not suitable for 3T MR imaging (e.g. pacemakers)</w:t>
      </w:r>
    </w:p>
    <w:p w14:paraId="4595C070" w14:textId="32B551F0" w:rsidR="009849CE" w:rsidRDefault="009849CE" w:rsidP="007A3A88">
      <w:pPr>
        <w:spacing w:line="360" w:lineRule="auto"/>
        <w:jc w:val="both"/>
        <w:rPr>
          <w:rFonts w:ascii="Arial" w:hAnsi="Arial"/>
          <w:sz w:val="20"/>
          <w:szCs w:val="20"/>
        </w:rPr>
      </w:pPr>
      <w:r>
        <w:rPr>
          <w:rFonts w:ascii="Arial" w:hAnsi="Arial"/>
          <w:sz w:val="20"/>
          <w:szCs w:val="20"/>
        </w:rPr>
        <w:t xml:space="preserve">Pregnant </w:t>
      </w:r>
      <w:r w:rsidR="00DD18F8">
        <w:rPr>
          <w:rFonts w:ascii="Arial" w:hAnsi="Arial"/>
          <w:sz w:val="20"/>
          <w:szCs w:val="20"/>
        </w:rPr>
        <w:t>w</w:t>
      </w:r>
      <w:r>
        <w:rPr>
          <w:rFonts w:ascii="Arial" w:hAnsi="Arial"/>
          <w:sz w:val="20"/>
          <w:szCs w:val="20"/>
        </w:rPr>
        <w:t>omen</w:t>
      </w:r>
    </w:p>
    <w:p w14:paraId="2D810B93" w14:textId="4C20E20C" w:rsidR="00EF6FC9" w:rsidRDefault="00EF6FC9" w:rsidP="007A3A88">
      <w:pPr>
        <w:spacing w:line="360" w:lineRule="auto"/>
        <w:jc w:val="both"/>
        <w:rPr>
          <w:rFonts w:ascii="Arial" w:hAnsi="Arial"/>
          <w:i/>
          <w:sz w:val="20"/>
          <w:szCs w:val="20"/>
        </w:rPr>
      </w:pPr>
      <w:r>
        <w:rPr>
          <w:rFonts w:ascii="Arial" w:hAnsi="Arial"/>
          <w:i/>
          <w:sz w:val="20"/>
          <w:szCs w:val="20"/>
        </w:rPr>
        <w:t>Patients deemed not to require anti-coagulation (see Method section)</w:t>
      </w:r>
    </w:p>
    <w:p w14:paraId="4AA5E230" w14:textId="77777777" w:rsidR="00EF6FC9" w:rsidRDefault="00EF6FC9" w:rsidP="007A3A88">
      <w:pPr>
        <w:spacing w:line="360" w:lineRule="auto"/>
        <w:jc w:val="both"/>
        <w:rPr>
          <w:rFonts w:ascii="Arial" w:hAnsi="Arial"/>
          <w:i/>
          <w:sz w:val="20"/>
          <w:szCs w:val="20"/>
        </w:rPr>
      </w:pPr>
    </w:p>
    <w:p w14:paraId="2F15C4B4" w14:textId="23C7A0DB" w:rsidR="000C60A0" w:rsidRPr="000C60A0" w:rsidRDefault="000C60A0" w:rsidP="007A3A88">
      <w:pPr>
        <w:spacing w:line="360" w:lineRule="auto"/>
        <w:jc w:val="both"/>
        <w:rPr>
          <w:rFonts w:ascii="Arial" w:hAnsi="Arial"/>
          <w:i/>
          <w:color w:val="92CDDC" w:themeColor="accent5" w:themeTint="99"/>
          <w:sz w:val="20"/>
          <w:szCs w:val="20"/>
        </w:rPr>
      </w:pPr>
      <w:r w:rsidRPr="000C60A0">
        <w:rPr>
          <w:rFonts w:ascii="Arial" w:hAnsi="Arial"/>
          <w:i/>
          <w:color w:val="92CDDC" w:themeColor="accent5" w:themeTint="99"/>
          <w:sz w:val="20"/>
          <w:szCs w:val="20"/>
        </w:rPr>
        <w:t>Recruitment</w:t>
      </w:r>
    </w:p>
    <w:p w14:paraId="7127ED4D" w14:textId="24147FE3" w:rsidR="000C60A0" w:rsidRPr="005011BD" w:rsidRDefault="005011BD" w:rsidP="007A3A88">
      <w:pPr>
        <w:spacing w:line="360" w:lineRule="auto"/>
        <w:jc w:val="both"/>
        <w:rPr>
          <w:rFonts w:ascii="Arial" w:hAnsi="Arial"/>
          <w:sz w:val="20"/>
          <w:szCs w:val="20"/>
        </w:rPr>
      </w:pPr>
      <w:r w:rsidRPr="005011BD">
        <w:rPr>
          <w:rFonts w:ascii="Arial" w:hAnsi="Arial"/>
          <w:sz w:val="20"/>
          <w:szCs w:val="20"/>
        </w:rPr>
        <w:t>Preadmission clinic and/or prior to procedure</w:t>
      </w:r>
    </w:p>
    <w:p w14:paraId="26C0D13C" w14:textId="77777777" w:rsidR="005011BD" w:rsidRPr="001C2C39" w:rsidRDefault="005011BD" w:rsidP="007A3A88">
      <w:pPr>
        <w:spacing w:line="360" w:lineRule="auto"/>
        <w:jc w:val="both"/>
        <w:rPr>
          <w:rFonts w:ascii="Arial" w:hAnsi="Arial"/>
          <w:i/>
          <w:sz w:val="20"/>
          <w:szCs w:val="20"/>
        </w:rPr>
      </w:pPr>
    </w:p>
    <w:p w14:paraId="29B4A6E8" w14:textId="77777777" w:rsidR="00BF7CA6" w:rsidRPr="004D06BB" w:rsidRDefault="00BF7CA6" w:rsidP="007A3A88">
      <w:pPr>
        <w:spacing w:line="360" w:lineRule="auto"/>
        <w:jc w:val="both"/>
        <w:rPr>
          <w:rFonts w:ascii="Arial" w:hAnsi="Arial"/>
          <w:color w:val="92CDDC" w:themeColor="accent5" w:themeTint="99"/>
          <w:sz w:val="20"/>
          <w:szCs w:val="20"/>
        </w:rPr>
      </w:pPr>
      <w:r w:rsidRPr="004D06BB">
        <w:rPr>
          <w:rFonts w:ascii="Arial" w:hAnsi="Arial"/>
          <w:i/>
          <w:color w:val="92CDDC" w:themeColor="accent5" w:themeTint="99"/>
          <w:sz w:val="20"/>
          <w:szCs w:val="20"/>
        </w:rPr>
        <w:t>Number of participants</w:t>
      </w:r>
    </w:p>
    <w:p w14:paraId="0F12D366" w14:textId="79E69C9C" w:rsidR="00C26C49" w:rsidRDefault="00581FED" w:rsidP="007A3A88">
      <w:pPr>
        <w:spacing w:line="360" w:lineRule="auto"/>
        <w:jc w:val="both"/>
        <w:rPr>
          <w:rFonts w:ascii="Arial" w:hAnsi="Arial"/>
          <w:sz w:val="20"/>
          <w:szCs w:val="20"/>
        </w:rPr>
      </w:pPr>
      <w:r w:rsidRPr="00581FED">
        <w:rPr>
          <w:rFonts w:ascii="Arial" w:hAnsi="Arial" w:cs="Arial"/>
          <w:sz w:val="20"/>
          <w:szCs w:val="20"/>
        </w:rPr>
        <w:t>The sample size calculations are based on the comparison between enoxaparin 1mg/kg (given at T=0 and T=12hrs) and enoxaparin 1.5mg/kg (given at T=0) for the primary outcome, which is the proportion of patients experiencing a new DWI lesion post procedure. Sample size calculations were performed using a two-sided pooled Z test based on 80% power and equal number allocation to each group. An estimate of the proportion of patients with a new DWI lesion post procedure was derived from the EPPICS I study performed at the Royal Brisbane and Women’s Hospital (RBWH) between 2016-2020. EPPICS found 0.64 of patients experienced a new DWI lesion post procedure in the enoxaparin 1mg/kg group. With a clinically meaningful absolute decrease of 0.25 and a type I error rate (α) of 0.05, 62 participants are required for each of the two arms. Therefore we aim to recruit a total of 124 participants.</w:t>
      </w:r>
    </w:p>
    <w:p w14:paraId="0E120D36" w14:textId="77777777" w:rsidR="003B4AC1" w:rsidRPr="00C00730" w:rsidRDefault="003B4AC1" w:rsidP="007A3A88">
      <w:pPr>
        <w:spacing w:line="360" w:lineRule="auto"/>
        <w:jc w:val="both"/>
        <w:rPr>
          <w:rFonts w:ascii="Arial" w:hAnsi="Arial"/>
          <w:iCs/>
          <w:sz w:val="20"/>
          <w:szCs w:val="20"/>
        </w:rPr>
      </w:pPr>
    </w:p>
    <w:p w14:paraId="3C72AB07" w14:textId="3467DD32" w:rsidR="000C60A0" w:rsidRPr="000C60A0" w:rsidRDefault="000C60A0" w:rsidP="007A3A88">
      <w:pPr>
        <w:spacing w:line="360" w:lineRule="auto"/>
        <w:jc w:val="both"/>
        <w:rPr>
          <w:rFonts w:ascii="Arial" w:hAnsi="Arial"/>
          <w:i/>
          <w:color w:val="92CDDC" w:themeColor="accent5" w:themeTint="99"/>
          <w:sz w:val="20"/>
          <w:szCs w:val="20"/>
        </w:rPr>
      </w:pPr>
      <w:r w:rsidRPr="000C60A0">
        <w:rPr>
          <w:rFonts w:ascii="Arial" w:hAnsi="Arial"/>
          <w:i/>
          <w:color w:val="92CDDC" w:themeColor="accent5" w:themeTint="99"/>
          <w:sz w:val="20"/>
          <w:szCs w:val="20"/>
        </w:rPr>
        <w:t>Consent / Privacy</w:t>
      </w:r>
    </w:p>
    <w:p w14:paraId="16181199" w14:textId="2E70587E" w:rsidR="000C60A0" w:rsidRPr="00077A61" w:rsidRDefault="00077A61" w:rsidP="007A3A88">
      <w:pPr>
        <w:spacing w:line="360" w:lineRule="auto"/>
        <w:jc w:val="both"/>
        <w:rPr>
          <w:rFonts w:ascii="Arial" w:hAnsi="Arial"/>
          <w:sz w:val="20"/>
          <w:szCs w:val="20"/>
        </w:rPr>
      </w:pPr>
      <w:r>
        <w:rPr>
          <w:rFonts w:ascii="Arial" w:hAnsi="Arial"/>
          <w:sz w:val="20"/>
          <w:szCs w:val="20"/>
        </w:rPr>
        <w:t xml:space="preserve">A process of informed consent will be utilized for this study. Patients will be provided with all relevant details of the study to a level of their understanding. No identifiable patient information will be published. </w:t>
      </w:r>
      <w:r w:rsidR="00E94CEB">
        <w:rPr>
          <w:rFonts w:ascii="Arial" w:hAnsi="Arial"/>
          <w:sz w:val="20"/>
          <w:szCs w:val="20"/>
        </w:rPr>
        <w:t xml:space="preserve">All data will be kept securely at the Royal Brisbane and Women’s Hospital (RBWH) and handled as per the Data Security protocol (see below). </w:t>
      </w:r>
    </w:p>
    <w:p w14:paraId="25EF96EE" w14:textId="77777777" w:rsidR="00077A61" w:rsidRDefault="00077A61" w:rsidP="007A3A88">
      <w:pPr>
        <w:spacing w:line="360" w:lineRule="auto"/>
        <w:jc w:val="both"/>
        <w:rPr>
          <w:rFonts w:ascii="Arial" w:hAnsi="Arial"/>
          <w:i/>
          <w:sz w:val="20"/>
          <w:szCs w:val="20"/>
        </w:rPr>
      </w:pPr>
    </w:p>
    <w:p w14:paraId="0F9D8D00" w14:textId="19C442DB" w:rsidR="000C60A0" w:rsidRPr="000C60A0" w:rsidRDefault="000C60A0" w:rsidP="007A3A88">
      <w:pPr>
        <w:spacing w:line="360" w:lineRule="auto"/>
        <w:jc w:val="both"/>
        <w:rPr>
          <w:rFonts w:ascii="Arial" w:hAnsi="Arial"/>
          <w:i/>
          <w:color w:val="92CDDC" w:themeColor="accent5" w:themeTint="99"/>
          <w:sz w:val="20"/>
          <w:szCs w:val="20"/>
        </w:rPr>
      </w:pPr>
      <w:r w:rsidRPr="000C60A0">
        <w:rPr>
          <w:rFonts w:ascii="Arial" w:hAnsi="Arial"/>
          <w:i/>
          <w:color w:val="92CDDC" w:themeColor="accent5" w:themeTint="99"/>
          <w:sz w:val="20"/>
          <w:szCs w:val="20"/>
        </w:rPr>
        <w:lastRenderedPageBreak/>
        <w:t>Process</w:t>
      </w:r>
    </w:p>
    <w:p w14:paraId="2A36F791" w14:textId="3715D3D1" w:rsidR="000C60A0" w:rsidRPr="000861FD" w:rsidRDefault="000861FD" w:rsidP="000861FD">
      <w:pPr>
        <w:pStyle w:val="ListParagraph"/>
        <w:numPr>
          <w:ilvl w:val="0"/>
          <w:numId w:val="5"/>
        </w:numPr>
        <w:spacing w:line="360" w:lineRule="auto"/>
        <w:jc w:val="both"/>
        <w:rPr>
          <w:rFonts w:ascii="Arial" w:hAnsi="Arial"/>
          <w:sz w:val="20"/>
          <w:szCs w:val="20"/>
        </w:rPr>
      </w:pPr>
      <w:r w:rsidRPr="000861FD">
        <w:rPr>
          <w:rFonts w:ascii="Arial" w:hAnsi="Arial"/>
          <w:sz w:val="20"/>
          <w:szCs w:val="20"/>
        </w:rPr>
        <w:t xml:space="preserve">Patients will initially be identified after referral to the </w:t>
      </w:r>
      <w:r w:rsidR="00906E26">
        <w:rPr>
          <w:rFonts w:ascii="Arial" w:hAnsi="Arial"/>
          <w:sz w:val="20"/>
          <w:szCs w:val="20"/>
        </w:rPr>
        <w:t>Interventional Neuroradiology Service</w:t>
      </w:r>
      <w:r w:rsidRPr="000861FD">
        <w:rPr>
          <w:rFonts w:ascii="Arial" w:hAnsi="Arial"/>
          <w:sz w:val="20"/>
          <w:szCs w:val="20"/>
        </w:rPr>
        <w:t xml:space="preserve"> for consideration of </w:t>
      </w:r>
      <w:r w:rsidR="00906E26">
        <w:rPr>
          <w:rFonts w:ascii="Arial" w:hAnsi="Arial"/>
          <w:sz w:val="20"/>
          <w:szCs w:val="20"/>
        </w:rPr>
        <w:t>treatment</w:t>
      </w:r>
    </w:p>
    <w:p w14:paraId="486870F8" w14:textId="404E35BD" w:rsidR="000861FD" w:rsidRDefault="000861FD" w:rsidP="000861FD">
      <w:pPr>
        <w:pStyle w:val="ListParagraph"/>
        <w:numPr>
          <w:ilvl w:val="0"/>
          <w:numId w:val="5"/>
        </w:numPr>
        <w:spacing w:line="360" w:lineRule="auto"/>
        <w:jc w:val="both"/>
        <w:rPr>
          <w:rFonts w:ascii="Arial" w:hAnsi="Arial"/>
          <w:sz w:val="20"/>
          <w:szCs w:val="20"/>
        </w:rPr>
      </w:pPr>
      <w:r>
        <w:rPr>
          <w:rFonts w:ascii="Arial" w:hAnsi="Arial"/>
          <w:sz w:val="20"/>
          <w:szCs w:val="20"/>
        </w:rPr>
        <w:t xml:space="preserve">Discussion of the research project may initially be done here and patients will be provided with an information </w:t>
      </w:r>
      <w:r w:rsidR="00F91A52">
        <w:rPr>
          <w:rFonts w:ascii="Arial" w:hAnsi="Arial"/>
          <w:sz w:val="20"/>
          <w:szCs w:val="20"/>
        </w:rPr>
        <w:t>sheet</w:t>
      </w:r>
    </w:p>
    <w:p w14:paraId="7EC58134" w14:textId="26DA0759" w:rsidR="000861FD" w:rsidRDefault="000861FD" w:rsidP="000861FD">
      <w:pPr>
        <w:pStyle w:val="ListParagraph"/>
        <w:numPr>
          <w:ilvl w:val="0"/>
          <w:numId w:val="5"/>
        </w:numPr>
        <w:spacing w:line="360" w:lineRule="auto"/>
        <w:jc w:val="both"/>
        <w:rPr>
          <w:rFonts w:ascii="Arial" w:hAnsi="Arial"/>
          <w:sz w:val="20"/>
          <w:szCs w:val="20"/>
        </w:rPr>
      </w:pPr>
      <w:r>
        <w:rPr>
          <w:rFonts w:ascii="Arial" w:hAnsi="Arial"/>
          <w:sz w:val="20"/>
          <w:szCs w:val="20"/>
        </w:rPr>
        <w:t xml:space="preserve">Alternatively, patients may be recruited </w:t>
      </w:r>
      <w:r w:rsidR="00F91A52">
        <w:rPr>
          <w:rFonts w:ascii="Arial" w:hAnsi="Arial"/>
          <w:sz w:val="20"/>
          <w:szCs w:val="20"/>
        </w:rPr>
        <w:t>after confirmation booking for their procedure</w:t>
      </w:r>
    </w:p>
    <w:p w14:paraId="5FA3B816" w14:textId="36E0EDFB" w:rsidR="00F91A52" w:rsidRDefault="00F91A52" w:rsidP="000861FD">
      <w:pPr>
        <w:pStyle w:val="ListParagraph"/>
        <w:numPr>
          <w:ilvl w:val="0"/>
          <w:numId w:val="5"/>
        </w:numPr>
        <w:spacing w:line="360" w:lineRule="auto"/>
        <w:jc w:val="both"/>
        <w:rPr>
          <w:rFonts w:ascii="Arial" w:hAnsi="Arial"/>
          <w:sz w:val="20"/>
          <w:szCs w:val="20"/>
        </w:rPr>
      </w:pPr>
      <w:r>
        <w:rPr>
          <w:rFonts w:ascii="Arial" w:hAnsi="Arial"/>
          <w:sz w:val="20"/>
          <w:szCs w:val="20"/>
        </w:rPr>
        <w:t>A letter of invitation and patient information and consent form (PICF) will be mailed out to patients at this time for their consideration</w:t>
      </w:r>
    </w:p>
    <w:p w14:paraId="18CF6FB9" w14:textId="6DCA3C7C" w:rsidR="00F91A52" w:rsidRPr="00FD2D4A" w:rsidRDefault="00F91A52">
      <w:pPr>
        <w:pStyle w:val="ListParagraph"/>
        <w:numPr>
          <w:ilvl w:val="0"/>
          <w:numId w:val="5"/>
        </w:numPr>
        <w:spacing w:line="360" w:lineRule="auto"/>
        <w:jc w:val="both"/>
        <w:rPr>
          <w:rFonts w:ascii="Arial" w:hAnsi="Arial"/>
          <w:sz w:val="20"/>
          <w:szCs w:val="20"/>
        </w:rPr>
      </w:pPr>
      <w:r w:rsidRPr="00FD2D4A">
        <w:rPr>
          <w:rFonts w:ascii="Arial" w:hAnsi="Arial"/>
          <w:sz w:val="20"/>
          <w:szCs w:val="20"/>
        </w:rPr>
        <w:t xml:space="preserve">Patients will attend an </w:t>
      </w:r>
      <w:r w:rsidRPr="00A100AF">
        <w:rPr>
          <w:rFonts w:ascii="Arial" w:hAnsi="Arial"/>
          <w:sz w:val="20"/>
          <w:szCs w:val="20"/>
        </w:rPr>
        <w:t xml:space="preserve">anaesthetic pre-admission appointment </w:t>
      </w:r>
      <w:r w:rsidRPr="00FD2D4A">
        <w:rPr>
          <w:rFonts w:ascii="Arial" w:hAnsi="Arial"/>
          <w:sz w:val="20"/>
          <w:szCs w:val="20"/>
        </w:rPr>
        <w:t>prior to their scheduled intervention</w:t>
      </w:r>
      <w:r w:rsidR="00FD2D4A" w:rsidRPr="00FD2D4A">
        <w:rPr>
          <w:rFonts w:ascii="Arial" w:hAnsi="Arial"/>
          <w:sz w:val="20"/>
          <w:szCs w:val="20"/>
        </w:rPr>
        <w:t>.</w:t>
      </w:r>
      <w:r w:rsidR="00FD2D4A">
        <w:rPr>
          <w:rFonts w:ascii="Arial" w:hAnsi="Arial"/>
          <w:sz w:val="20"/>
          <w:szCs w:val="20"/>
        </w:rPr>
        <w:t xml:space="preserve"> </w:t>
      </w:r>
      <w:r w:rsidR="009A5D97">
        <w:rPr>
          <w:rFonts w:ascii="Arial" w:hAnsi="Arial"/>
          <w:sz w:val="20"/>
          <w:szCs w:val="20"/>
        </w:rPr>
        <w:t>A</w:t>
      </w:r>
      <w:r w:rsidR="00465425" w:rsidRPr="00FD2D4A">
        <w:rPr>
          <w:rFonts w:ascii="Arial" w:hAnsi="Arial"/>
          <w:sz w:val="20"/>
          <w:szCs w:val="20"/>
        </w:rPr>
        <w:t xml:space="preserve"> </w:t>
      </w:r>
      <w:r w:rsidRPr="00FD2D4A">
        <w:rPr>
          <w:rFonts w:ascii="Arial" w:hAnsi="Arial"/>
          <w:sz w:val="20"/>
          <w:szCs w:val="20"/>
        </w:rPr>
        <w:t>researcher</w:t>
      </w:r>
      <w:r w:rsidR="008C78D2">
        <w:rPr>
          <w:rFonts w:ascii="Arial" w:hAnsi="Arial"/>
          <w:sz w:val="20"/>
          <w:szCs w:val="20"/>
        </w:rPr>
        <w:t>/resident</w:t>
      </w:r>
      <w:r w:rsidRPr="00FD2D4A">
        <w:rPr>
          <w:rFonts w:ascii="Arial" w:hAnsi="Arial"/>
          <w:sz w:val="20"/>
          <w:szCs w:val="20"/>
        </w:rPr>
        <w:t xml:space="preserve"> </w:t>
      </w:r>
      <w:r w:rsidR="00E1569C">
        <w:rPr>
          <w:rFonts w:ascii="Arial" w:hAnsi="Arial"/>
          <w:sz w:val="20"/>
          <w:szCs w:val="20"/>
        </w:rPr>
        <w:t>from the RBWH</w:t>
      </w:r>
      <w:r w:rsidR="00E14123">
        <w:rPr>
          <w:rFonts w:ascii="Arial" w:hAnsi="Arial"/>
          <w:sz w:val="20"/>
          <w:szCs w:val="20"/>
        </w:rPr>
        <w:t xml:space="preserve"> </w:t>
      </w:r>
      <w:r w:rsidR="00E1569C">
        <w:rPr>
          <w:rFonts w:ascii="Arial" w:hAnsi="Arial"/>
          <w:sz w:val="20"/>
          <w:szCs w:val="20"/>
        </w:rPr>
        <w:t xml:space="preserve">Department of Medical Imaging </w:t>
      </w:r>
      <w:r w:rsidRPr="00FD2D4A">
        <w:rPr>
          <w:rFonts w:ascii="Arial" w:hAnsi="Arial"/>
          <w:sz w:val="20"/>
          <w:szCs w:val="20"/>
        </w:rPr>
        <w:t>will attempt to liaise with the patient</w:t>
      </w:r>
      <w:r w:rsidR="004C60DC">
        <w:rPr>
          <w:rFonts w:ascii="Arial" w:hAnsi="Arial"/>
          <w:sz w:val="20"/>
          <w:szCs w:val="20"/>
        </w:rPr>
        <w:t xml:space="preserve"> between this time and the day of the procedure. </w:t>
      </w:r>
      <w:r w:rsidR="00AE5F39">
        <w:rPr>
          <w:rFonts w:ascii="Arial" w:hAnsi="Arial"/>
          <w:sz w:val="20"/>
          <w:szCs w:val="20"/>
        </w:rPr>
        <w:t>Contact may be in person in the Department or over the telephone</w:t>
      </w:r>
    </w:p>
    <w:p w14:paraId="53429429" w14:textId="7FC74A09" w:rsidR="00F91A52" w:rsidRDefault="00124416" w:rsidP="000861FD">
      <w:pPr>
        <w:pStyle w:val="ListParagraph"/>
        <w:numPr>
          <w:ilvl w:val="0"/>
          <w:numId w:val="5"/>
        </w:numPr>
        <w:spacing w:line="360" w:lineRule="auto"/>
        <w:jc w:val="both"/>
        <w:rPr>
          <w:rFonts w:ascii="Arial" w:hAnsi="Arial"/>
          <w:sz w:val="20"/>
          <w:szCs w:val="20"/>
        </w:rPr>
      </w:pPr>
      <w:r>
        <w:rPr>
          <w:rFonts w:ascii="Arial" w:hAnsi="Arial"/>
          <w:sz w:val="20"/>
          <w:szCs w:val="20"/>
        </w:rPr>
        <w:t xml:space="preserve">On the day of the procedure they </w:t>
      </w:r>
      <w:r w:rsidR="00EE02A7">
        <w:rPr>
          <w:rFonts w:ascii="Arial" w:hAnsi="Arial"/>
          <w:sz w:val="20"/>
          <w:szCs w:val="20"/>
        </w:rPr>
        <w:t>will undergo initial MRI</w:t>
      </w:r>
      <w:r w:rsidR="006D2073">
        <w:rPr>
          <w:rFonts w:ascii="Arial" w:hAnsi="Arial"/>
          <w:sz w:val="20"/>
          <w:szCs w:val="20"/>
        </w:rPr>
        <w:t xml:space="preserve"> (DWI, SWI, FLAIR)</w:t>
      </w:r>
    </w:p>
    <w:p w14:paraId="190D0397" w14:textId="77777777" w:rsidR="00EE02A7" w:rsidRDefault="00EE02A7" w:rsidP="000861FD">
      <w:pPr>
        <w:pStyle w:val="ListParagraph"/>
        <w:numPr>
          <w:ilvl w:val="0"/>
          <w:numId w:val="5"/>
        </w:numPr>
        <w:spacing w:line="360" w:lineRule="auto"/>
        <w:jc w:val="both"/>
        <w:rPr>
          <w:rFonts w:ascii="Arial" w:hAnsi="Arial"/>
          <w:sz w:val="20"/>
          <w:szCs w:val="20"/>
        </w:rPr>
      </w:pPr>
      <w:r>
        <w:rPr>
          <w:rFonts w:ascii="Arial" w:hAnsi="Arial"/>
          <w:sz w:val="20"/>
          <w:szCs w:val="20"/>
        </w:rPr>
        <w:t>The coiling/stenting procedure will be performed according to operator discretion and local protocol</w:t>
      </w:r>
    </w:p>
    <w:p w14:paraId="09CC1726" w14:textId="77777777" w:rsidR="00EE02A7" w:rsidRDefault="00EE02A7" w:rsidP="000861FD">
      <w:pPr>
        <w:pStyle w:val="ListParagraph"/>
        <w:numPr>
          <w:ilvl w:val="0"/>
          <w:numId w:val="5"/>
        </w:numPr>
        <w:spacing w:line="360" w:lineRule="auto"/>
        <w:jc w:val="both"/>
        <w:rPr>
          <w:rFonts w:ascii="Arial" w:hAnsi="Arial"/>
          <w:sz w:val="20"/>
          <w:szCs w:val="20"/>
        </w:rPr>
      </w:pPr>
      <w:r>
        <w:rPr>
          <w:rFonts w:ascii="Arial" w:hAnsi="Arial"/>
          <w:sz w:val="20"/>
          <w:szCs w:val="20"/>
        </w:rPr>
        <w:t>Intraoperative anticoagulation will be administered in the form of heparin with a target ACT of 200-300s</w:t>
      </w:r>
    </w:p>
    <w:p w14:paraId="7C4B9E03" w14:textId="52A68572" w:rsidR="00EE02A7" w:rsidRDefault="00EE02A7" w:rsidP="000861FD">
      <w:pPr>
        <w:pStyle w:val="ListParagraph"/>
        <w:numPr>
          <w:ilvl w:val="0"/>
          <w:numId w:val="5"/>
        </w:numPr>
        <w:spacing w:line="360" w:lineRule="auto"/>
        <w:jc w:val="both"/>
        <w:rPr>
          <w:rFonts w:ascii="Arial" w:hAnsi="Arial"/>
          <w:sz w:val="20"/>
          <w:szCs w:val="20"/>
        </w:rPr>
      </w:pPr>
      <w:r>
        <w:rPr>
          <w:rFonts w:ascii="Arial" w:hAnsi="Arial"/>
          <w:sz w:val="20"/>
          <w:szCs w:val="20"/>
        </w:rPr>
        <w:t>At the conclusion of the procedure the femoral</w:t>
      </w:r>
      <w:r w:rsidR="0093606D">
        <w:rPr>
          <w:rFonts w:ascii="Arial" w:hAnsi="Arial"/>
          <w:sz w:val="20"/>
          <w:szCs w:val="20"/>
        </w:rPr>
        <w:t>/radial</w:t>
      </w:r>
      <w:r>
        <w:rPr>
          <w:rFonts w:ascii="Arial" w:hAnsi="Arial"/>
          <w:sz w:val="20"/>
          <w:szCs w:val="20"/>
        </w:rPr>
        <w:t xml:space="preserve"> catheter sheath will be removed</w:t>
      </w:r>
    </w:p>
    <w:p w14:paraId="2DD35F8B" w14:textId="06DAD61F" w:rsidR="00EE02A7" w:rsidRDefault="00EE02A7" w:rsidP="000861FD">
      <w:pPr>
        <w:pStyle w:val="ListParagraph"/>
        <w:numPr>
          <w:ilvl w:val="0"/>
          <w:numId w:val="5"/>
        </w:numPr>
        <w:spacing w:line="360" w:lineRule="auto"/>
        <w:jc w:val="both"/>
        <w:rPr>
          <w:rFonts w:ascii="Arial" w:hAnsi="Arial"/>
          <w:sz w:val="20"/>
          <w:szCs w:val="20"/>
        </w:rPr>
      </w:pPr>
      <w:r>
        <w:rPr>
          <w:rFonts w:ascii="Arial" w:hAnsi="Arial"/>
          <w:sz w:val="20"/>
          <w:szCs w:val="20"/>
        </w:rPr>
        <w:t xml:space="preserve">Patients will then be randomized into one of the </w:t>
      </w:r>
      <w:r w:rsidR="0093606D">
        <w:rPr>
          <w:rFonts w:ascii="Arial" w:hAnsi="Arial"/>
          <w:sz w:val="20"/>
          <w:szCs w:val="20"/>
        </w:rPr>
        <w:t xml:space="preserve">two </w:t>
      </w:r>
      <w:r>
        <w:rPr>
          <w:rFonts w:ascii="Arial" w:hAnsi="Arial"/>
          <w:sz w:val="20"/>
          <w:szCs w:val="20"/>
        </w:rPr>
        <w:t xml:space="preserve">aforementioned post-operative </w:t>
      </w:r>
      <w:r w:rsidR="00902324">
        <w:rPr>
          <w:rFonts w:ascii="Arial" w:hAnsi="Arial"/>
          <w:sz w:val="20"/>
          <w:szCs w:val="20"/>
        </w:rPr>
        <w:t>anticoagulation</w:t>
      </w:r>
      <w:r>
        <w:rPr>
          <w:rFonts w:ascii="Arial" w:hAnsi="Arial"/>
          <w:sz w:val="20"/>
          <w:szCs w:val="20"/>
        </w:rPr>
        <w:t xml:space="preserve"> groups </w:t>
      </w:r>
    </w:p>
    <w:p w14:paraId="1B703BC6" w14:textId="6CE4EE73" w:rsidR="006D2073" w:rsidRDefault="006D2073" w:rsidP="006D2073">
      <w:pPr>
        <w:pStyle w:val="ListParagraph"/>
        <w:numPr>
          <w:ilvl w:val="1"/>
          <w:numId w:val="5"/>
        </w:numPr>
        <w:spacing w:line="360" w:lineRule="auto"/>
        <w:jc w:val="both"/>
        <w:rPr>
          <w:rFonts w:ascii="Arial" w:hAnsi="Arial"/>
          <w:sz w:val="20"/>
          <w:szCs w:val="20"/>
        </w:rPr>
      </w:pPr>
      <w:r>
        <w:rPr>
          <w:rFonts w:ascii="Arial" w:hAnsi="Arial"/>
          <w:sz w:val="20"/>
          <w:szCs w:val="20"/>
        </w:rPr>
        <w:t>A randomi</w:t>
      </w:r>
      <w:r w:rsidR="00240925">
        <w:rPr>
          <w:rFonts w:ascii="Arial" w:hAnsi="Arial"/>
          <w:sz w:val="20"/>
          <w:szCs w:val="20"/>
        </w:rPr>
        <w:t>s</w:t>
      </w:r>
      <w:r>
        <w:rPr>
          <w:rFonts w:ascii="Arial" w:hAnsi="Arial"/>
          <w:sz w:val="20"/>
          <w:szCs w:val="20"/>
        </w:rPr>
        <w:t xml:space="preserve">ed database will be generated </w:t>
      </w:r>
      <w:r w:rsidR="00240925">
        <w:rPr>
          <w:rFonts w:ascii="Arial" w:hAnsi="Arial"/>
          <w:sz w:val="20"/>
          <w:szCs w:val="20"/>
        </w:rPr>
        <w:t>using a Microsoft Excel spreadsheet</w:t>
      </w:r>
      <w:r w:rsidR="008C7525">
        <w:rPr>
          <w:rFonts w:ascii="Arial" w:hAnsi="Arial"/>
          <w:sz w:val="20"/>
          <w:szCs w:val="20"/>
        </w:rPr>
        <w:t xml:space="preserve"> randomise function</w:t>
      </w:r>
    </w:p>
    <w:p w14:paraId="012AF012" w14:textId="25B562A7" w:rsidR="006D2073" w:rsidRDefault="008A4702" w:rsidP="006D2073">
      <w:pPr>
        <w:pStyle w:val="ListParagraph"/>
        <w:numPr>
          <w:ilvl w:val="1"/>
          <w:numId w:val="5"/>
        </w:numPr>
        <w:spacing w:line="360" w:lineRule="auto"/>
        <w:jc w:val="both"/>
        <w:rPr>
          <w:rFonts w:ascii="Arial" w:hAnsi="Arial"/>
          <w:sz w:val="20"/>
          <w:szCs w:val="20"/>
        </w:rPr>
      </w:pPr>
      <w:r w:rsidRPr="00626614">
        <w:rPr>
          <w:rFonts w:ascii="Arial" w:hAnsi="Arial"/>
          <w:sz w:val="20"/>
          <w:szCs w:val="20"/>
        </w:rPr>
        <w:t>1</w:t>
      </w:r>
      <w:r w:rsidR="00240925" w:rsidRPr="00626614">
        <w:rPr>
          <w:rFonts w:ascii="Arial" w:hAnsi="Arial"/>
          <w:sz w:val="20"/>
          <w:szCs w:val="20"/>
        </w:rPr>
        <w:t>24</w:t>
      </w:r>
      <w:r w:rsidRPr="00C606AF">
        <w:rPr>
          <w:rFonts w:ascii="Arial" w:hAnsi="Arial"/>
          <w:sz w:val="20"/>
          <w:szCs w:val="20"/>
        </w:rPr>
        <w:t xml:space="preserve"> </w:t>
      </w:r>
      <w:r w:rsidR="006D2073">
        <w:rPr>
          <w:rFonts w:ascii="Arial" w:hAnsi="Arial"/>
          <w:sz w:val="20"/>
          <w:szCs w:val="20"/>
        </w:rPr>
        <w:t>physical packets will be generated containing the randomi</w:t>
      </w:r>
      <w:r w:rsidR="00922D2A">
        <w:rPr>
          <w:rFonts w:ascii="Arial" w:hAnsi="Arial"/>
          <w:sz w:val="20"/>
          <w:szCs w:val="20"/>
        </w:rPr>
        <w:t>s</w:t>
      </w:r>
      <w:r w:rsidR="006D2073">
        <w:rPr>
          <w:rFonts w:ascii="Arial" w:hAnsi="Arial"/>
          <w:sz w:val="20"/>
          <w:szCs w:val="20"/>
        </w:rPr>
        <w:t>ed group</w:t>
      </w:r>
      <w:r w:rsidR="00865E9B">
        <w:rPr>
          <w:rFonts w:ascii="Arial" w:hAnsi="Arial"/>
          <w:sz w:val="20"/>
          <w:szCs w:val="20"/>
        </w:rPr>
        <w:t xml:space="preserve"> (</w:t>
      </w:r>
      <w:r w:rsidR="00922D2A">
        <w:rPr>
          <w:rFonts w:ascii="Arial" w:hAnsi="Arial"/>
          <w:sz w:val="20"/>
          <w:szCs w:val="20"/>
        </w:rPr>
        <w:t>62</w:t>
      </w:r>
      <w:r>
        <w:rPr>
          <w:rFonts w:ascii="Arial" w:hAnsi="Arial"/>
          <w:sz w:val="20"/>
          <w:szCs w:val="20"/>
        </w:rPr>
        <w:t xml:space="preserve"> </w:t>
      </w:r>
      <w:r w:rsidR="00865E9B">
        <w:rPr>
          <w:rFonts w:ascii="Arial" w:hAnsi="Arial"/>
          <w:sz w:val="20"/>
          <w:szCs w:val="20"/>
        </w:rPr>
        <w:t>per group)</w:t>
      </w:r>
      <w:r w:rsidR="00921AA5">
        <w:rPr>
          <w:rFonts w:ascii="Arial" w:hAnsi="Arial"/>
          <w:sz w:val="20"/>
          <w:szCs w:val="20"/>
        </w:rPr>
        <w:t>, in addition to important research instructions (e.g. forms detailing required observations etc)</w:t>
      </w:r>
    </w:p>
    <w:p w14:paraId="082AC692" w14:textId="4165CBBB" w:rsidR="00921AA5" w:rsidRDefault="00921AA5" w:rsidP="006D2073">
      <w:pPr>
        <w:pStyle w:val="ListParagraph"/>
        <w:numPr>
          <w:ilvl w:val="1"/>
          <w:numId w:val="5"/>
        </w:numPr>
        <w:spacing w:line="360" w:lineRule="auto"/>
        <w:jc w:val="both"/>
        <w:rPr>
          <w:rFonts w:ascii="Arial" w:hAnsi="Arial"/>
          <w:sz w:val="20"/>
          <w:szCs w:val="20"/>
        </w:rPr>
      </w:pPr>
      <w:r>
        <w:rPr>
          <w:rFonts w:ascii="Arial" w:hAnsi="Arial"/>
          <w:sz w:val="20"/>
          <w:szCs w:val="20"/>
        </w:rPr>
        <w:t xml:space="preserve">The </w:t>
      </w:r>
      <w:r w:rsidR="00760B7A">
        <w:rPr>
          <w:rFonts w:ascii="Arial" w:hAnsi="Arial"/>
          <w:sz w:val="20"/>
          <w:szCs w:val="20"/>
        </w:rPr>
        <w:t>operating int</w:t>
      </w:r>
      <w:r>
        <w:rPr>
          <w:rFonts w:ascii="Arial" w:hAnsi="Arial"/>
          <w:sz w:val="20"/>
          <w:szCs w:val="20"/>
        </w:rPr>
        <w:t xml:space="preserve">erventional neuroradiologist will </w:t>
      </w:r>
      <w:r w:rsidR="00E06FE5">
        <w:rPr>
          <w:rFonts w:ascii="Arial" w:hAnsi="Arial"/>
          <w:sz w:val="20"/>
          <w:szCs w:val="20"/>
        </w:rPr>
        <w:t xml:space="preserve">be given </w:t>
      </w:r>
      <w:r>
        <w:rPr>
          <w:rFonts w:ascii="Arial" w:hAnsi="Arial"/>
          <w:sz w:val="20"/>
          <w:szCs w:val="20"/>
        </w:rPr>
        <w:t xml:space="preserve">the </w:t>
      </w:r>
      <w:r w:rsidR="00E06FE5">
        <w:rPr>
          <w:rFonts w:ascii="Arial" w:hAnsi="Arial"/>
          <w:sz w:val="20"/>
          <w:szCs w:val="20"/>
        </w:rPr>
        <w:t xml:space="preserve">next </w:t>
      </w:r>
      <w:r>
        <w:rPr>
          <w:rFonts w:ascii="Arial" w:hAnsi="Arial"/>
          <w:sz w:val="20"/>
          <w:szCs w:val="20"/>
        </w:rPr>
        <w:t xml:space="preserve">packet </w:t>
      </w:r>
      <w:r w:rsidR="00E06FE5">
        <w:rPr>
          <w:rFonts w:ascii="Arial" w:hAnsi="Arial"/>
          <w:sz w:val="20"/>
          <w:szCs w:val="20"/>
        </w:rPr>
        <w:t>in se</w:t>
      </w:r>
      <w:r w:rsidR="00E430BF">
        <w:rPr>
          <w:rFonts w:ascii="Arial" w:hAnsi="Arial"/>
          <w:sz w:val="20"/>
          <w:szCs w:val="20"/>
        </w:rPr>
        <w:t>quence</w:t>
      </w:r>
    </w:p>
    <w:p w14:paraId="2BB9386F" w14:textId="2B39E105" w:rsidR="00D04203" w:rsidRDefault="008E617C" w:rsidP="000861FD">
      <w:pPr>
        <w:pStyle w:val="ListParagraph"/>
        <w:numPr>
          <w:ilvl w:val="0"/>
          <w:numId w:val="5"/>
        </w:numPr>
        <w:spacing w:line="360" w:lineRule="auto"/>
        <w:jc w:val="both"/>
        <w:rPr>
          <w:rFonts w:ascii="Arial" w:hAnsi="Arial"/>
          <w:sz w:val="20"/>
          <w:szCs w:val="20"/>
        </w:rPr>
      </w:pPr>
      <w:r>
        <w:rPr>
          <w:rFonts w:ascii="Arial" w:hAnsi="Arial"/>
          <w:sz w:val="20"/>
          <w:szCs w:val="20"/>
        </w:rPr>
        <w:t>Patients will be kept for at least 24-48 hours in the Intensive Care Unit (ICU) for observation [standard of care]</w:t>
      </w:r>
    </w:p>
    <w:p w14:paraId="65467351" w14:textId="0E25ACF8" w:rsidR="009573B5" w:rsidRDefault="009573B5" w:rsidP="000861FD">
      <w:pPr>
        <w:pStyle w:val="ListParagraph"/>
        <w:numPr>
          <w:ilvl w:val="0"/>
          <w:numId w:val="5"/>
        </w:numPr>
        <w:spacing w:line="360" w:lineRule="auto"/>
        <w:jc w:val="both"/>
        <w:rPr>
          <w:rFonts w:ascii="Arial" w:hAnsi="Arial"/>
          <w:sz w:val="20"/>
          <w:szCs w:val="20"/>
        </w:rPr>
      </w:pPr>
      <w:r>
        <w:rPr>
          <w:rFonts w:ascii="Arial" w:hAnsi="Arial"/>
          <w:sz w:val="20"/>
          <w:szCs w:val="20"/>
        </w:rPr>
        <w:t>Patients will receive a neurological examination day 1 post-procedure</w:t>
      </w:r>
    </w:p>
    <w:p w14:paraId="637E9085" w14:textId="0122BA24" w:rsidR="008E617C" w:rsidRDefault="008E617C" w:rsidP="000861FD">
      <w:pPr>
        <w:pStyle w:val="ListParagraph"/>
        <w:numPr>
          <w:ilvl w:val="0"/>
          <w:numId w:val="5"/>
        </w:numPr>
        <w:spacing w:line="360" w:lineRule="auto"/>
        <w:jc w:val="both"/>
        <w:rPr>
          <w:rFonts w:ascii="Arial" w:hAnsi="Arial"/>
          <w:sz w:val="20"/>
          <w:szCs w:val="20"/>
        </w:rPr>
      </w:pPr>
      <w:r>
        <w:rPr>
          <w:rFonts w:ascii="Arial" w:hAnsi="Arial"/>
          <w:sz w:val="20"/>
          <w:szCs w:val="20"/>
        </w:rPr>
        <w:t>Post-operative complications will be documented in the patient’s chart</w:t>
      </w:r>
    </w:p>
    <w:p w14:paraId="350AF9ED" w14:textId="3EEBAE81" w:rsidR="008E617C" w:rsidRDefault="008E617C" w:rsidP="000861FD">
      <w:pPr>
        <w:pStyle w:val="ListParagraph"/>
        <w:numPr>
          <w:ilvl w:val="0"/>
          <w:numId w:val="5"/>
        </w:numPr>
        <w:spacing w:line="360" w:lineRule="auto"/>
        <w:jc w:val="both"/>
        <w:rPr>
          <w:rFonts w:ascii="Arial" w:hAnsi="Arial"/>
          <w:sz w:val="20"/>
          <w:szCs w:val="20"/>
        </w:rPr>
      </w:pPr>
      <w:r>
        <w:rPr>
          <w:rFonts w:ascii="Arial" w:hAnsi="Arial"/>
          <w:sz w:val="20"/>
          <w:szCs w:val="20"/>
        </w:rPr>
        <w:t>Medical Emergencies will be dealt with according to the local protocols and practitioner experience</w:t>
      </w:r>
    </w:p>
    <w:p w14:paraId="72926812" w14:textId="0F8AE611" w:rsidR="008E617C" w:rsidRDefault="008E617C" w:rsidP="000861FD">
      <w:pPr>
        <w:pStyle w:val="ListParagraph"/>
        <w:numPr>
          <w:ilvl w:val="0"/>
          <w:numId w:val="5"/>
        </w:numPr>
        <w:spacing w:line="360" w:lineRule="auto"/>
        <w:jc w:val="both"/>
        <w:rPr>
          <w:rFonts w:ascii="Arial" w:hAnsi="Arial"/>
          <w:sz w:val="20"/>
          <w:szCs w:val="20"/>
        </w:rPr>
      </w:pPr>
      <w:r>
        <w:rPr>
          <w:rFonts w:ascii="Arial" w:hAnsi="Arial"/>
          <w:sz w:val="20"/>
          <w:szCs w:val="20"/>
        </w:rPr>
        <w:t>At post-operative day 1</w:t>
      </w:r>
      <w:r w:rsidR="00E430BF">
        <w:rPr>
          <w:rFonts w:ascii="Arial" w:hAnsi="Arial"/>
          <w:sz w:val="20"/>
          <w:szCs w:val="20"/>
        </w:rPr>
        <w:t xml:space="preserve"> or </w:t>
      </w:r>
      <w:r w:rsidR="00590812">
        <w:rPr>
          <w:rFonts w:ascii="Arial" w:hAnsi="Arial"/>
          <w:sz w:val="20"/>
          <w:szCs w:val="20"/>
        </w:rPr>
        <w:t>2</w:t>
      </w:r>
      <w:r w:rsidR="00E430BF">
        <w:rPr>
          <w:rFonts w:ascii="Arial" w:hAnsi="Arial"/>
          <w:sz w:val="20"/>
          <w:szCs w:val="20"/>
        </w:rPr>
        <w:t>,</w:t>
      </w:r>
      <w:r>
        <w:rPr>
          <w:rFonts w:ascii="Arial" w:hAnsi="Arial"/>
          <w:sz w:val="20"/>
          <w:szCs w:val="20"/>
        </w:rPr>
        <w:t xml:space="preserve"> patients will receive an additional MRI</w:t>
      </w:r>
    </w:p>
    <w:p w14:paraId="2492CD3A" w14:textId="4A894F86" w:rsidR="00C215E1" w:rsidRDefault="00C215E1" w:rsidP="000861FD">
      <w:pPr>
        <w:pStyle w:val="ListParagraph"/>
        <w:numPr>
          <w:ilvl w:val="0"/>
          <w:numId w:val="5"/>
        </w:numPr>
        <w:spacing w:line="360" w:lineRule="auto"/>
        <w:jc w:val="both"/>
        <w:rPr>
          <w:rFonts w:ascii="Arial" w:hAnsi="Arial"/>
          <w:sz w:val="20"/>
          <w:szCs w:val="20"/>
        </w:rPr>
      </w:pPr>
      <w:r>
        <w:rPr>
          <w:rFonts w:ascii="Arial" w:hAnsi="Arial"/>
          <w:sz w:val="20"/>
          <w:szCs w:val="20"/>
        </w:rPr>
        <w:t xml:space="preserve">Patients who were deemed not to require post-operative anti-coagulation will follow the same pathway, but will not have any anticoagulation. They will still receive their Day 1-2 MRI scan. </w:t>
      </w:r>
    </w:p>
    <w:p w14:paraId="1F776669" w14:textId="0FFE11E9" w:rsidR="008E617C" w:rsidRDefault="008E617C" w:rsidP="000861FD">
      <w:pPr>
        <w:pStyle w:val="ListParagraph"/>
        <w:numPr>
          <w:ilvl w:val="0"/>
          <w:numId w:val="5"/>
        </w:numPr>
        <w:spacing w:line="360" w:lineRule="auto"/>
        <w:jc w:val="both"/>
        <w:rPr>
          <w:rFonts w:ascii="Arial" w:hAnsi="Arial"/>
          <w:sz w:val="20"/>
          <w:szCs w:val="20"/>
        </w:rPr>
      </w:pPr>
      <w:r>
        <w:rPr>
          <w:rFonts w:ascii="Arial" w:hAnsi="Arial"/>
          <w:sz w:val="20"/>
          <w:szCs w:val="20"/>
        </w:rPr>
        <w:t>Patients will be discharged home once medically stable</w:t>
      </w:r>
    </w:p>
    <w:p w14:paraId="3F731AC4" w14:textId="77777777" w:rsidR="0024134C" w:rsidRDefault="0024134C" w:rsidP="0024134C">
      <w:pPr>
        <w:spacing w:line="360" w:lineRule="auto"/>
        <w:jc w:val="both"/>
        <w:rPr>
          <w:rFonts w:ascii="Arial" w:hAnsi="Arial"/>
          <w:b/>
          <w:sz w:val="20"/>
          <w:szCs w:val="20"/>
        </w:rPr>
      </w:pPr>
    </w:p>
    <w:p w14:paraId="2101BF6F" w14:textId="77777777" w:rsidR="00EF1C9A" w:rsidRDefault="00EF1C9A" w:rsidP="00EF1C9A">
      <w:pPr>
        <w:spacing w:line="360" w:lineRule="auto"/>
        <w:jc w:val="both"/>
        <w:rPr>
          <w:rFonts w:ascii="Arial" w:hAnsi="Arial"/>
          <w:sz w:val="20"/>
          <w:szCs w:val="20"/>
        </w:rPr>
      </w:pPr>
    </w:p>
    <w:p w14:paraId="48A7FE69" w14:textId="591BF98E" w:rsidR="003C7A4A" w:rsidRPr="0016523B" w:rsidRDefault="003C7A4A" w:rsidP="00EF1C9A">
      <w:pPr>
        <w:spacing w:line="360" w:lineRule="auto"/>
        <w:jc w:val="both"/>
        <w:rPr>
          <w:rFonts w:ascii="Arial" w:hAnsi="Arial"/>
          <w:b/>
          <w:sz w:val="20"/>
          <w:szCs w:val="20"/>
        </w:rPr>
      </w:pPr>
      <w:r w:rsidRPr="0016523B">
        <w:rPr>
          <w:rFonts w:ascii="Arial" w:hAnsi="Arial"/>
          <w:b/>
          <w:sz w:val="20"/>
          <w:szCs w:val="20"/>
        </w:rPr>
        <w:t>Image Analysis (pre- and post- procedure MR-DWI</w:t>
      </w:r>
      <w:r w:rsidR="0021513A">
        <w:rPr>
          <w:rFonts w:ascii="Arial" w:hAnsi="Arial"/>
          <w:b/>
          <w:sz w:val="20"/>
          <w:szCs w:val="20"/>
        </w:rPr>
        <w:t>, SWI</w:t>
      </w:r>
      <w:r w:rsidR="00BB1B6F">
        <w:rPr>
          <w:rFonts w:ascii="Arial" w:hAnsi="Arial"/>
          <w:b/>
          <w:sz w:val="20"/>
          <w:szCs w:val="20"/>
        </w:rPr>
        <w:t xml:space="preserve"> and FLAIR</w:t>
      </w:r>
      <w:r w:rsidRPr="0016523B">
        <w:rPr>
          <w:rFonts w:ascii="Arial" w:hAnsi="Arial"/>
          <w:b/>
          <w:sz w:val="20"/>
          <w:szCs w:val="20"/>
        </w:rPr>
        <w:t>)</w:t>
      </w:r>
    </w:p>
    <w:p w14:paraId="3D09C849" w14:textId="77777777" w:rsidR="00142717" w:rsidRDefault="0046284E" w:rsidP="0046284E">
      <w:pPr>
        <w:pStyle w:val="ListParagraph"/>
        <w:numPr>
          <w:ilvl w:val="0"/>
          <w:numId w:val="5"/>
        </w:numPr>
        <w:spacing w:line="360" w:lineRule="auto"/>
        <w:jc w:val="both"/>
        <w:rPr>
          <w:rFonts w:ascii="Arial" w:hAnsi="Arial"/>
          <w:sz w:val="20"/>
          <w:szCs w:val="20"/>
        </w:rPr>
      </w:pPr>
      <w:r w:rsidRPr="0046284E">
        <w:rPr>
          <w:rFonts w:ascii="Arial" w:hAnsi="Arial"/>
          <w:sz w:val="20"/>
          <w:szCs w:val="20"/>
        </w:rPr>
        <w:t xml:space="preserve">All acquired images will be reviewed by an experienced radiologist and compared. </w:t>
      </w:r>
    </w:p>
    <w:p w14:paraId="46F49E26" w14:textId="77777777" w:rsidR="00F66985" w:rsidRDefault="00142717" w:rsidP="0015032E">
      <w:pPr>
        <w:pStyle w:val="ListParagraph"/>
        <w:numPr>
          <w:ilvl w:val="0"/>
          <w:numId w:val="5"/>
        </w:numPr>
        <w:spacing w:line="360" w:lineRule="auto"/>
        <w:jc w:val="both"/>
        <w:rPr>
          <w:rFonts w:ascii="Arial" w:hAnsi="Arial"/>
          <w:sz w:val="20"/>
          <w:szCs w:val="20"/>
        </w:rPr>
      </w:pPr>
      <w:r w:rsidRPr="00DE67E3">
        <w:rPr>
          <w:rFonts w:ascii="Arial" w:hAnsi="Arial"/>
          <w:sz w:val="20"/>
          <w:szCs w:val="20"/>
        </w:rPr>
        <w:lastRenderedPageBreak/>
        <w:t xml:space="preserve">DWI lesions </w:t>
      </w:r>
    </w:p>
    <w:p w14:paraId="587D3DC9" w14:textId="77777777" w:rsidR="0061425D" w:rsidRPr="000049CB" w:rsidRDefault="0061425D" w:rsidP="0061425D">
      <w:pPr>
        <w:pStyle w:val="ListParagraph"/>
        <w:numPr>
          <w:ilvl w:val="1"/>
          <w:numId w:val="5"/>
        </w:numPr>
        <w:spacing w:line="360" w:lineRule="auto"/>
        <w:jc w:val="both"/>
        <w:rPr>
          <w:rFonts w:ascii="Arial" w:hAnsi="Arial"/>
          <w:sz w:val="20"/>
          <w:szCs w:val="20"/>
        </w:rPr>
      </w:pPr>
      <w:r w:rsidRPr="000049CB">
        <w:rPr>
          <w:rFonts w:ascii="Arial" w:hAnsi="Arial"/>
          <w:sz w:val="20"/>
          <w:szCs w:val="20"/>
        </w:rPr>
        <w:t>Location</w:t>
      </w:r>
      <w:r>
        <w:rPr>
          <w:rFonts w:ascii="Arial" w:hAnsi="Arial"/>
          <w:sz w:val="20"/>
          <w:szCs w:val="20"/>
        </w:rPr>
        <w:t xml:space="preserve"> </w:t>
      </w:r>
      <w:r w:rsidRPr="000049CB">
        <w:rPr>
          <w:rFonts w:ascii="Arial" w:hAnsi="Arial"/>
          <w:sz w:val="20"/>
          <w:szCs w:val="20"/>
        </w:rPr>
        <w:t>(intra or extra-territorial to treated aneurysm)</w:t>
      </w:r>
    </w:p>
    <w:p w14:paraId="57B84034" w14:textId="77777777" w:rsidR="0061425D" w:rsidRDefault="0061425D" w:rsidP="0061425D">
      <w:pPr>
        <w:pStyle w:val="ListParagraph"/>
        <w:numPr>
          <w:ilvl w:val="1"/>
          <w:numId w:val="5"/>
        </w:numPr>
        <w:spacing w:line="360" w:lineRule="auto"/>
        <w:jc w:val="both"/>
        <w:rPr>
          <w:rFonts w:ascii="Arial" w:hAnsi="Arial"/>
          <w:sz w:val="20"/>
          <w:szCs w:val="20"/>
        </w:rPr>
      </w:pPr>
      <w:r>
        <w:rPr>
          <w:rFonts w:ascii="Arial" w:hAnsi="Arial"/>
          <w:sz w:val="20"/>
          <w:szCs w:val="20"/>
        </w:rPr>
        <w:t>Size : &lt;20mm or &gt;20mm</w:t>
      </w:r>
    </w:p>
    <w:p w14:paraId="5283F237" w14:textId="77777777" w:rsidR="0061425D" w:rsidRDefault="0061425D" w:rsidP="0061425D">
      <w:pPr>
        <w:pStyle w:val="ListParagraph"/>
        <w:numPr>
          <w:ilvl w:val="1"/>
          <w:numId w:val="5"/>
        </w:numPr>
        <w:spacing w:line="360" w:lineRule="auto"/>
        <w:jc w:val="both"/>
        <w:rPr>
          <w:rFonts w:ascii="Arial" w:hAnsi="Arial"/>
          <w:sz w:val="20"/>
          <w:szCs w:val="20"/>
        </w:rPr>
      </w:pPr>
      <w:r>
        <w:rPr>
          <w:rFonts w:ascii="Arial" w:hAnsi="Arial"/>
          <w:sz w:val="20"/>
          <w:szCs w:val="20"/>
        </w:rPr>
        <w:t>Number</w:t>
      </w:r>
    </w:p>
    <w:p w14:paraId="473D96A1" w14:textId="48194FF7" w:rsidR="003C7A4A" w:rsidRPr="00DE67E3" w:rsidRDefault="00DE67E3" w:rsidP="00626614">
      <w:pPr>
        <w:pStyle w:val="ListParagraph"/>
        <w:numPr>
          <w:ilvl w:val="0"/>
          <w:numId w:val="5"/>
        </w:numPr>
        <w:spacing w:line="360" w:lineRule="auto"/>
        <w:rPr>
          <w:rFonts w:ascii="Arial" w:hAnsi="Arial"/>
          <w:sz w:val="20"/>
          <w:szCs w:val="20"/>
        </w:rPr>
      </w:pPr>
      <w:r w:rsidRPr="00DE67E3">
        <w:rPr>
          <w:rFonts w:ascii="Arial" w:hAnsi="Arial"/>
          <w:sz w:val="20"/>
          <w:szCs w:val="20"/>
        </w:rPr>
        <w:t>Positive lesions defined as area of high signal on DWI with corresponding low signal on ADC (i.e. suggestive of restricted diffusion of H2O).</w:t>
      </w:r>
      <w:r>
        <w:rPr>
          <w:rFonts w:ascii="Arial" w:hAnsi="Arial"/>
          <w:sz w:val="20"/>
          <w:szCs w:val="20"/>
        </w:rPr>
        <w:t xml:space="preserve"> </w:t>
      </w:r>
      <w:r w:rsidR="006B45B1" w:rsidRPr="00DE67E3">
        <w:rPr>
          <w:rFonts w:ascii="Arial" w:hAnsi="Arial"/>
          <w:sz w:val="20"/>
          <w:szCs w:val="20"/>
        </w:rPr>
        <w:t>In the unlikely event that additional opinion is needed, it will be obtained from another neuroradiologist within the medical imaging department.</w:t>
      </w:r>
    </w:p>
    <w:p w14:paraId="762CED9C" w14:textId="7DE87407" w:rsidR="0046284E" w:rsidRDefault="0046284E" w:rsidP="0046284E">
      <w:pPr>
        <w:pStyle w:val="ListParagraph"/>
        <w:numPr>
          <w:ilvl w:val="0"/>
          <w:numId w:val="5"/>
        </w:numPr>
        <w:spacing w:line="360" w:lineRule="auto"/>
        <w:jc w:val="both"/>
        <w:rPr>
          <w:rFonts w:ascii="Arial" w:hAnsi="Arial"/>
          <w:sz w:val="20"/>
          <w:szCs w:val="20"/>
        </w:rPr>
      </w:pPr>
      <w:r>
        <w:rPr>
          <w:rFonts w:ascii="Arial" w:hAnsi="Arial"/>
          <w:sz w:val="20"/>
          <w:szCs w:val="20"/>
        </w:rPr>
        <w:t xml:space="preserve">Pre- and post- images will be reviewed for evidence of </w:t>
      </w:r>
      <w:r w:rsidR="008D27CA">
        <w:rPr>
          <w:rFonts w:ascii="Arial" w:hAnsi="Arial"/>
          <w:sz w:val="20"/>
          <w:szCs w:val="20"/>
        </w:rPr>
        <w:t xml:space="preserve">new </w:t>
      </w:r>
      <w:r>
        <w:rPr>
          <w:rFonts w:ascii="Arial" w:hAnsi="Arial"/>
          <w:sz w:val="20"/>
          <w:szCs w:val="20"/>
        </w:rPr>
        <w:t>ischaemic lesions and compared</w:t>
      </w:r>
    </w:p>
    <w:p w14:paraId="09536483" w14:textId="5F64272D" w:rsidR="00274871" w:rsidRDefault="00274871" w:rsidP="00274871">
      <w:pPr>
        <w:pStyle w:val="ListParagraph"/>
        <w:numPr>
          <w:ilvl w:val="0"/>
          <w:numId w:val="5"/>
        </w:numPr>
        <w:spacing w:line="360" w:lineRule="auto"/>
        <w:jc w:val="both"/>
        <w:rPr>
          <w:rFonts w:ascii="Arial" w:hAnsi="Arial"/>
          <w:sz w:val="20"/>
          <w:szCs w:val="20"/>
        </w:rPr>
      </w:pPr>
      <w:r>
        <w:rPr>
          <w:rFonts w:ascii="Arial" w:hAnsi="Arial"/>
          <w:sz w:val="20"/>
          <w:szCs w:val="20"/>
        </w:rPr>
        <w:t>S</w:t>
      </w:r>
      <w:r w:rsidR="009517C7" w:rsidRPr="009517C7">
        <w:rPr>
          <w:rFonts w:ascii="Arial" w:hAnsi="Arial"/>
          <w:sz w:val="20"/>
          <w:szCs w:val="20"/>
        </w:rPr>
        <w:t>WI lesions</w:t>
      </w:r>
      <w:r>
        <w:rPr>
          <w:rFonts w:ascii="Arial" w:hAnsi="Arial"/>
          <w:sz w:val="20"/>
          <w:szCs w:val="20"/>
        </w:rPr>
        <w:t xml:space="preserve"> - Pre- and post- images will be reviewed for evidence of new SWI lesions and compared</w:t>
      </w:r>
    </w:p>
    <w:p w14:paraId="6A519F17" w14:textId="4E96E243" w:rsidR="009517C7" w:rsidRDefault="00274871" w:rsidP="0046284E">
      <w:pPr>
        <w:pStyle w:val="ListParagraph"/>
        <w:numPr>
          <w:ilvl w:val="0"/>
          <w:numId w:val="5"/>
        </w:numPr>
        <w:spacing w:line="360" w:lineRule="auto"/>
        <w:jc w:val="both"/>
        <w:rPr>
          <w:rFonts w:ascii="Arial" w:hAnsi="Arial"/>
          <w:sz w:val="20"/>
          <w:szCs w:val="20"/>
        </w:rPr>
      </w:pPr>
      <w:r>
        <w:rPr>
          <w:rFonts w:ascii="Arial" w:hAnsi="Arial"/>
          <w:sz w:val="20"/>
          <w:szCs w:val="20"/>
        </w:rPr>
        <w:t>FLAIR</w:t>
      </w:r>
      <w:r w:rsidR="000922CF">
        <w:rPr>
          <w:rFonts w:ascii="Arial" w:hAnsi="Arial"/>
          <w:sz w:val="20"/>
          <w:szCs w:val="20"/>
        </w:rPr>
        <w:t xml:space="preserve"> – pre-procedural FLAIR images will be assessed for </w:t>
      </w:r>
      <w:r w:rsidR="00DA37A2">
        <w:rPr>
          <w:rFonts w:ascii="Arial" w:hAnsi="Arial"/>
          <w:sz w:val="20"/>
          <w:szCs w:val="20"/>
        </w:rPr>
        <w:t xml:space="preserve">previous infarcts or </w:t>
      </w:r>
      <w:r w:rsidR="000922CF">
        <w:rPr>
          <w:rFonts w:ascii="Arial" w:hAnsi="Arial"/>
          <w:sz w:val="20"/>
          <w:szCs w:val="20"/>
        </w:rPr>
        <w:t xml:space="preserve">cerebral </w:t>
      </w:r>
      <w:r w:rsidR="003600E2">
        <w:rPr>
          <w:rFonts w:ascii="Arial" w:hAnsi="Arial"/>
          <w:sz w:val="20"/>
          <w:szCs w:val="20"/>
        </w:rPr>
        <w:t>microangiopathy</w:t>
      </w:r>
      <w:r w:rsidR="00D8252D">
        <w:rPr>
          <w:rFonts w:ascii="Arial" w:hAnsi="Arial"/>
          <w:sz w:val="20"/>
          <w:szCs w:val="20"/>
        </w:rPr>
        <w:t>.</w:t>
      </w:r>
      <w:r w:rsidR="003600E2">
        <w:rPr>
          <w:rFonts w:ascii="Arial" w:hAnsi="Arial"/>
          <w:sz w:val="20"/>
          <w:szCs w:val="20"/>
        </w:rPr>
        <w:t xml:space="preserve"> The white matter will be graded using Swieten’s scale</w:t>
      </w:r>
      <w:r w:rsidR="00017FDE">
        <w:rPr>
          <w:rFonts w:ascii="Arial" w:hAnsi="Arial"/>
          <w:sz w:val="20"/>
          <w:szCs w:val="20"/>
        </w:rPr>
        <w:fldChar w:fldCharType="begin" w:fldLock="1"/>
      </w:r>
      <w:r w:rsidR="004A4C1F">
        <w:rPr>
          <w:rFonts w:ascii="Arial" w:hAnsi="Arial"/>
          <w:sz w:val="20"/>
          <w:szCs w:val="20"/>
        </w:rPr>
        <w:instrText>ADDIN CSL_CITATION {"citationItems":[{"id":"ITEM-1","itemData":{"DOI":"10.1136/jnnp.53.12.1080","ISSN":"00223050","PMID":"2292703","abstract":"We developed and tested a simple threepoint scale for grading white matter lesions in anterior and posterior regions of the brain. Twenty four CT scans and 24 MRI scans were separately judged by 11 and five observers, respectively, on the presence and severity of white matter lesions. The observers were radiologists and neurologists. For CT scans, these periventricular changes were graded according to their extent as absent, or partly involving the white matter, or extending up to the subcortical region. The MRI lesions were graded as no lesion or only a single one, multiple focal lesions, and multiple confluent lesions. The pairwise agreements of all possible combinations of observers for each scan were corrected for chance (kappa statistics; maximal agreement 1-0). The weighted kappa value, for anterior and posterior regions combined, was 0-63 for CT scans, and 078 for MRI scans. This three-point scale for two separate regions seems suitable as a basis for cross-sectional or longitudinal studies of large series of patients.","author":[{"dropping-particle":"","family":"Swieten","given":"J. C.","non-dropping-particle":"Van","parse-names":false,"suffix":""},{"dropping-particle":"","family":"Gijn","given":"J.","non-dropping-particle":"Van","parse-names":false,"suffix":""},{"dropping-particle":"","family":"Hijdra","given":"A.","non-dropping-particle":"","parse-names":false,"suffix":""},{"dropping-particle":"","family":"Koudstaal","given":"P. J.","non-dropping-particle":"","parse-names":false,"suffix":""}],"container-title":"Journal of Neurology, Neurosurgery and Psychiatry","id":"ITEM-1","issue":"12","issued":{"date-parts":[["1990","12","1"]]},"page":"1080-1083","publisher":"BMJ Publishing Group","title":"Grading white matter lesions on CT and MRI: A simple scale","type":"article-journal","volume":"53"},"uris":["http://www.mendeley.com/documents/?uuid=87a9b72e-87f4-3b5d-9f89-156d1a24b685"]}],"mendeley":{"formattedCitation":"&lt;sup&gt;10&lt;/sup&gt;","plainTextFormattedCitation":"10","previouslyFormattedCitation":"&lt;sup&gt;10&lt;/sup&gt;"},"properties":{"noteIndex":0},"schema":"https://github.com/citation-style-language/schema/raw/master/csl-citation.json"}</w:instrText>
      </w:r>
      <w:r w:rsidR="00017FDE">
        <w:rPr>
          <w:rFonts w:ascii="Arial" w:hAnsi="Arial"/>
          <w:sz w:val="20"/>
          <w:szCs w:val="20"/>
        </w:rPr>
        <w:fldChar w:fldCharType="separate"/>
      </w:r>
      <w:r w:rsidR="00017FDE" w:rsidRPr="00017FDE">
        <w:rPr>
          <w:rFonts w:ascii="Arial" w:hAnsi="Arial"/>
          <w:noProof/>
          <w:sz w:val="20"/>
          <w:szCs w:val="20"/>
          <w:vertAlign w:val="superscript"/>
        </w:rPr>
        <w:t>10</w:t>
      </w:r>
      <w:r w:rsidR="00017FDE">
        <w:rPr>
          <w:rFonts w:ascii="Arial" w:hAnsi="Arial"/>
          <w:sz w:val="20"/>
          <w:szCs w:val="20"/>
        </w:rPr>
        <w:fldChar w:fldCharType="end"/>
      </w:r>
      <w:r w:rsidR="003600E2">
        <w:rPr>
          <w:rFonts w:ascii="Arial" w:hAnsi="Arial"/>
          <w:sz w:val="20"/>
          <w:szCs w:val="20"/>
        </w:rPr>
        <w:t>.</w:t>
      </w:r>
    </w:p>
    <w:p w14:paraId="65046500" w14:textId="77777777" w:rsidR="00745A6F" w:rsidRPr="00295205" w:rsidRDefault="00745A6F" w:rsidP="007A3A88">
      <w:pPr>
        <w:spacing w:line="360" w:lineRule="auto"/>
        <w:jc w:val="both"/>
        <w:rPr>
          <w:rFonts w:ascii="Arial" w:hAnsi="Arial"/>
          <w:sz w:val="20"/>
          <w:szCs w:val="20"/>
        </w:rPr>
      </w:pPr>
    </w:p>
    <w:p w14:paraId="421CBE5B" w14:textId="77777777" w:rsidR="00BF7CA6" w:rsidRPr="004D06BB" w:rsidRDefault="00BF7CA6" w:rsidP="007A3A88">
      <w:pPr>
        <w:spacing w:line="360" w:lineRule="auto"/>
        <w:jc w:val="both"/>
        <w:rPr>
          <w:rFonts w:ascii="Arial" w:hAnsi="Arial"/>
          <w:i/>
          <w:color w:val="92CDDC" w:themeColor="accent5" w:themeTint="99"/>
          <w:sz w:val="20"/>
          <w:szCs w:val="20"/>
        </w:rPr>
      </w:pPr>
      <w:r w:rsidRPr="004D06BB">
        <w:rPr>
          <w:rFonts w:ascii="Arial" w:hAnsi="Arial"/>
          <w:i/>
          <w:color w:val="92CDDC" w:themeColor="accent5" w:themeTint="99"/>
          <w:sz w:val="20"/>
          <w:szCs w:val="20"/>
        </w:rPr>
        <w:t>Variables</w:t>
      </w:r>
    </w:p>
    <w:p w14:paraId="5CE20C5A" w14:textId="6965A3E6" w:rsidR="00BF7CA6" w:rsidRDefault="001244F0" w:rsidP="007A3A88">
      <w:pPr>
        <w:spacing w:line="360" w:lineRule="auto"/>
        <w:jc w:val="both"/>
        <w:rPr>
          <w:rFonts w:ascii="Arial" w:hAnsi="Arial"/>
          <w:sz w:val="20"/>
          <w:szCs w:val="20"/>
        </w:rPr>
      </w:pPr>
      <w:r>
        <w:rPr>
          <w:rFonts w:ascii="Arial" w:hAnsi="Arial"/>
          <w:sz w:val="20"/>
          <w:szCs w:val="20"/>
        </w:rPr>
        <w:t>Anticoagulation</w:t>
      </w:r>
      <w:r w:rsidR="00505A76">
        <w:rPr>
          <w:rFonts w:ascii="Arial" w:hAnsi="Arial"/>
          <w:sz w:val="20"/>
          <w:szCs w:val="20"/>
        </w:rPr>
        <w:t xml:space="preserve"> dosing regime </w:t>
      </w:r>
    </w:p>
    <w:p w14:paraId="7E785F1D" w14:textId="2348DFF3" w:rsidR="00505A76" w:rsidRPr="00653D1E" w:rsidRDefault="00505A76" w:rsidP="007A3A88">
      <w:pPr>
        <w:pStyle w:val="ListParagraph"/>
        <w:numPr>
          <w:ilvl w:val="0"/>
          <w:numId w:val="5"/>
        </w:numPr>
        <w:spacing w:line="360" w:lineRule="auto"/>
        <w:jc w:val="both"/>
        <w:rPr>
          <w:rFonts w:ascii="Arial" w:hAnsi="Arial"/>
          <w:sz w:val="20"/>
          <w:szCs w:val="20"/>
        </w:rPr>
      </w:pPr>
      <w:r w:rsidRPr="00653D1E">
        <w:rPr>
          <w:rFonts w:ascii="Arial" w:hAnsi="Arial"/>
          <w:sz w:val="20"/>
          <w:szCs w:val="20"/>
        </w:rPr>
        <w:t xml:space="preserve">Single Dose – </w:t>
      </w:r>
      <w:r w:rsidR="00E578A0">
        <w:rPr>
          <w:rFonts w:ascii="Arial" w:hAnsi="Arial"/>
          <w:sz w:val="20"/>
          <w:szCs w:val="20"/>
        </w:rPr>
        <w:t>1</w:t>
      </w:r>
      <w:r w:rsidR="008A409F">
        <w:rPr>
          <w:rFonts w:ascii="Arial" w:hAnsi="Arial"/>
          <w:sz w:val="20"/>
          <w:szCs w:val="20"/>
        </w:rPr>
        <w:t xml:space="preserve">.5 </w:t>
      </w:r>
      <w:r w:rsidR="00E578A0">
        <w:rPr>
          <w:rFonts w:ascii="Arial" w:hAnsi="Arial"/>
          <w:sz w:val="20"/>
          <w:szCs w:val="20"/>
        </w:rPr>
        <w:t>mg/kg</w:t>
      </w:r>
      <w:r w:rsidRPr="00653D1E">
        <w:rPr>
          <w:rFonts w:ascii="Arial" w:hAnsi="Arial"/>
          <w:sz w:val="20"/>
          <w:szCs w:val="20"/>
        </w:rPr>
        <w:t xml:space="preserve"> </w:t>
      </w:r>
      <w:r w:rsidR="00CE6123">
        <w:rPr>
          <w:rFonts w:ascii="Arial" w:hAnsi="Arial"/>
          <w:sz w:val="20"/>
          <w:szCs w:val="20"/>
        </w:rPr>
        <w:t>subcutaneous</w:t>
      </w:r>
      <w:r w:rsidR="00785CB8" w:rsidRPr="00653D1E">
        <w:rPr>
          <w:rFonts w:ascii="Arial" w:hAnsi="Arial"/>
          <w:sz w:val="20"/>
          <w:szCs w:val="20"/>
        </w:rPr>
        <w:t xml:space="preserve"> </w:t>
      </w:r>
      <w:r w:rsidR="00E52663">
        <w:rPr>
          <w:rFonts w:ascii="Arial" w:hAnsi="Arial"/>
          <w:sz w:val="20"/>
          <w:szCs w:val="20"/>
        </w:rPr>
        <w:t>enoxaparin</w:t>
      </w:r>
      <w:r w:rsidRPr="00653D1E">
        <w:rPr>
          <w:rFonts w:ascii="Arial" w:hAnsi="Arial"/>
          <w:sz w:val="20"/>
          <w:szCs w:val="20"/>
        </w:rPr>
        <w:t xml:space="preserve"> given immediately post operatively</w:t>
      </w:r>
      <w:r w:rsidR="00A46EB4">
        <w:rPr>
          <w:rFonts w:ascii="Arial" w:hAnsi="Arial"/>
          <w:sz w:val="20"/>
          <w:szCs w:val="20"/>
        </w:rPr>
        <w:t xml:space="preserve"> (T=0)</w:t>
      </w:r>
    </w:p>
    <w:p w14:paraId="71F71A38" w14:textId="172A86E8" w:rsidR="00653D1E" w:rsidRDefault="00505A76" w:rsidP="007A3A88">
      <w:pPr>
        <w:pStyle w:val="ListParagraph"/>
        <w:numPr>
          <w:ilvl w:val="0"/>
          <w:numId w:val="5"/>
        </w:numPr>
        <w:spacing w:line="360" w:lineRule="auto"/>
        <w:jc w:val="both"/>
        <w:rPr>
          <w:rFonts w:ascii="Arial" w:hAnsi="Arial"/>
          <w:sz w:val="20"/>
          <w:szCs w:val="20"/>
        </w:rPr>
      </w:pPr>
      <w:r w:rsidRPr="00653D1E">
        <w:rPr>
          <w:rFonts w:ascii="Arial" w:hAnsi="Arial"/>
          <w:sz w:val="20"/>
          <w:szCs w:val="20"/>
        </w:rPr>
        <w:t xml:space="preserve">Split Dose – </w:t>
      </w:r>
      <w:r w:rsidR="008A409F">
        <w:rPr>
          <w:rFonts w:ascii="Arial" w:hAnsi="Arial"/>
          <w:sz w:val="20"/>
          <w:szCs w:val="20"/>
        </w:rPr>
        <w:t xml:space="preserve">1.0 </w:t>
      </w:r>
      <w:r w:rsidR="00E578A0">
        <w:rPr>
          <w:rFonts w:ascii="Arial" w:hAnsi="Arial"/>
          <w:sz w:val="20"/>
          <w:szCs w:val="20"/>
        </w:rPr>
        <w:t>mg/kg</w:t>
      </w:r>
      <w:r w:rsidRPr="00653D1E">
        <w:rPr>
          <w:rFonts w:ascii="Arial" w:hAnsi="Arial"/>
          <w:sz w:val="20"/>
          <w:szCs w:val="20"/>
        </w:rPr>
        <w:t xml:space="preserve"> </w:t>
      </w:r>
      <w:r w:rsidR="00CE6123">
        <w:rPr>
          <w:rFonts w:ascii="Arial" w:hAnsi="Arial"/>
          <w:sz w:val="20"/>
          <w:szCs w:val="20"/>
        </w:rPr>
        <w:t>subcutaneous</w:t>
      </w:r>
      <w:r w:rsidR="00785CB8" w:rsidRPr="00653D1E">
        <w:rPr>
          <w:rFonts w:ascii="Arial" w:hAnsi="Arial"/>
          <w:sz w:val="20"/>
          <w:szCs w:val="20"/>
        </w:rPr>
        <w:t xml:space="preserve"> </w:t>
      </w:r>
      <w:r w:rsidR="00E52663">
        <w:rPr>
          <w:rFonts w:ascii="Arial" w:hAnsi="Arial"/>
          <w:sz w:val="20"/>
          <w:szCs w:val="20"/>
        </w:rPr>
        <w:t>enoxaparin</w:t>
      </w:r>
      <w:r w:rsidRPr="00653D1E">
        <w:rPr>
          <w:rFonts w:ascii="Arial" w:hAnsi="Arial"/>
          <w:sz w:val="20"/>
          <w:szCs w:val="20"/>
        </w:rPr>
        <w:t xml:space="preserve"> given immediately post operatively</w:t>
      </w:r>
      <w:r w:rsidR="00A46EB4">
        <w:rPr>
          <w:rFonts w:ascii="Arial" w:hAnsi="Arial"/>
          <w:sz w:val="20"/>
          <w:szCs w:val="20"/>
        </w:rPr>
        <w:t>(T=0)</w:t>
      </w:r>
      <w:r w:rsidRPr="00653D1E">
        <w:rPr>
          <w:rFonts w:ascii="Arial" w:hAnsi="Arial"/>
          <w:sz w:val="20"/>
          <w:szCs w:val="20"/>
        </w:rPr>
        <w:t xml:space="preserve">, followed by another </w:t>
      </w:r>
      <w:r w:rsidR="008A409F">
        <w:rPr>
          <w:rFonts w:ascii="Arial" w:hAnsi="Arial"/>
          <w:sz w:val="20"/>
          <w:szCs w:val="20"/>
        </w:rPr>
        <w:t xml:space="preserve">1.0 </w:t>
      </w:r>
      <w:r w:rsidR="00E578A0">
        <w:rPr>
          <w:rFonts w:ascii="Arial" w:hAnsi="Arial"/>
          <w:sz w:val="20"/>
          <w:szCs w:val="20"/>
        </w:rPr>
        <w:t>mg/kg</w:t>
      </w:r>
      <w:r w:rsidRPr="00653D1E">
        <w:rPr>
          <w:rFonts w:ascii="Arial" w:hAnsi="Arial"/>
          <w:sz w:val="20"/>
          <w:szCs w:val="20"/>
        </w:rPr>
        <w:t xml:space="preserve"> at 12 hours</w:t>
      </w:r>
      <w:r w:rsidR="00A46EB4">
        <w:rPr>
          <w:rFonts w:ascii="Arial" w:hAnsi="Arial"/>
          <w:sz w:val="20"/>
          <w:szCs w:val="20"/>
        </w:rPr>
        <w:t>(T=12h)</w:t>
      </w:r>
    </w:p>
    <w:p w14:paraId="55863989" w14:textId="2C996532" w:rsidR="00C76DF8" w:rsidRPr="001A7432" w:rsidRDefault="00C76DF8" w:rsidP="001A7432">
      <w:pPr>
        <w:pStyle w:val="ListParagraph"/>
        <w:numPr>
          <w:ilvl w:val="0"/>
          <w:numId w:val="5"/>
        </w:numPr>
        <w:rPr>
          <w:rFonts w:ascii="Arial" w:hAnsi="Arial" w:cs="Arial"/>
          <w:sz w:val="20"/>
          <w:szCs w:val="20"/>
        </w:rPr>
      </w:pPr>
      <w:r w:rsidRPr="001A7432">
        <w:rPr>
          <w:rFonts w:ascii="Arial" w:hAnsi="Arial" w:cs="Arial"/>
          <w:sz w:val="20"/>
          <w:szCs w:val="20"/>
        </w:rPr>
        <w:t>Maximum dose will be capped at 150mg as per local guidelines</w:t>
      </w:r>
      <w:r w:rsidRPr="001A7432">
        <w:rPr>
          <w:rFonts w:ascii="Arial" w:hAnsi="Arial" w:cs="Arial"/>
          <w:sz w:val="20"/>
          <w:szCs w:val="20"/>
        </w:rPr>
        <w:fldChar w:fldCharType="begin" w:fldLock="1"/>
      </w:r>
      <w:r w:rsidR="004A4C1F" w:rsidRPr="001A7432">
        <w:rPr>
          <w:rFonts w:ascii="Arial" w:hAnsi="Arial" w:cs="Arial"/>
          <w:sz w:val="20"/>
          <w:szCs w:val="20"/>
        </w:rPr>
        <w:instrText>ADDIN CSL_CITATION {"citationItems":[{"id":"ITEM-1","itemData":{"container-title":"Therapeutic Guidelines eTG","id":"ITEM-1","issued":{"date-parts":[["2018"]]},"title":"Venous thromboembolism: treatment","type":"book"},"uris":["http://www.mendeley.com/documents/?uuid=54d1e602-dd4c-4cc3-b58e-b85178fd79ff"]},{"id":"ITEM-2","itemData":{"container-title":"Australian Medicines Handbook","id":"ITEM-2","issued":{"date-parts":[["2020"]]},"title":"Enoxaparin","type":"webpage"},"uris":["http://www.mendeley.com/documents/?uuid=e0a8653e-8598-4f6e-a0ca-f8eb42bd446d"]}],"mendeley":{"formattedCitation":"&lt;sup&gt;11&lt;/sup&gt;,&lt;sup&gt;12&lt;/sup&gt;","plainTextFormattedCitation":"11,12","previouslyFormattedCitation":"&lt;sup&gt;10&lt;/sup&gt;,&lt;sup&gt;11&lt;/sup&gt;"},"properties":{"noteIndex":0},"schema":"https://github.com/citation-style-language/schema/raw/master/csl-citation.json"}</w:instrText>
      </w:r>
      <w:r w:rsidRPr="001A7432">
        <w:rPr>
          <w:rFonts w:ascii="Arial" w:hAnsi="Arial" w:cs="Arial"/>
          <w:sz w:val="20"/>
          <w:szCs w:val="20"/>
        </w:rPr>
        <w:fldChar w:fldCharType="separate"/>
      </w:r>
      <w:r w:rsidR="004A4C1F" w:rsidRPr="001A7432">
        <w:rPr>
          <w:rFonts w:ascii="Arial" w:hAnsi="Arial" w:cs="Arial"/>
          <w:noProof/>
          <w:sz w:val="20"/>
          <w:szCs w:val="20"/>
          <w:vertAlign w:val="superscript"/>
        </w:rPr>
        <w:t>11</w:t>
      </w:r>
      <w:r w:rsidR="004A4C1F" w:rsidRPr="001A7432">
        <w:rPr>
          <w:rFonts w:ascii="Arial" w:hAnsi="Arial" w:cs="Arial"/>
          <w:noProof/>
          <w:sz w:val="20"/>
          <w:szCs w:val="20"/>
        </w:rPr>
        <w:t>,</w:t>
      </w:r>
      <w:r w:rsidR="004A4C1F" w:rsidRPr="001A7432">
        <w:rPr>
          <w:rFonts w:ascii="Arial" w:hAnsi="Arial" w:cs="Arial"/>
          <w:noProof/>
          <w:sz w:val="20"/>
          <w:szCs w:val="20"/>
          <w:vertAlign w:val="superscript"/>
        </w:rPr>
        <w:t>12</w:t>
      </w:r>
      <w:r w:rsidRPr="001A7432">
        <w:rPr>
          <w:rFonts w:ascii="Arial" w:hAnsi="Arial" w:cs="Arial"/>
          <w:sz w:val="20"/>
          <w:szCs w:val="20"/>
        </w:rPr>
        <w:fldChar w:fldCharType="end"/>
      </w:r>
      <w:r w:rsidRPr="001A7432">
        <w:rPr>
          <w:rFonts w:ascii="Arial" w:hAnsi="Arial" w:cs="Arial"/>
          <w:sz w:val="20"/>
          <w:szCs w:val="20"/>
        </w:rPr>
        <w:t xml:space="preserve"> </w:t>
      </w:r>
    </w:p>
    <w:p w14:paraId="1ECE449C" w14:textId="77777777" w:rsidR="00296843" w:rsidRDefault="00296843" w:rsidP="007A3A88">
      <w:pPr>
        <w:spacing w:line="360" w:lineRule="auto"/>
        <w:jc w:val="both"/>
        <w:rPr>
          <w:rFonts w:ascii="Arial" w:hAnsi="Arial"/>
          <w:i/>
          <w:sz w:val="20"/>
          <w:szCs w:val="20"/>
        </w:rPr>
      </w:pPr>
    </w:p>
    <w:p w14:paraId="2E6F039E" w14:textId="5AEF5284" w:rsidR="00B52CB6" w:rsidRPr="00B52CB6" w:rsidRDefault="00B52CB6" w:rsidP="007A3A88">
      <w:pPr>
        <w:spacing w:line="360" w:lineRule="auto"/>
        <w:jc w:val="both"/>
        <w:rPr>
          <w:rFonts w:ascii="Arial" w:hAnsi="Arial"/>
          <w:i/>
          <w:sz w:val="20"/>
          <w:szCs w:val="20"/>
        </w:rPr>
      </w:pPr>
      <w:r w:rsidRPr="00B52CB6">
        <w:rPr>
          <w:rFonts w:ascii="Arial" w:hAnsi="Arial"/>
          <w:i/>
          <w:sz w:val="20"/>
          <w:szCs w:val="20"/>
        </w:rPr>
        <w:t>All complications will use the “Common Terminology Criteria for Adverse Event (CTCAE) 4.0” for definition and grading</w:t>
      </w:r>
      <w:r w:rsidR="0008363B">
        <w:rPr>
          <w:rFonts w:ascii="Arial" w:hAnsi="Arial"/>
          <w:i/>
          <w:sz w:val="20"/>
          <w:szCs w:val="20"/>
        </w:rPr>
        <w:t xml:space="preserve"> – Severe Adverse Events are defined as CTCAE Grade 4 of greater.</w:t>
      </w:r>
    </w:p>
    <w:p w14:paraId="6FE300CB" w14:textId="0C4EB91C" w:rsidR="00125D13" w:rsidRDefault="00125D13" w:rsidP="007A3A88">
      <w:pPr>
        <w:spacing w:line="360" w:lineRule="auto"/>
        <w:jc w:val="both"/>
        <w:rPr>
          <w:rFonts w:ascii="Arial" w:eastAsia="Times New Roman" w:hAnsi="Arial" w:cs="Arial"/>
          <w:sz w:val="20"/>
          <w:szCs w:val="20"/>
        </w:rPr>
      </w:pPr>
      <w:r>
        <w:rPr>
          <w:rFonts w:ascii="Arial" w:eastAsia="Times New Roman" w:hAnsi="Arial" w:cs="Arial"/>
          <w:sz w:val="20"/>
          <w:szCs w:val="20"/>
        </w:rPr>
        <w:t>Thromboembolic event</w:t>
      </w:r>
      <w:r w:rsidR="009B5FA3">
        <w:rPr>
          <w:rFonts w:ascii="Arial" w:eastAsia="Times New Roman" w:hAnsi="Arial" w:cs="Arial"/>
          <w:sz w:val="20"/>
          <w:szCs w:val="20"/>
        </w:rPr>
        <w:t>s</w:t>
      </w:r>
      <w:r w:rsidR="009B627F">
        <w:rPr>
          <w:rFonts w:ascii="Arial" w:eastAsia="Times New Roman" w:hAnsi="Arial" w:cs="Arial"/>
          <w:sz w:val="20"/>
          <w:szCs w:val="20"/>
        </w:rPr>
        <w:t xml:space="preserve"> (CTCAE ‘Stroke’)</w:t>
      </w:r>
    </w:p>
    <w:p w14:paraId="1BA04D4D" w14:textId="29A4A0E5" w:rsidR="00C51793" w:rsidRPr="00C51793" w:rsidRDefault="00C51793" w:rsidP="007A3A88">
      <w:pPr>
        <w:pStyle w:val="ListParagraph"/>
        <w:numPr>
          <w:ilvl w:val="0"/>
          <w:numId w:val="5"/>
        </w:numPr>
        <w:spacing w:line="360" w:lineRule="auto"/>
        <w:jc w:val="both"/>
        <w:rPr>
          <w:rFonts w:ascii="Arial" w:eastAsia="Times New Roman" w:hAnsi="Arial" w:cs="Arial"/>
          <w:sz w:val="20"/>
          <w:szCs w:val="20"/>
        </w:rPr>
      </w:pPr>
      <w:r w:rsidRPr="00C51793">
        <w:rPr>
          <w:rFonts w:ascii="Arial" w:eastAsia="Times New Roman" w:hAnsi="Arial" w:cs="Arial"/>
          <w:sz w:val="20"/>
          <w:szCs w:val="20"/>
        </w:rPr>
        <w:t>Clinical events</w:t>
      </w:r>
      <w:r w:rsidR="00B72433">
        <w:rPr>
          <w:rFonts w:ascii="Arial" w:eastAsia="Times New Roman" w:hAnsi="Arial" w:cs="Arial"/>
          <w:sz w:val="20"/>
          <w:szCs w:val="20"/>
        </w:rPr>
        <w:t xml:space="preserve"> (CEIL</w:t>
      </w:r>
      <w:r w:rsidR="009B627F">
        <w:rPr>
          <w:rFonts w:ascii="Arial" w:eastAsia="Times New Roman" w:hAnsi="Arial" w:cs="Arial"/>
          <w:sz w:val="20"/>
          <w:szCs w:val="20"/>
        </w:rPr>
        <w:t xml:space="preserve"> [CTCAE Grade 2-5]</w:t>
      </w:r>
      <w:r w:rsidR="00B72433">
        <w:rPr>
          <w:rFonts w:ascii="Arial" w:eastAsia="Times New Roman" w:hAnsi="Arial" w:cs="Arial"/>
          <w:sz w:val="20"/>
          <w:szCs w:val="20"/>
        </w:rPr>
        <w:t>, CSIL</w:t>
      </w:r>
      <w:r w:rsidR="009B627F">
        <w:rPr>
          <w:rFonts w:ascii="Arial" w:eastAsia="Times New Roman" w:hAnsi="Arial" w:cs="Arial"/>
          <w:sz w:val="20"/>
          <w:szCs w:val="20"/>
        </w:rPr>
        <w:t xml:space="preserve"> [CTCAE Grade 1]</w:t>
      </w:r>
      <w:r w:rsidR="00B72433">
        <w:rPr>
          <w:rFonts w:ascii="Arial" w:eastAsia="Times New Roman" w:hAnsi="Arial" w:cs="Arial"/>
          <w:sz w:val="20"/>
          <w:szCs w:val="20"/>
        </w:rPr>
        <w:t>)</w:t>
      </w:r>
    </w:p>
    <w:p w14:paraId="4BD4CE16" w14:textId="2DFDE6DA" w:rsidR="00991E8C" w:rsidRDefault="004D281F" w:rsidP="00626614">
      <w:pPr>
        <w:pStyle w:val="ListParagraph"/>
        <w:numPr>
          <w:ilvl w:val="0"/>
          <w:numId w:val="5"/>
        </w:numPr>
        <w:spacing w:line="360" w:lineRule="auto"/>
        <w:jc w:val="both"/>
        <w:rPr>
          <w:rFonts w:ascii="Arial" w:eastAsia="Times New Roman" w:hAnsi="Arial" w:cs="Arial"/>
          <w:sz w:val="20"/>
          <w:szCs w:val="20"/>
        </w:rPr>
      </w:pPr>
      <w:r>
        <w:rPr>
          <w:rFonts w:ascii="Arial" w:eastAsia="Times New Roman" w:hAnsi="Arial" w:cs="Arial"/>
          <w:sz w:val="20"/>
          <w:szCs w:val="20"/>
        </w:rPr>
        <w:t xml:space="preserve">Post-procedural MRI will be assessed as </w:t>
      </w:r>
      <w:r w:rsidR="00882E2C">
        <w:rPr>
          <w:rFonts w:ascii="Arial" w:eastAsia="Times New Roman" w:hAnsi="Arial" w:cs="Arial"/>
          <w:sz w:val="20"/>
          <w:szCs w:val="20"/>
        </w:rPr>
        <w:t>detailed in Imaging Analysis</w:t>
      </w:r>
    </w:p>
    <w:p w14:paraId="56C3DD1A" w14:textId="7A582903" w:rsidR="00030EEA" w:rsidRDefault="00030EEA" w:rsidP="00030EEA">
      <w:pPr>
        <w:pStyle w:val="Caption"/>
        <w:keepNext/>
      </w:pPr>
      <w:bookmarkStart w:id="1" w:name="_Ref42544357"/>
      <w:r>
        <w:t xml:space="preserve">Table </w:t>
      </w:r>
      <w:r>
        <w:fldChar w:fldCharType="begin"/>
      </w:r>
      <w:r>
        <w:instrText xml:space="preserve"> SEQ Table \* ARABIC </w:instrText>
      </w:r>
      <w:r>
        <w:fldChar w:fldCharType="separate"/>
      </w:r>
      <w:r w:rsidR="00900405">
        <w:rPr>
          <w:noProof/>
        </w:rPr>
        <w:t>1</w:t>
      </w:r>
      <w:r>
        <w:fldChar w:fldCharType="end"/>
      </w:r>
      <w:bookmarkEnd w:id="1"/>
      <w:r>
        <w:t xml:space="preserve"> - Variables</w:t>
      </w:r>
    </w:p>
    <w:tbl>
      <w:tblPr>
        <w:tblStyle w:val="TableGrid"/>
        <w:tblW w:w="0" w:type="auto"/>
        <w:tblLook w:val="04A0" w:firstRow="1" w:lastRow="0" w:firstColumn="1" w:lastColumn="0" w:noHBand="0" w:noVBand="1"/>
      </w:tblPr>
      <w:tblGrid>
        <w:gridCol w:w="1696"/>
        <w:gridCol w:w="4224"/>
        <w:gridCol w:w="3260"/>
      </w:tblGrid>
      <w:tr w:rsidR="00030EEA" w:rsidRPr="009449FB" w14:paraId="74105DD7" w14:textId="77777777" w:rsidTr="00626614">
        <w:tc>
          <w:tcPr>
            <w:tcW w:w="1696" w:type="dxa"/>
          </w:tcPr>
          <w:p w14:paraId="330618D8"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 xml:space="preserve">Anticoagulation </w:t>
            </w:r>
          </w:p>
        </w:tc>
        <w:tc>
          <w:tcPr>
            <w:tcW w:w="4224" w:type="dxa"/>
            <w:tcBorders>
              <w:right w:val="nil"/>
            </w:tcBorders>
          </w:tcPr>
          <w:p w14:paraId="0BF3ED9D" w14:textId="77777777" w:rsidR="00030EEA" w:rsidRPr="00626614" w:rsidRDefault="00030EEA" w:rsidP="004E2F9C">
            <w:pPr>
              <w:spacing w:line="360" w:lineRule="auto"/>
              <w:rPr>
                <w:rFonts w:ascii="Arial" w:hAnsi="Arial" w:cs="Arial"/>
                <w:sz w:val="16"/>
                <w:szCs w:val="20"/>
              </w:rPr>
            </w:pPr>
            <w:r w:rsidRPr="00626614">
              <w:rPr>
                <w:rFonts w:ascii="Arial" w:hAnsi="Arial" w:cs="Arial"/>
                <w:sz w:val="16"/>
                <w:szCs w:val="20"/>
              </w:rPr>
              <w:t xml:space="preserve">Arm A(enoxaparin 1mg/kg at T=0 and T=12h) ; or </w:t>
            </w:r>
          </w:p>
          <w:p w14:paraId="27EF5D07" w14:textId="77777777" w:rsidR="00030EEA" w:rsidRPr="00626614" w:rsidRDefault="00030EEA" w:rsidP="004E2F9C">
            <w:pPr>
              <w:spacing w:line="360" w:lineRule="auto"/>
              <w:rPr>
                <w:rFonts w:ascii="Arial" w:hAnsi="Arial" w:cs="Arial"/>
                <w:sz w:val="16"/>
                <w:szCs w:val="20"/>
              </w:rPr>
            </w:pPr>
            <w:r w:rsidRPr="00626614">
              <w:rPr>
                <w:rFonts w:ascii="Arial" w:hAnsi="Arial" w:cs="Arial"/>
                <w:sz w:val="16"/>
                <w:szCs w:val="20"/>
              </w:rPr>
              <w:t xml:space="preserve">Arm B (enoxaparin 1.5mg/kg at T=0) </w:t>
            </w:r>
          </w:p>
        </w:tc>
        <w:tc>
          <w:tcPr>
            <w:tcW w:w="3260" w:type="dxa"/>
            <w:tcBorders>
              <w:left w:val="nil"/>
            </w:tcBorders>
          </w:tcPr>
          <w:p w14:paraId="24D0A9D7"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Dose administered (mg)</w:t>
            </w:r>
          </w:p>
        </w:tc>
      </w:tr>
      <w:tr w:rsidR="00030EEA" w:rsidRPr="009449FB" w14:paraId="77EA8D96" w14:textId="77777777" w:rsidTr="00626614">
        <w:tc>
          <w:tcPr>
            <w:tcW w:w="1696" w:type="dxa"/>
          </w:tcPr>
          <w:p w14:paraId="32ECFEE9"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Medical History</w:t>
            </w:r>
          </w:p>
        </w:tc>
        <w:tc>
          <w:tcPr>
            <w:tcW w:w="4224" w:type="dxa"/>
            <w:tcBorders>
              <w:right w:val="nil"/>
            </w:tcBorders>
          </w:tcPr>
          <w:p w14:paraId="48FC0996"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Hypertension (0,1)</w:t>
            </w:r>
          </w:p>
          <w:p w14:paraId="08088A46"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Diabetes mellitus (0,1)</w:t>
            </w:r>
          </w:p>
        </w:tc>
        <w:tc>
          <w:tcPr>
            <w:tcW w:w="3260" w:type="dxa"/>
            <w:tcBorders>
              <w:left w:val="nil"/>
            </w:tcBorders>
          </w:tcPr>
          <w:p w14:paraId="4AAD5D8B" w14:textId="77777777" w:rsidR="00030EEA" w:rsidRPr="00626614" w:rsidRDefault="00030EEA" w:rsidP="004E2F9C">
            <w:pPr>
              <w:spacing w:line="360" w:lineRule="auto"/>
              <w:jc w:val="both"/>
              <w:rPr>
                <w:rFonts w:ascii="Arial" w:hAnsi="Arial" w:cs="Arial"/>
                <w:sz w:val="16"/>
                <w:szCs w:val="20"/>
              </w:rPr>
            </w:pPr>
          </w:p>
        </w:tc>
      </w:tr>
      <w:tr w:rsidR="00030EEA" w:rsidRPr="009449FB" w14:paraId="603639E5" w14:textId="77777777" w:rsidTr="00626614">
        <w:tc>
          <w:tcPr>
            <w:tcW w:w="1696" w:type="dxa"/>
          </w:tcPr>
          <w:p w14:paraId="7C46A980"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 xml:space="preserve">Demographics </w:t>
            </w:r>
          </w:p>
        </w:tc>
        <w:tc>
          <w:tcPr>
            <w:tcW w:w="4224" w:type="dxa"/>
            <w:tcBorders>
              <w:right w:val="nil"/>
            </w:tcBorders>
          </w:tcPr>
          <w:p w14:paraId="3DE19700"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Age</w:t>
            </w:r>
          </w:p>
          <w:p w14:paraId="126AAC73"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Gender (m/f)</w:t>
            </w:r>
          </w:p>
          <w:p w14:paraId="21667C44"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Ethnicity</w:t>
            </w:r>
          </w:p>
        </w:tc>
        <w:tc>
          <w:tcPr>
            <w:tcW w:w="3260" w:type="dxa"/>
            <w:tcBorders>
              <w:left w:val="nil"/>
            </w:tcBorders>
          </w:tcPr>
          <w:p w14:paraId="73B9F0ED"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Weight (kg), Height (cm), BMI</w:t>
            </w:r>
          </w:p>
          <w:p w14:paraId="3F5CA517"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Current Smoker (0,1)</w:t>
            </w:r>
          </w:p>
        </w:tc>
      </w:tr>
      <w:tr w:rsidR="00030EEA" w:rsidRPr="009449FB" w14:paraId="1E409B56" w14:textId="77777777" w:rsidTr="00626614">
        <w:tc>
          <w:tcPr>
            <w:tcW w:w="1696" w:type="dxa"/>
          </w:tcPr>
          <w:p w14:paraId="1B57FE87"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Relevant Medications</w:t>
            </w:r>
          </w:p>
        </w:tc>
        <w:tc>
          <w:tcPr>
            <w:tcW w:w="4224" w:type="dxa"/>
            <w:tcBorders>
              <w:right w:val="nil"/>
            </w:tcBorders>
          </w:tcPr>
          <w:p w14:paraId="19CC4FF2"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Aspirin (pre-op) (0,1)</w:t>
            </w:r>
          </w:p>
          <w:p w14:paraId="4E23B4A8"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P2Y12 inhibitor (pre-op) (0,1)</w:t>
            </w:r>
          </w:p>
          <w:p w14:paraId="4AD65E48"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Proton pump inhibitor (0,1)</w:t>
            </w:r>
          </w:p>
        </w:tc>
        <w:tc>
          <w:tcPr>
            <w:tcW w:w="3260" w:type="dxa"/>
            <w:tcBorders>
              <w:left w:val="nil"/>
            </w:tcBorders>
          </w:tcPr>
          <w:p w14:paraId="1CEBD46A" w14:textId="77777777" w:rsidR="00030EEA" w:rsidRPr="00626614" w:rsidRDefault="00030EEA" w:rsidP="004E2F9C">
            <w:pPr>
              <w:spacing w:line="360" w:lineRule="auto"/>
              <w:jc w:val="both"/>
              <w:rPr>
                <w:rFonts w:ascii="Arial" w:hAnsi="Arial" w:cs="Arial"/>
                <w:sz w:val="16"/>
                <w:szCs w:val="20"/>
              </w:rPr>
            </w:pPr>
          </w:p>
        </w:tc>
      </w:tr>
      <w:tr w:rsidR="00030EEA" w:rsidRPr="009449FB" w14:paraId="2A95A526" w14:textId="77777777" w:rsidTr="00626614">
        <w:tc>
          <w:tcPr>
            <w:tcW w:w="1696" w:type="dxa"/>
          </w:tcPr>
          <w:p w14:paraId="2F93E7E4"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Procedure</w:t>
            </w:r>
          </w:p>
        </w:tc>
        <w:tc>
          <w:tcPr>
            <w:tcW w:w="4224" w:type="dxa"/>
            <w:tcBorders>
              <w:right w:val="nil"/>
            </w:tcBorders>
          </w:tcPr>
          <w:p w14:paraId="5833F1C4" w14:textId="76270766"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Procedure Type (coil, BAC, SAC, FDS)</w:t>
            </w:r>
          </w:p>
          <w:p w14:paraId="7A67EFC2" w14:textId="69833E59" w:rsidR="00CD5598" w:rsidRPr="00626614" w:rsidRDefault="00CD5598" w:rsidP="004E2F9C">
            <w:pPr>
              <w:spacing w:line="360" w:lineRule="auto"/>
              <w:jc w:val="both"/>
              <w:rPr>
                <w:rFonts w:ascii="Arial" w:hAnsi="Arial" w:cs="Arial"/>
                <w:sz w:val="16"/>
                <w:szCs w:val="20"/>
              </w:rPr>
            </w:pPr>
            <w:r>
              <w:rPr>
                <w:rFonts w:ascii="Arial" w:hAnsi="Arial" w:cs="Arial"/>
                <w:sz w:val="16"/>
                <w:szCs w:val="20"/>
              </w:rPr>
              <w:t xml:space="preserve">Number of aneurysms treated during procedure </w:t>
            </w:r>
          </w:p>
          <w:p w14:paraId="14A054A3"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Operator rating of procedure complexity</w:t>
            </w:r>
          </w:p>
        </w:tc>
        <w:tc>
          <w:tcPr>
            <w:tcW w:w="3260" w:type="dxa"/>
            <w:tcBorders>
              <w:left w:val="nil"/>
            </w:tcBorders>
          </w:tcPr>
          <w:p w14:paraId="65DBBBB1" w14:textId="77777777" w:rsidR="00030EEA" w:rsidRPr="009D2728" w:rsidRDefault="00030EEA" w:rsidP="004E2F9C">
            <w:pPr>
              <w:spacing w:line="360" w:lineRule="auto"/>
              <w:jc w:val="both"/>
              <w:rPr>
                <w:rFonts w:ascii="Arial" w:hAnsi="Arial" w:cs="Arial"/>
                <w:sz w:val="16"/>
                <w:szCs w:val="20"/>
              </w:rPr>
            </w:pPr>
            <w:r w:rsidRPr="009D2728">
              <w:rPr>
                <w:rFonts w:ascii="Arial" w:hAnsi="Arial" w:cs="Arial"/>
                <w:sz w:val="16"/>
                <w:szCs w:val="20"/>
              </w:rPr>
              <w:t>Procedure Time (minutes)</w:t>
            </w:r>
          </w:p>
          <w:p w14:paraId="39BC6445"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Mean ACT (intra-op)</w:t>
            </w:r>
          </w:p>
          <w:p w14:paraId="0B5F8549"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Highest ACT (intra-op)</w:t>
            </w:r>
          </w:p>
          <w:p w14:paraId="6A88E94E"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Inpatient Duration (days)</w:t>
            </w:r>
          </w:p>
          <w:p w14:paraId="216B407C"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Reason for Anti-coagulation</w:t>
            </w:r>
          </w:p>
        </w:tc>
      </w:tr>
      <w:tr w:rsidR="00030EEA" w:rsidRPr="009449FB" w14:paraId="31EEF856" w14:textId="77777777" w:rsidTr="00626614">
        <w:tc>
          <w:tcPr>
            <w:tcW w:w="1696" w:type="dxa"/>
          </w:tcPr>
          <w:p w14:paraId="49ED5CF3"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Aneurysm</w:t>
            </w:r>
          </w:p>
        </w:tc>
        <w:tc>
          <w:tcPr>
            <w:tcW w:w="4224" w:type="dxa"/>
            <w:tcBorders>
              <w:right w:val="nil"/>
            </w:tcBorders>
          </w:tcPr>
          <w:p w14:paraId="381343AD" w14:textId="55B8032E"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Aneurysm Location</w:t>
            </w:r>
            <w:r w:rsidR="00AC7885">
              <w:rPr>
                <w:rFonts w:ascii="Arial" w:hAnsi="Arial" w:cs="Arial"/>
                <w:sz w:val="16"/>
                <w:szCs w:val="20"/>
              </w:rPr>
              <w:t xml:space="preserve"> (vessel</w:t>
            </w:r>
            <w:r w:rsidR="00F34660">
              <w:rPr>
                <w:rFonts w:ascii="Arial" w:hAnsi="Arial" w:cs="Arial"/>
                <w:sz w:val="16"/>
                <w:szCs w:val="20"/>
              </w:rPr>
              <w:t>, right/left/midline)</w:t>
            </w:r>
          </w:p>
          <w:p w14:paraId="56180D0D"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Aneurysm Size (largest dimension [mm])</w:t>
            </w:r>
          </w:p>
        </w:tc>
        <w:tc>
          <w:tcPr>
            <w:tcW w:w="3260" w:type="dxa"/>
            <w:tcBorders>
              <w:left w:val="nil"/>
            </w:tcBorders>
          </w:tcPr>
          <w:p w14:paraId="73B99751" w14:textId="77777777" w:rsidR="00030EEA" w:rsidRPr="00626614" w:rsidRDefault="00030EEA" w:rsidP="004E2F9C">
            <w:pPr>
              <w:spacing w:line="360" w:lineRule="auto"/>
              <w:jc w:val="both"/>
              <w:rPr>
                <w:rFonts w:ascii="Arial" w:hAnsi="Arial" w:cs="Arial"/>
                <w:sz w:val="16"/>
                <w:szCs w:val="20"/>
              </w:rPr>
            </w:pPr>
          </w:p>
        </w:tc>
      </w:tr>
      <w:tr w:rsidR="00030EEA" w:rsidRPr="009449FB" w14:paraId="248F55CB" w14:textId="77777777" w:rsidTr="00626614">
        <w:tc>
          <w:tcPr>
            <w:tcW w:w="1696" w:type="dxa"/>
          </w:tcPr>
          <w:p w14:paraId="37B9C319"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Bloodwork</w:t>
            </w:r>
          </w:p>
        </w:tc>
        <w:tc>
          <w:tcPr>
            <w:tcW w:w="4224" w:type="dxa"/>
            <w:tcBorders>
              <w:right w:val="nil"/>
            </w:tcBorders>
          </w:tcPr>
          <w:p w14:paraId="6C7E7756"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P2Y12 Reaction Unit (pre-op value)</w:t>
            </w:r>
          </w:p>
          <w:p w14:paraId="200A9C6C"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lastRenderedPageBreak/>
              <w:t>Haemoglobin (Hb) (pre-op and post-op)</w:t>
            </w:r>
          </w:p>
        </w:tc>
        <w:tc>
          <w:tcPr>
            <w:tcW w:w="3260" w:type="dxa"/>
            <w:tcBorders>
              <w:left w:val="nil"/>
            </w:tcBorders>
          </w:tcPr>
          <w:p w14:paraId="521FAF27" w14:textId="77777777" w:rsidR="00030EEA" w:rsidRPr="00626614" w:rsidRDefault="00030EEA" w:rsidP="004E2F9C">
            <w:pPr>
              <w:spacing w:line="360" w:lineRule="auto"/>
              <w:jc w:val="both"/>
              <w:rPr>
                <w:rFonts w:ascii="Arial" w:hAnsi="Arial" w:cs="Arial"/>
                <w:sz w:val="16"/>
                <w:szCs w:val="20"/>
              </w:rPr>
            </w:pPr>
          </w:p>
        </w:tc>
      </w:tr>
      <w:tr w:rsidR="00030EEA" w:rsidRPr="009449FB" w14:paraId="7F41F9B4" w14:textId="77777777" w:rsidTr="00626614">
        <w:tc>
          <w:tcPr>
            <w:tcW w:w="1696" w:type="dxa"/>
          </w:tcPr>
          <w:p w14:paraId="29DB126E"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Complications</w:t>
            </w:r>
          </w:p>
        </w:tc>
        <w:tc>
          <w:tcPr>
            <w:tcW w:w="4224" w:type="dxa"/>
            <w:tcBorders>
              <w:right w:val="nil"/>
            </w:tcBorders>
          </w:tcPr>
          <w:p w14:paraId="545EDCF4"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Intracranial Thromboembolism (0 [no], 1 [yes])</w:t>
            </w:r>
          </w:p>
          <w:p w14:paraId="564F520F" w14:textId="77777777" w:rsidR="00030EEA" w:rsidRPr="00626614" w:rsidRDefault="00030EEA" w:rsidP="00030EEA">
            <w:pPr>
              <w:pStyle w:val="ListParagraph"/>
              <w:numPr>
                <w:ilvl w:val="0"/>
                <w:numId w:val="5"/>
              </w:numPr>
              <w:spacing w:line="360" w:lineRule="auto"/>
              <w:jc w:val="both"/>
              <w:rPr>
                <w:rFonts w:ascii="Arial" w:hAnsi="Arial" w:cs="Arial"/>
                <w:sz w:val="16"/>
                <w:szCs w:val="20"/>
              </w:rPr>
            </w:pPr>
            <w:r w:rsidRPr="00626614">
              <w:rPr>
                <w:rFonts w:ascii="Arial" w:hAnsi="Arial" w:cs="Arial"/>
                <w:sz w:val="16"/>
                <w:szCs w:val="20"/>
              </w:rPr>
              <w:t>Intraoperative (0,1)</w:t>
            </w:r>
          </w:p>
          <w:p w14:paraId="3C0BE5FC" w14:textId="77777777" w:rsidR="00030EEA" w:rsidRPr="00626614" w:rsidRDefault="00030EEA" w:rsidP="00030EEA">
            <w:pPr>
              <w:pStyle w:val="ListParagraph"/>
              <w:numPr>
                <w:ilvl w:val="0"/>
                <w:numId w:val="5"/>
              </w:numPr>
              <w:spacing w:line="360" w:lineRule="auto"/>
              <w:jc w:val="both"/>
              <w:rPr>
                <w:rFonts w:ascii="Arial" w:hAnsi="Arial" w:cs="Arial"/>
                <w:sz w:val="16"/>
                <w:szCs w:val="20"/>
              </w:rPr>
            </w:pPr>
            <w:r w:rsidRPr="00626614">
              <w:rPr>
                <w:rFonts w:ascii="Arial" w:hAnsi="Arial" w:cs="Arial"/>
                <w:sz w:val="16"/>
                <w:szCs w:val="20"/>
              </w:rPr>
              <w:t>Post-operative (0,1)</w:t>
            </w:r>
          </w:p>
          <w:p w14:paraId="2F82DAE6" w14:textId="77777777" w:rsidR="00030EEA" w:rsidRPr="00626614" w:rsidRDefault="00030EEA" w:rsidP="004E2F9C">
            <w:pPr>
              <w:spacing w:line="360" w:lineRule="auto"/>
              <w:jc w:val="both"/>
              <w:rPr>
                <w:rFonts w:ascii="Arial" w:hAnsi="Arial" w:cs="Arial"/>
                <w:sz w:val="16"/>
                <w:szCs w:val="20"/>
              </w:rPr>
            </w:pPr>
            <w:r w:rsidRPr="00626614">
              <w:rPr>
                <w:rFonts w:ascii="Arial" w:eastAsia="Times New Roman" w:hAnsi="Arial" w:cs="Arial"/>
                <w:sz w:val="16"/>
                <w:szCs w:val="20"/>
              </w:rPr>
              <w:t>CSIL (CTCAE Grade 1)</w:t>
            </w:r>
          </w:p>
          <w:p w14:paraId="4A14880A" w14:textId="77777777" w:rsidR="00030EEA" w:rsidRPr="00626614" w:rsidRDefault="00030EEA" w:rsidP="004E2F9C">
            <w:pPr>
              <w:spacing w:line="360" w:lineRule="auto"/>
              <w:jc w:val="both"/>
              <w:rPr>
                <w:rFonts w:ascii="Arial" w:eastAsia="Times New Roman" w:hAnsi="Arial" w:cs="Arial"/>
                <w:sz w:val="16"/>
                <w:szCs w:val="20"/>
              </w:rPr>
            </w:pPr>
            <w:r w:rsidRPr="00626614">
              <w:rPr>
                <w:rFonts w:ascii="Arial" w:eastAsia="Times New Roman" w:hAnsi="Arial" w:cs="Arial"/>
                <w:sz w:val="16"/>
                <w:szCs w:val="20"/>
              </w:rPr>
              <w:t xml:space="preserve">CEIL (CTCAE Grade 2-5) </w:t>
            </w:r>
          </w:p>
          <w:p w14:paraId="10B3C359" w14:textId="77777777" w:rsidR="00030EEA" w:rsidRPr="00626614" w:rsidRDefault="00030EEA" w:rsidP="004E2F9C">
            <w:pPr>
              <w:spacing w:line="360" w:lineRule="auto"/>
              <w:jc w:val="both"/>
              <w:rPr>
                <w:rFonts w:ascii="Arial" w:hAnsi="Arial" w:cs="Arial"/>
                <w:sz w:val="16"/>
                <w:szCs w:val="20"/>
              </w:rPr>
            </w:pPr>
            <w:r w:rsidRPr="00626614">
              <w:rPr>
                <w:rFonts w:ascii="Arial" w:eastAsia="Times New Roman" w:hAnsi="Arial" w:cs="Arial"/>
                <w:sz w:val="16"/>
                <w:szCs w:val="20"/>
              </w:rPr>
              <w:t>Puncture site (normal, haematoma, Femstop, surgical intervention)</w:t>
            </w:r>
          </w:p>
        </w:tc>
        <w:tc>
          <w:tcPr>
            <w:tcW w:w="3260" w:type="dxa"/>
            <w:tcBorders>
              <w:left w:val="nil"/>
            </w:tcBorders>
          </w:tcPr>
          <w:p w14:paraId="5B59ED65" w14:textId="15687BB0" w:rsidR="00030EEA" w:rsidRPr="00626614" w:rsidRDefault="00030EEA" w:rsidP="004E2F9C">
            <w:pPr>
              <w:spacing w:line="360" w:lineRule="auto"/>
              <w:rPr>
                <w:rFonts w:ascii="Arial" w:hAnsi="Arial" w:cs="Arial"/>
                <w:sz w:val="16"/>
                <w:szCs w:val="20"/>
              </w:rPr>
            </w:pPr>
            <w:r w:rsidRPr="00626614">
              <w:rPr>
                <w:rFonts w:ascii="Arial" w:hAnsi="Arial" w:cs="Arial"/>
                <w:sz w:val="16"/>
                <w:szCs w:val="20"/>
              </w:rPr>
              <w:t>Major Bleed (</w:t>
            </w:r>
            <w:r w:rsidR="00460859">
              <w:rPr>
                <w:rFonts w:ascii="Arial" w:hAnsi="Arial" w:cs="Arial"/>
                <w:sz w:val="16"/>
                <w:szCs w:val="20"/>
              </w:rPr>
              <w:t xml:space="preserve">clinically overt with Hb drop &gt;30g/L, </w:t>
            </w:r>
            <w:r w:rsidRPr="00626614">
              <w:rPr>
                <w:rFonts w:ascii="Arial" w:hAnsi="Arial" w:cs="Arial"/>
                <w:sz w:val="16"/>
                <w:szCs w:val="20"/>
              </w:rPr>
              <w:t>intracranial, intraocular, retroperitoneal)</w:t>
            </w:r>
          </w:p>
          <w:p w14:paraId="23F52125"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Minor Bleed</w:t>
            </w:r>
          </w:p>
          <w:p w14:paraId="0E056009"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Other Complication (e.g. hydrocephalus, DVT, PE)</w:t>
            </w:r>
          </w:p>
        </w:tc>
      </w:tr>
      <w:tr w:rsidR="00030EEA" w:rsidRPr="009449FB" w14:paraId="2D349B00" w14:textId="77777777" w:rsidTr="00626614">
        <w:tc>
          <w:tcPr>
            <w:tcW w:w="1696" w:type="dxa"/>
          </w:tcPr>
          <w:p w14:paraId="211576B0"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Imaging</w:t>
            </w:r>
          </w:p>
        </w:tc>
        <w:tc>
          <w:tcPr>
            <w:tcW w:w="4224" w:type="dxa"/>
            <w:tcBorders>
              <w:right w:val="nil"/>
            </w:tcBorders>
          </w:tcPr>
          <w:p w14:paraId="4F7700FF"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Ischaemic Lesions (Pre and post op MRI)</w:t>
            </w:r>
          </w:p>
          <w:p w14:paraId="53BF645C" w14:textId="77777777" w:rsidR="00030EEA" w:rsidRPr="00626614" w:rsidRDefault="00030EEA" w:rsidP="00030EEA">
            <w:pPr>
              <w:pStyle w:val="ListParagraph"/>
              <w:numPr>
                <w:ilvl w:val="0"/>
                <w:numId w:val="15"/>
              </w:numPr>
              <w:spacing w:before="1" w:line="360" w:lineRule="auto"/>
              <w:rPr>
                <w:rFonts w:ascii="Arial" w:hAnsi="Arial" w:cs="Arial"/>
                <w:sz w:val="16"/>
                <w:szCs w:val="20"/>
              </w:rPr>
            </w:pPr>
            <w:r w:rsidRPr="00626614">
              <w:rPr>
                <w:rFonts w:ascii="Arial" w:hAnsi="Arial" w:cs="Arial"/>
                <w:sz w:val="16"/>
                <w:szCs w:val="20"/>
              </w:rPr>
              <w:t>Location (intra or extra-territorial to treated aneurysm)</w:t>
            </w:r>
          </w:p>
          <w:p w14:paraId="707A7A4C" w14:textId="03CE4C9E" w:rsidR="00030EEA" w:rsidRDefault="00030EEA" w:rsidP="00030EEA">
            <w:pPr>
              <w:pStyle w:val="ListParagraph"/>
              <w:numPr>
                <w:ilvl w:val="0"/>
                <w:numId w:val="15"/>
              </w:numPr>
              <w:spacing w:before="1" w:line="360" w:lineRule="auto"/>
              <w:rPr>
                <w:rFonts w:ascii="Arial" w:hAnsi="Arial" w:cs="Arial"/>
                <w:sz w:val="16"/>
                <w:szCs w:val="20"/>
              </w:rPr>
            </w:pPr>
            <w:r w:rsidRPr="00626614">
              <w:rPr>
                <w:rFonts w:ascii="Arial" w:hAnsi="Arial" w:cs="Arial"/>
                <w:sz w:val="16"/>
                <w:szCs w:val="20"/>
              </w:rPr>
              <w:t>Number</w:t>
            </w:r>
            <w:r w:rsidR="00425806">
              <w:rPr>
                <w:rFonts w:ascii="Arial" w:hAnsi="Arial" w:cs="Arial"/>
                <w:sz w:val="16"/>
                <w:szCs w:val="20"/>
              </w:rPr>
              <w:t xml:space="preserve"> of lesions and size </w:t>
            </w:r>
            <w:r w:rsidR="00425806" w:rsidRPr="00767FF0">
              <w:rPr>
                <w:rFonts w:ascii="Arial" w:hAnsi="Arial" w:cs="Arial"/>
                <w:sz w:val="16"/>
                <w:szCs w:val="20"/>
              </w:rPr>
              <w:t>(&lt;20mm, &gt;20mm)</w:t>
            </w:r>
          </w:p>
          <w:p w14:paraId="014D00CE" w14:textId="77777777" w:rsidR="00A13D50" w:rsidRDefault="00A13D50" w:rsidP="00A13D50">
            <w:pPr>
              <w:spacing w:before="1" w:line="360" w:lineRule="auto"/>
              <w:rPr>
                <w:rFonts w:ascii="Arial" w:hAnsi="Arial" w:cs="Arial"/>
                <w:sz w:val="16"/>
                <w:szCs w:val="20"/>
              </w:rPr>
            </w:pPr>
          </w:p>
          <w:p w14:paraId="5D706D32" w14:textId="51BA807B" w:rsidR="00A13D50" w:rsidRDefault="0015140F" w:rsidP="00A13D50">
            <w:pPr>
              <w:spacing w:before="1" w:line="360" w:lineRule="auto"/>
              <w:rPr>
                <w:rFonts w:ascii="Arial" w:hAnsi="Arial" w:cs="Arial"/>
                <w:sz w:val="16"/>
                <w:szCs w:val="20"/>
              </w:rPr>
            </w:pPr>
            <w:r>
              <w:rPr>
                <w:rFonts w:ascii="Arial" w:hAnsi="Arial" w:cs="Arial"/>
                <w:sz w:val="16"/>
                <w:szCs w:val="20"/>
              </w:rPr>
              <w:t xml:space="preserve">Pre-op </w:t>
            </w:r>
            <w:r w:rsidR="00A13D50">
              <w:rPr>
                <w:rFonts w:ascii="Arial" w:hAnsi="Arial" w:cs="Arial"/>
                <w:sz w:val="16"/>
                <w:szCs w:val="20"/>
              </w:rPr>
              <w:t>FLAIR</w:t>
            </w:r>
          </w:p>
          <w:p w14:paraId="0157D5E9" w14:textId="77777777" w:rsidR="00A13D50" w:rsidRDefault="006F321B" w:rsidP="00A13D50">
            <w:pPr>
              <w:pStyle w:val="ListParagraph"/>
              <w:numPr>
                <w:ilvl w:val="0"/>
                <w:numId w:val="15"/>
              </w:numPr>
              <w:spacing w:before="1" w:line="360" w:lineRule="auto"/>
              <w:rPr>
                <w:rFonts w:ascii="Arial" w:hAnsi="Arial" w:cs="Arial"/>
                <w:sz w:val="16"/>
                <w:szCs w:val="20"/>
              </w:rPr>
            </w:pPr>
            <w:r>
              <w:rPr>
                <w:rFonts w:ascii="Arial" w:hAnsi="Arial" w:cs="Arial"/>
                <w:sz w:val="16"/>
                <w:szCs w:val="20"/>
              </w:rPr>
              <w:t>White matter hyperintensity Swietens grading</w:t>
            </w:r>
          </w:p>
          <w:p w14:paraId="7079ECD8" w14:textId="51115D25" w:rsidR="0015140F" w:rsidRPr="00626614" w:rsidRDefault="006F321B">
            <w:pPr>
              <w:pStyle w:val="ListParagraph"/>
              <w:numPr>
                <w:ilvl w:val="0"/>
                <w:numId w:val="15"/>
              </w:numPr>
              <w:spacing w:before="1" w:line="360" w:lineRule="auto"/>
              <w:rPr>
                <w:rFonts w:ascii="Arial" w:hAnsi="Arial" w:cs="Arial"/>
                <w:sz w:val="16"/>
                <w:szCs w:val="20"/>
              </w:rPr>
            </w:pPr>
            <w:r>
              <w:rPr>
                <w:rFonts w:ascii="Arial" w:hAnsi="Arial" w:cs="Arial"/>
                <w:sz w:val="16"/>
                <w:szCs w:val="20"/>
              </w:rPr>
              <w:t>Previous infarct</w:t>
            </w:r>
          </w:p>
        </w:tc>
        <w:tc>
          <w:tcPr>
            <w:tcW w:w="3260" w:type="dxa"/>
            <w:tcBorders>
              <w:left w:val="nil"/>
            </w:tcBorders>
          </w:tcPr>
          <w:p w14:paraId="108008FE" w14:textId="77777777" w:rsidR="00030EEA" w:rsidRPr="00626614" w:rsidRDefault="00030EEA" w:rsidP="004E2F9C">
            <w:pPr>
              <w:spacing w:line="360" w:lineRule="auto"/>
              <w:jc w:val="both"/>
              <w:rPr>
                <w:rFonts w:ascii="Arial" w:hAnsi="Arial" w:cs="Arial"/>
                <w:sz w:val="16"/>
                <w:szCs w:val="20"/>
              </w:rPr>
            </w:pPr>
            <w:r w:rsidRPr="00626614">
              <w:rPr>
                <w:rFonts w:ascii="Arial" w:hAnsi="Arial" w:cs="Arial"/>
                <w:sz w:val="16"/>
                <w:szCs w:val="20"/>
              </w:rPr>
              <w:t>Microbleed SWI lesions (Pre and post-op MRI within 48 hours)</w:t>
            </w:r>
          </w:p>
          <w:p w14:paraId="7787BB98" w14:textId="5C26398A" w:rsidR="00030EEA" w:rsidRPr="00626614" w:rsidRDefault="00030EEA" w:rsidP="00030EEA">
            <w:pPr>
              <w:pStyle w:val="ListParagraph"/>
              <w:numPr>
                <w:ilvl w:val="0"/>
                <w:numId w:val="16"/>
              </w:numPr>
              <w:spacing w:before="1" w:line="360" w:lineRule="auto"/>
              <w:rPr>
                <w:rFonts w:ascii="Arial" w:hAnsi="Arial" w:cs="Arial"/>
                <w:sz w:val="16"/>
                <w:szCs w:val="20"/>
              </w:rPr>
            </w:pPr>
            <w:r w:rsidRPr="00626614">
              <w:rPr>
                <w:rFonts w:ascii="Arial" w:hAnsi="Arial" w:cs="Arial"/>
                <w:sz w:val="16"/>
                <w:szCs w:val="20"/>
              </w:rPr>
              <w:t>Number</w:t>
            </w:r>
            <w:r w:rsidR="006C3B09">
              <w:rPr>
                <w:rFonts w:ascii="Arial" w:hAnsi="Arial" w:cs="Arial"/>
                <w:sz w:val="16"/>
                <w:szCs w:val="20"/>
              </w:rPr>
              <w:t xml:space="preserve"> of lesions</w:t>
            </w:r>
          </w:p>
        </w:tc>
      </w:tr>
    </w:tbl>
    <w:p w14:paraId="06F2DF49" w14:textId="77777777" w:rsidR="00991E8C" w:rsidRDefault="00991E8C" w:rsidP="00991E8C">
      <w:pPr>
        <w:spacing w:line="360" w:lineRule="auto"/>
        <w:jc w:val="both"/>
        <w:rPr>
          <w:rFonts w:ascii="Arial" w:eastAsia="Times New Roman" w:hAnsi="Arial" w:cs="Arial"/>
          <w:sz w:val="20"/>
          <w:szCs w:val="20"/>
        </w:rPr>
      </w:pPr>
    </w:p>
    <w:p w14:paraId="2A90ACFD" w14:textId="19F2BFE5" w:rsidR="00BF7CA6" w:rsidRDefault="00C269B0" w:rsidP="007A3A88">
      <w:pPr>
        <w:spacing w:line="360" w:lineRule="auto"/>
        <w:jc w:val="both"/>
        <w:rPr>
          <w:rFonts w:ascii="Arial" w:hAnsi="Arial"/>
          <w:i/>
          <w:color w:val="92CDDC" w:themeColor="accent5" w:themeTint="99"/>
          <w:sz w:val="20"/>
          <w:szCs w:val="20"/>
        </w:rPr>
      </w:pPr>
      <w:r>
        <w:rPr>
          <w:rFonts w:ascii="Arial" w:hAnsi="Arial"/>
          <w:i/>
          <w:color w:val="92CDDC" w:themeColor="accent5" w:themeTint="99"/>
          <w:sz w:val="20"/>
          <w:szCs w:val="20"/>
        </w:rPr>
        <w:t xml:space="preserve">Data </w:t>
      </w:r>
      <w:r w:rsidRPr="00953275">
        <w:rPr>
          <w:rFonts w:ascii="Arial" w:hAnsi="Arial"/>
          <w:i/>
          <w:color w:val="92CDDC" w:themeColor="accent5" w:themeTint="99"/>
          <w:sz w:val="20"/>
          <w:szCs w:val="20"/>
        </w:rPr>
        <w:t>Collection and Security</w:t>
      </w:r>
    </w:p>
    <w:p w14:paraId="5CE62359" w14:textId="353040D7" w:rsidR="00FB5A7B" w:rsidRDefault="001376B5" w:rsidP="007A3A88">
      <w:pPr>
        <w:spacing w:line="360" w:lineRule="auto"/>
        <w:jc w:val="both"/>
        <w:rPr>
          <w:rFonts w:ascii="Arial" w:hAnsi="Arial"/>
          <w:sz w:val="20"/>
          <w:szCs w:val="20"/>
        </w:rPr>
      </w:pPr>
      <w:r w:rsidRPr="001376B5">
        <w:rPr>
          <w:rFonts w:ascii="Arial" w:hAnsi="Arial"/>
          <w:sz w:val="20"/>
          <w:szCs w:val="20"/>
        </w:rPr>
        <w:t xml:space="preserve">Data will be </w:t>
      </w:r>
      <w:r w:rsidR="003675BF">
        <w:rPr>
          <w:rFonts w:ascii="Arial" w:hAnsi="Arial"/>
          <w:sz w:val="20"/>
          <w:szCs w:val="20"/>
        </w:rPr>
        <w:t>e</w:t>
      </w:r>
      <w:r w:rsidRPr="001376B5">
        <w:rPr>
          <w:rFonts w:ascii="Arial" w:hAnsi="Arial"/>
          <w:sz w:val="20"/>
          <w:szCs w:val="20"/>
        </w:rPr>
        <w:t xml:space="preserve">ntered into </w:t>
      </w:r>
      <w:r w:rsidR="00BD030D">
        <w:rPr>
          <w:rFonts w:ascii="Arial" w:hAnsi="Arial"/>
          <w:sz w:val="20"/>
          <w:szCs w:val="20"/>
        </w:rPr>
        <w:t xml:space="preserve">a </w:t>
      </w:r>
      <w:r w:rsidR="00C758B5">
        <w:rPr>
          <w:rFonts w:ascii="Arial" w:hAnsi="Arial"/>
          <w:sz w:val="20"/>
          <w:szCs w:val="20"/>
        </w:rPr>
        <w:t xml:space="preserve">spreadsheet </w:t>
      </w:r>
      <w:r w:rsidR="008B52B5">
        <w:rPr>
          <w:rFonts w:ascii="Arial" w:hAnsi="Arial"/>
          <w:sz w:val="20"/>
          <w:szCs w:val="20"/>
        </w:rPr>
        <w:t>kept in a password-protected drive</w:t>
      </w:r>
      <w:r w:rsidR="00391FE2" w:rsidRPr="001376B5">
        <w:rPr>
          <w:rFonts w:ascii="Arial" w:hAnsi="Arial"/>
          <w:sz w:val="20"/>
          <w:szCs w:val="20"/>
        </w:rPr>
        <w:t xml:space="preserve"> </w:t>
      </w:r>
      <w:r w:rsidR="00BD030D">
        <w:rPr>
          <w:rFonts w:ascii="Arial" w:hAnsi="Arial"/>
          <w:sz w:val="20"/>
          <w:szCs w:val="20"/>
        </w:rPr>
        <w:t xml:space="preserve">at RBWH </w:t>
      </w:r>
      <w:r w:rsidRPr="001376B5">
        <w:rPr>
          <w:rFonts w:ascii="Arial" w:hAnsi="Arial"/>
          <w:sz w:val="20"/>
          <w:szCs w:val="20"/>
        </w:rPr>
        <w:t>during review of patient imaging and medical records. Patients will be assigned a</w:t>
      </w:r>
      <w:r w:rsidR="00450819">
        <w:rPr>
          <w:rFonts w:ascii="Arial" w:hAnsi="Arial"/>
          <w:sz w:val="20"/>
          <w:szCs w:val="20"/>
        </w:rPr>
        <w:t xml:space="preserve"> </w:t>
      </w:r>
      <w:r w:rsidRPr="001376B5">
        <w:rPr>
          <w:rFonts w:ascii="Arial" w:hAnsi="Arial"/>
          <w:sz w:val="20"/>
          <w:szCs w:val="20"/>
        </w:rPr>
        <w:t xml:space="preserve">participant identification number. This will be recorded and referred to in all data during analysis. </w:t>
      </w:r>
      <w:r w:rsidR="00A60D97" w:rsidRPr="00A60D97">
        <w:rPr>
          <w:rFonts w:ascii="Arial" w:hAnsi="Arial"/>
          <w:sz w:val="20"/>
          <w:szCs w:val="20"/>
        </w:rPr>
        <w:t xml:space="preserve">Patient MRI scans will be stored on the password protected picture archiving and communications system (PACS) at RBWH. </w:t>
      </w:r>
      <w:r w:rsidRPr="001376B5">
        <w:rPr>
          <w:rFonts w:ascii="Arial" w:hAnsi="Arial"/>
          <w:sz w:val="20"/>
          <w:szCs w:val="20"/>
        </w:rPr>
        <w:t>Images used in publications will be de</w:t>
      </w:r>
      <w:r>
        <w:rPr>
          <w:rFonts w:ascii="Arial" w:hAnsi="Arial"/>
          <w:sz w:val="20"/>
          <w:szCs w:val="20"/>
        </w:rPr>
        <w:t>-</w:t>
      </w:r>
      <w:r w:rsidRPr="001376B5">
        <w:rPr>
          <w:rFonts w:ascii="Arial" w:hAnsi="Arial"/>
          <w:sz w:val="20"/>
          <w:szCs w:val="20"/>
        </w:rPr>
        <w:t xml:space="preserve">identified and show only the region of interest. </w:t>
      </w:r>
    </w:p>
    <w:p w14:paraId="4D112B37" w14:textId="77777777" w:rsidR="00FB5A7B" w:rsidRDefault="00FB5A7B" w:rsidP="007A3A88">
      <w:pPr>
        <w:spacing w:line="360" w:lineRule="auto"/>
        <w:jc w:val="both"/>
        <w:rPr>
          <w:rFonts w:ascii="Arial" w:hAnsi="Arial"/>
          <w:sz w:val="20"/>
          <w:szCs w:val="20"/>
        </w:rPr>
      </w:pPr>
    </w:p>
    <w:p w14:paraId="309069CA" w14:textId="08E79397" w:rsidR="000169E0" w:rsidRDefault="001376B5" w:rsidP="007A3A88">
      <w:pPr>
        <w:spacing w:line="360" w:lineRule="auto"/>
        <w:jc w:val="both"/>
        <w:rPr>
          <w:rFonts w:ascii="Arial" w:hAnsi="Arial"/>
          <w:sz w:val="20"/>
          <w:szCs w:val="20"/>
        </w:rPr>
      </w:pPr>
      <w:r w:rsidRPr="001376B5">
        <w:rPr>
          <w:rFonts w:ascii="Arial" w:hAnsi="Arial"/>
          <w:sz w:val="20"/>
          <w:szCs w:val="20"/>
        </w:rPr>
        <w:t xml:space="preserve">A file with the unit record (UR) number and name of participants linking them to the participant identification numbers will be </w:t>
      </w:r>
      <w:r w:rsidR="003014EF">
        <w:rPr>
          <w:rFonts w:ascii="Arial" w:hAnsi="Arial"/>
          <w:sz w:val="20"/>
          <w:szCs w:val="20"/>
        </w:rPr>
        <w:t xml:space="preserve">stored on a </w:t>
      </w:r>
      <w:r w:rsidR="00D1063F">
        <w:rPr>
          <w:rFonts w:ascii="Arial" w:hAnsi="Arial"/>
          <w:sz w:val="20"/>
          <w:szCs w:val="20"/>
        </w:rPr>
        <w:t>password-protected drive at RBWH</w:t>
      </w:r>
      <w:r w:rsidRPr="001376B5">
        <w:rPr>
          <w:rFonts w:ascii="Arial" w:hAnsi="Arial"/>
          <w:sz w:val="20"/>
          <w:szCs w:val="20"/>
        </w:rPr>
        <w:t xml:space="preserve">. Only the principal investigators will have access to data files. </w:t>
      </w:r>
    </w:p>
    <w:p w14:paraId="76E20922" w14:textId="77777777" w:rsidR="000169E0" w:rsidRDefault="000169E0" w:rsidP="007A3A88">
      <w:pPr>
        <w:spacing w:line="360" w:lineRule="auto"/>
        <w:jc w:val="both"/>
        <w:rPr>
          <w:rFonts w:ascii="Arial" w:hAnsi="Arial"/>
          <w:sz w:val="20"/>
          <w:szCs w:val="20"/>
        </w:rPr>
      </w:pPr>
    </w:p>
    <w:p w14:paraId="6BFA26D1" w14:textId="446BF4FB" w:rsidR="00FB5A7B" w:rsidRDefault="000169E0" w:rsidP="007A3A88">
      <w:pPr>
        <w:spacing w:line="360" w:lineRule="auto"/>
        <w:jc w:val="both"/>
        <w:rPr>
          <w:rFonts w:ascii="Arial" w:hAnsi="Arial"/>
          <w:sz w:val="20"/>
          <w:szCs w:val="20"/>
        </w:rPr>
      </w:pPr>
      <w:r>
        <w:rPr>
          <w:rFonts w:ascii="Arial" w:hAnsi="Arial"/>
          <w:sz w:val="20"/>
          <w:szCs w:val="20"/>
        </w:rPr>
        <w:t>To preserve participant privacy, d</w:t>
      </w:r>
      <w:r w:rsidR="001376B5" w:rsidRPr="001376B5">
        <w:rPr>
          <w:rFonts w:ascii="Arial" w:hAnsi="Arial"/>
          <w:sz w:val="20"/>
          <w:szCs w:val="20"/>
        </w:rPr>
        <w:t>e</w:t>
      </w:r>
      <w:r w:rsidR="00FB5A7B">
        <w:rPr>
          <w:rFonts w:ascii="Arial" w:hAnsi="Arial"/>
          <w:sz w:val="20"/>
          <w:szCs w:val="20"/>
        </w:rPr>
        <w:t>-</w:t>
      </w:r>
      <w:r w:rsidR="001376B5" w:rsidRPr="001376B5">
        <w:rPr>
          <w:rFonts w:ascii="Arial" w:hAnsi="Arial"/>
          <w:sz w:val="20"/>
          <w:szCs w:val="20"/>
        </w:rPr>
        <w:t xml:space="preserve">identified data will be sent to the biostatistician for analysis at the QIMR Berghofer Research Institute. The completed analysis will be returned to the principal investigators and remaining files at QIMR Berghofer will be promptly destroyed. </w:t>
      </w:r>
    </w:p>
    <w:p w14:paraId="5A1E8E27" w14:textId="77777777" w:rsidR="00FB5A7B" w:rsidRDefault="00FB5A7B" w:rsidP="007A3A88">
      <w:pPr>
        <w:spacing w:line="360" w:lineRule="auto"/>
        <w:jc w:val="both"/>
        <w:rPr>
          <w:rFonts w:ascii="Arial" w:hAnsi="Arial"/>
          <w:sz w:val="20"/>
          <w:szCs w:val="20"/>
        </w:rPr>
      </w:pPr>
    </w:p>
    <w:p w14:paraId="4D5C359F" w14:textId="7121B04A" w:rsidR="001376B5" w:rsidRDefault="001376B5" w:rsidP="007A3A88">
      <w:pPr>
        <w:spacing w:line="360" w:lineRule="auto"/>
        <w:jc w:val="both"/>
        <w:rPr>
          <w:rFonts w:ascii="Arial" w:hAnsi="Arial"/>
          <w:sz w:val="20"/>
          <w:szCs w:val="20"/>
        </w:rPr>
      </w:pPr>
      <w:r w:rsidRPr="00F257E2">
        <w:rPr>
          <w:rFonts w:ascii="Arial" w:hAnsi="Arial"/>
          <w:sz w:val="20"/>
          <w:szCs w:val="20"/>
        </w:rPr>
        <w:t xml:space="preserve">Deletion of electronic files in accordance with RBWH Information Technology Service's data disposal protocol will occur at the end of a </w:t>
      </w:r>
      <w:r w:rsidR="00445799" w:rsidRPr="00F257E2">
        <w:rPr>
          <w:rFonts w:ascii="Arial" w:hAnsi="Arial"/>
          <w:sz w:val="20"/>
          <w:szCs w:val="20"/>
        </w:rPr>
        <w:t>1</w:t>
      </w:r>
      <w:r w:rsidR="00FB5A7B" w:rsidRPr="00F257E2">
        <w:rPr>
          <w:rFonts w:ascii="Arial" w:hAnsi="Arial"/>
          <w:sz w:val="20"/>
          <w:szCs w:val="20"/>
        </w:rPr>
        <w:t xml:space="preserve">5-year period ending </w:t>
      </w:r>
      <w:r w:rsidR="00F257E2" w:rsidRPr="00626614">
        <w:rPr>
          <w:rFonts w:ascii="Arial" w:hAnsi="Arial"/>
          <w:sz w:val="20"/>
          <w:szCs w:val="20"/>
        </w:rPr>
        <w:t>31</w:t>
      </w:r>
      <w:r w:rsidRPr="00F257E2">
        <w:rPr>
          <w:rFonts w:ascii="Arial" w:hAnsi="Arial"/>
          <w:sz w:val="20"/>
          <w:szCs w:val="20"/>
        </w:rPr>
        <w:t>/</w:t>
      </w:r>
      <w:r w:rsidR="00D94325" w:rsidRPr="00F257E2">
        <w:rPr>
          <w:rFonts w:ascii="Arial" w:hAnsi="Arial"/>
          <w:sz w:val="20"/>
          <w:szCs w:val="20"/>
        </w:rPr>
        <w:t>09</w:t>
      </w:r>
      <w:r w:rsidRPr="00F257E2">
        <w:rPr>
          <w:rFonts w:ascii="Arial" w:hAnsi="Arial"/>
          <w:sz w:val="20"/>
          <w:szCs w:val="20"/>
        </w:rPr>
        <w:t>/20</w:t>
      </w:r>
      <w:r w:rsidR="00445799" w:rsidRPr="00F257E2">
        <w:rPr>
          <w:rFonts w:ascii="Arial" w:hAnsi="Arial"/>
          <w:sz w:val="20"/>
          <w:szCs w:val="20"/>
        </w:rPr>
        <w:t>3</w:t>
      </w:r>
      <w:r w:rsidR="00F257E2" w:rsidRPr="00626614">
        <w:rPr>
          <w:rFonts w:ascii="Arial" w:hAnsi="Arial"/>
          <w:sz w:val="20"/>
          <w:szCs w:val="20"/>
        </w:rPr>
        <w:t>8</w:t>
      </w:r>
      <w:r w:rsidRPr="00F257E2">
        <w:rPr>
          <w:rFonts w:ascii="Arial" w:hAnsi="Arial"/>
          <w:sz w:val="20"/>
          <w:szCs w:val="20"/>
        </w:rPr>
        <w:t>.</w:t>
      </w:r>
      <w:r w:rsidRPr="001376B5">
        <w:rPr>
          <w:rFonts w:ascii="Arial" w:hAnsi="Arial"/>
          <w:sz w:val="20"/>
          <w:szCs w:val="20"/>
        </w:rPr>
        <w:t xml:space="preserve"> </w:t>
      </w:r>
      <w:r w:rsidR="004F5F13" w:rsidRPr="00D778BE">
        <w:rPr>
          <w:rFonts w:ascii="Arial" w:hAnsi="Arial"/>
          <w:sz w:val="20"/>
          <w:szCs w:val="20"/>
        </w:rPr>
        <w:t>Printed documents will be held in the Department of Medical Imaging Research Office, Level 3, Ned Hanlon Building, Royal Brisbane and Women's Hospital (RBWH).</w:t>
      </w:r>
      <w:r w:rsidR="004F5F13">
        <w:rPr>
          <w:rFonts w:ascii="Arial" w:hAnsi="Arial"/>
          <w:sz w:val="20"/>
          <w:szCs w:val="20"/>
        </w:rPr>
        <w:t xml:space="preserve"> </w:t>
      </w:r>
      <w:r w:rsidRPr="001376B5">
        <w:rPr>
          <w:rFonts w:ascii="Arial" w:hAnsi="Arial"/>
          <w:sz w:val="20"/>
          <w:szCs w:val="20"/>
        </w:rPr>
        <w:t>Printed documents will be destroyed through RBWH secure document disposal service.</w:t>
      </w:r>
    </w:p>
    <w:p w14:paraId="17B80D20" w14:textId="77777777" w:rsidR="007B688C" w:rsidRDefault="007B688C" w:rsidP="007A3A88">
      <w:pPr>
        <w:spacing w:line="360" w:lineRule="auto"/>
        <w:jc w:val="both"/>
        <w:rPr>
          <w:rFonts w:ascii="Arial" w:hAnsi="Arial"/>
          <w:sz w:val="20"/>
          <w:szCs w:val="20"/>
        </w:rPr>
      </w:pPr>
    </w:p>
    <w:p w14:paraId="6E1D00BD" w14:textId="6CBDA3B7" w:rsidR="007B688C" w:rsidRPr="001376B5" w:rsidRDefault="007B688C">
      <w:pPr>
        <w:spacing w:line="360" w:lineRule="auto"/>
        <w:jc w:val="both"/>
        <w:rPr>
          <w:rFonts w:ascii="Arial" w:hAnsi="Arial"/>
          <w:sz w:val="20"/>
          <w:szCs w:val="20"/>
        </w:rPr>
      </w:pPr>
      <w:r>
        <w:rPr>
          <w:rFonts w:ascii="Arial" w:hAnsi="Arial"/>
          <w:sz w:val="20"/>
          <w:szCs w:val="20"/>
        </w:rPr>
        <w:t xml:space="preserve">An </w:t>
      </w:r>
      <w:r w:rsidR="000A7840">
        <w:rPr>
          <w:rFonts w:ascii="Arial" w:hAnsi="Arial"/>
          <w:sz w:val="20"/>
          <w:szCs w:val="20"/>
        </w:rPr>
        <w:t>interim</w:t>
      </w:r>
      <w:r>
        <w:rPr>
          <w:rFonts w:ascii="Arial" w:hAnsi="Arial"/>
          <w:sz w:val="20"/>
          <w:szCs w:val="20"/>
        </w:rPr>
        <w:t xml:space="preserve"> review of cases will occur at 6 months, or when half of the participants have been recruited. </w:t>
      </w:r>
    </w:p>
    <w:p w14:paraId="2F0F85C8" w14:textId="77777777" w:rsidR="00BF7CA6" w:rsidRPr="00AC7A78" w:rsidRDefault="00BF7CA6" w:rsidP="007A3A88">
      <w:pPr>
        <w:spacing w:line="360" w:lineRule="auto"/>
        <w:jc w:val="both"/>
        <w:rPr>
          <w:rFonts w:ascii="Arial" w:hAnsi="Arial"/>
          <w:sz w:val="20"/>
          <w:szCs w:val="20"/>
        </w:rPr>
      </w:pPr>
    </w:p>
    <w:p w14:paraId="018C169D" w14:textId="16B1AE8F" w:rsidR="00BF7CA6" w:rsidRPr="004D06BB" w:rsidRDefault="00B30D76" w:rsidP="007A3A88">
      <w:pPr>
        <w:spacing w:line="360" w:lineRule="auto"/>
        <w:jc w:val="both"/>
        <w:rPr>
          <w:rFonts w:ascii="Arial" w:hAnsi="Arial"/>
          <w:i/>
          <w:color w:val="92CDDC" w:themeColor="accent5" w:themeTint="99"/>
          <w:sz w:val="20"/>
          <w:szCs w:val="20"/>
        </w:rPr>
      </w:pPr>
      <w:r>
        <w:rPr>
          <w:rFonts w:ascii="Arial" w:hAnsi="Arial"/>
          <w:i/>
          <w:color w:val="92CDDC" w:themeColor="accent5" w:themeTint="99"/>
          <w:sz w:val="20"/>
          <w:szCs w:val="20"/>
        </w:rPr>
        <w:t>Statistical</w:t>
      </w:r>
      <w:r w:rsidR="00BF7CA6" w:rsidRPr="004D06BB">
        <w:rPr>
          <w:rFonts w:ascii="Arial" w:hAnsi="Arial"/>
          <w:i/>
          <w:color w:val="92CDDC" w:themeColor="accent5" w:themeTint="99"/>
          <w:sz w:val="20"/>
          <w:szCs w:val="20"/>
        </w:rPr>
        <w:t xml:space="preserve"> Analysis</w:t>
      </w:r>
    </w:p>
    <w:p w14:paraId="7FE170B1" w14:textId="77777777" w:rsidR="00B30D76" w:rsidRPr="00B30D76" w:rsidRDefault="00B30D76" w:rsidP="00B30D76">
      <w:pPr>
        <w:spacing w:line="360" w:lineRule="auto"/>
        <w:jc w:val="both"/>
        <w:rPr>
          <w:rFonts w:ascii="Arial" w:hAnsi="Arial"/>
          <w:sz w:val="20"/>
          <w:szCs w:val="20"/>
        </w:rPr>
      </w:pPr>
      <w:r w:rsidRPr="00B30D76">
        <w:rPr>
          <w:rFonts w:ascii="Arial" w:hAnsi="Arial"/>
          <w:sz w:val="20"/>
          <w:szCs w:val="20"/>
        </w:rPr>
        <w:t>This will be done in collaboration with the QIMR Berghofer Medical Research Institute Statistics Unit.</w:t>
      </w:r>
    </w:p>
    <w:p w14:paraId="70EBB7EF" w14:textId="13B61C34" w:rsidR="002765EB" w:rsidRDefault="00B30D76" w:rsidP="000C54C7">
      <w:pPr>
        <w:spacing w:line="360" w:lineRule="auto"/>
        <w:jc w:val="both"/>
        <w:rPr>
          <w:rFonts w:ascii="Arial" w:hAnsi="Arial"/>
          <w:sz w:val="20"/>
          <w:szCs w:val="20"/>
        </w:rPr>
      </w:pPr>
      <w:r w:rsidRPr="00B30D76">
        <w:rPr>
          <w:rFonts w:ascii="Arial" w:hAnsi="Arial"/>
          <w:sz w:val="20"/>
          <w:szCs w:val="20"/>
        </w:rPr>
        <w:t xml:space="preserve">The primary endpoint will be the proportion of patients with new DWI lesions detected on post procedure MRI for each arm. We will further determine whether there are differences between the arms with respect to the secondary endpoints of the proportion of patients who experience puncture site or haemorrhagic </w:t>
      </w:r>
      <w:r w:rsidRPr="00B30D76">
        <w:rPr>
          <w:rFonts w:ascii="Arial" w:hAnsi="Arial"/>
          <w:sz w:val="20"/>
          <w:szCs w:val="20"/>
        </w:rPr>
        <w:lastRenderedPageBreak/>
        <w:t xml:space="preserve">complications. Characteristics of each arm will be summarised using frequency and percent, mean and standard deviation for normally distributed continuous variables and median and interquartile range for non-normally distributed continuous variables. Chi-square tests will be used to compare randomised groups for categorical outcomes (includes primary outcome), t-tests for continuous normally distributed outcomes and Mann-Whitney U tests for continuous non-normally distributed outcomes. Statistical significance will be set at α&lt;0.05. As a secondary analysis to improve effect size estimates, a meta-analysis will also be performed with data from the previous EPPICS study. </w:t>
      </w:r>
    </w:p>
    <w:p w14:paraId="5FD7DB1D" w14:textId="77777777" w:rsidR="00B30D76" w:rsidRPr="00D94325" w:rsidRDefault="00B30D76" w:rsidP="000C54C7">
      <w:pPr>
        <w:spacing w:line="360" w:lineRule="auto"/>
        <w:jc w:val="both"/>
        <w:rPr>
          <w:rFonts w:ascii="Arial" w:hAnsi="Arial"/>
          <w:sz w:val="20"/>
          <w:szCs w:val="20"/>
        </w:rPr>
      </w:pPr>
    </w:p>
    <w:p w14:paraId="6B123ADE" w14:textId="77777777" w:rsidR="00BF7CA6" w:rsidRPr="004D06BB" w:rsidRDefault="00BF7CA6" w:rsidP="007A3A88">
      <w:pPr>
        <w:spacing w:line="360" w:lineRule="auto"/>
        <w:jc w:val="both"/>
        <w:rPr>
          <w:rFonts w:ascii="Arial" w:hAnsi="Arial"/>
          <w:i/>
          <w:color w:val="92CDDC" w:themeColor="accent5" w:themeTint="99"/>
          <w:sz w:val="20"/>
          <w:szCs w:val="20"/>
        </w:rPr>
      </w:pPr>
      <w:r w:rsidRPr="004D06BB">
        <w:rPr>
          <w:rFonts w:ascii="Arial" w:hAnsi="Arial"/>
          <w:i/>
          <w:color w:val="92CDDC" w:themeColor="accent5" w:themeTint="99"/>
          <w:sz w:val="20"/>
          <w:szCs w:val="20"/>
        </w:rPr>
        <w:t>Timeline</w:t>
      </w:r>
    </w:p>
    <w:p w14:paraId="280511D6" w14:textId="481CF66A" w:rsidR="00BF7CA6" w:rsidRPr="002765EB" w:rsidRDefault="002765EB" w:rsidP="007A3A88">
      <w:pPr>
        <w:spacing w:line="360" w:lineRule="auto"/>
        <w:jc w:val="both"/>
        <w:rPr>
          <w:rFonts w:ascii="Arial" w:hAnsi="Arial" w:cs="Arial"/>
          <w:sz w:val="20"/>
          <w:szCs w:val="20"/>
        </w:rPr>
      </w:pPr>
      <w:r w:rsidRPr="002765EB">
        <w:rPr>
          <w:rFonts w:ascii="Arial" w:hAnsi="Arial" w:cs="Arial"/>
          <w:sz w:val="20"/>
          <w:szCs w:val="20"/>
        </w:rPr>
        <w:t xml:space="preserve">The project aims to start recruitment in </w:t>
      </w:r>
      <w:r w:rsidR="00C34891">
        <w:rPr>
          <w:rFonts w:ascii="Arial" w:hAnsi="Arial" w:cs="Arial"/>
          <w:sz w:val="20"/>
          <w:szCs w:val="20"/>
        </w:rPr>
        <w:t xml:space="preserve">4Q </w:t>
      </w:r>
      <w:r w:rsidRPr="002765EB">
        <w:rPr>
          <w:rFonts w:ascii="Arial" w:hAnsi="Arial" w:cs="Arial"/>
          <w:sz w:val="20"/>
          <w:szCs w:val="20"/>
        </w:rPr>
        <w:t>20</w:t>
      </w:r>
      <w:r w:rsidR="00C34891">
        <w:rPr>
          <w:rFonts w:ascii="Arial" w:hAnsi="Arial" w:cs="Arial"/>
          <w:sz w:val="20"/>
          <w:szCs w:val="20"/>
        </w:rPr>
        <w:t>20</w:t>
      </w:r>
      <w:r w:rsidRPr="002765EB">
        <w:rPr>
          <w:rFonts w:ascii="Arial" w:hAnsi="Arial" w:cs="Arial"/>
          <w:sz w:val="20"/>
          <w:szCs w:val="20"/>
        </w:rPr>
        <w:t xml:space="preserve">. </w:t>
      </w:r>
      <w:r w:rsidR="00643D81">
        <w:rPr>
          <w:rFonts w:ascii="Arial" w:hAnsi="Arial" w:cs="Arial"/>
          <w:sz w:val="20"/>
          <w:szCs w:val="20"/>
        </w:rPr>
        <w:t xml:space="preserve">Recruitment of 124 participants is expected to </w:t>
      </w:r>
      <w:r w:rsidR="006A7B4D">
        <w:rPr>
          <w:rFonts w:ascii="Arial" w:hAnsi="Arial" w:cs="Arial"/>
          <w:sz w:val="20"/>
          <w:szCs w:val="20"/>
        </w:rPr>
        <w:t>complete between 4Q 2022</w:t>
      </w:r>
      <w:r w:rsidR="003F3F78">
        <w:rPr>
          <w:rFonts w:ascii="Arial" w:hAnsi="Arial" w:cs="Arial"/>
          <w:sz w:val="20"/>
          <w:szCs w:val="20"/>
        </w:rPr>
        <w:t xml:space="preserve"> to </w:t>
      </w:r>
      <w:r w:rsidR="000C0594">
        <w:rPr>
          <w:rFonts w:ascii="Arial" w:hAnsi="Arial" w:cs="Arial"/>
          <w:sz w:val="20"/>
          <w:szCs w:val="20"/>
        </w:rPr>
        <w:t>1Q</w:t>
      </w:r>
      <w:r w:rsidR="00947152">
        <w:rPr>
          <w:rFonts w:ascii="Arial" w:hAnsi="Arial" w:cs="Arial"/>
          <w:sz w:val="20"/>
          <w:szCs w:val="20"/>
        </w:rPr>
        <w:t xml:space="preserve"> </w:t>
      </w:r>
      <w:r w:rsidR="000C0594">
        <w:rPr>
          <w:rFonts w:ascii="Arial" w:hAnsi="Arial" w:cs="Arial"/>
          <w:sz w:val="20"/>
          <w:szCs w:val="20"/>
        </w:rPr>
        <w:t>2023</w:t>
      </w:r>
      <w:r w:rsidR="00591CDD">
        <w:rPr>
          <w:rFonts w:ascii="Arial" w:hAnsi="Arial" w:cs="Arial"/>
          <w:sz w:val="20"/>
          <w:szCs w:val="20"/>
        </w:rPr>
        <w:t>.</w:t>
      </w:r>
      <w:r w:rsidR="000C0594">
        <w:rPr>
          <w:rFonts w:ascii="Arial" w:hAnsi="Arial" w:cs="Arial"/>
          <w:sz w:val="20"/>
          <w:szCs w:val="20"/>
        </w:rPr>
        <w:t xml:space="preserve"> </w:t>
      </w:r>
      <w:r w:rsidR="00A4466E" w:rsidRPr="00626614">
        <w:rPr>
          <w:rFonts w:ascii="Arial" w:hAnsi="Arial" w:cs="Arial"/>
          <w:sz w:val="20"/>
          <w:szCs w:val="20"/>
        </w:rPr>
        <w:t>Records from 2019 suggest about 50 patients per year meeting inclusion criteria</w:t>
      </w:r>
      <w:r w:rsidR="000C0594">
        <w:rPr>
          <w:rFonts w:ascii="Arial" w:hAnsi="Arial" w:cs="Arial"/>
          <w:sz w:val="20"/>
          <w:szCs w:val="20"/>
        </w:rPr>
        <w:t>.</w:t>
      </w:r>
      <w:r w:rsidRPr="002765EB">
        <w:rPr>
          <w:rFonts w:ascii="Arial" w:hAnsi="Arial" w:cs="Arial"/>
          <w:sz w:val="20"/>
          <w:szCs w:val="20"/>
        </w:rPr>
        <w:t xml:space="preserve"> Statistical analysis and manuscript development, in addition to other administrative duties will likely take an additional </w:t>
      </w:r>
      <w:r w:rsidR="00DC591E">
        <w:rPr>
          <w:rFonts w:ascii="Arial" w:hAnsi="Arial" w:cs="Arial"/>
          <w:sz w:val="20"/>
          <w:szCs w:val="20"/>
        </w:rPr>
        <w:t>3-4</w:t>
      </w:r>
      <w:r w:rsidRPr="002765EB">
        <w:rPr>
          <w:rFonts w:ascii="Arial" w:hAnsi="Arial" w:cs="Arial"/>
          <w:sz w:val="20"/>
          <w:szCs w:val="20"/>
        </w:rPr>
        <w:t xml:space="preserve"> months to complete. Factoring in patient drop-out and unfor</w:t>
      </w:r>
      <w:r w:rsidR="00DC591E">
        <w:rPr>
          <w:rFonts w:ascii="Arial" w:hAnsi="Arial" w:cs="Arial"/>
          <w:sz w:val="20"/>
          <w:szCs w:val="20"/>
        </w:rPr>
        <w:t>e</w:t>
      </w:r>
      <w:r w:rsidRPr="002765EB">
        <w:rPr>
          <w:rFonts w:ascii="Arial" w:hAnsi="Arial" w:cs="Arial"/>
          <w:sz w:val="20"/>
          <w:szCs w:val="20"/>
        </w:rPr>
        <w:t xml:space="preserve">seen delays, the anticipated duration of this project is </w:t>
      </w:r>
      <w:r w:rsidR="008A4702">
        <w:rPr>
          <w:rFonts w:ascii="Arial" w:hAnsi="Arial" w:cs="Arial"/>
          <w:sz w:val="20"/>
          <w:szCs w:val="20"/>
        </w:rPr>
        <w:t>3 years</w:t>
      </w:r>
      <w:r w:rsidRPr="002765EB">
        <w:rPr>
          <w:rFonts w:ascii="Arial" w:hAnsi="Arial" w:cs="Arial"/>
          <w:sz w:val="20"/>
          <w:szCs w:val="20"/>
        </w:rPr>
        <w:t xml:space="preserve">. </w:t>
      </w:r>
    </w:p>
    <w:p w14:paraId="1A670080" w14:textId="77777777" w:rsidR="001C4C1E" w:rsidRDefault="001C4C1E">
      <w:pPr>
        <w:rPr>
          <w:rFonts w:ascii="Arial" w:hAnsi="Arial"/>
          <w:sz w:val="20"/>
          <w:szCs w:val="20"/>
        </w:rPr>
      </w:pPr>
    </w:p>
    <w:p w14:paraId="7C8AF049" w14:textId="2F484ED4" w:rsidR="001C4C1E" w:rsidRPr="004D06BB" w:rsidRDefault="001C4C1E" w:rsidP="001C4C1E">
      <w:pPr>
        <w:spacing w:line="360" w:lineRule="auto"/>
        <w:jc w:val="both"/>
        <w:rPr>
          <w:rFonts w:ascii="Arial" w:hAnsi="Arial"/>
          <w:i/>
          <w:color w:val="92CDDC" w:themeColor="accent5" w:themeTint="99"/>
          <w:sz w:val="20"/>
          <w:szCs w:val="20"/>
        </w:rPr>
      </w:pPr>
      <w:r>
        <w:rPr>
          <w:rFonts w:ascii="Arial" w:hAnsi="Arial"/>
          <w:i/>
          <w:color w:val="92CDDC" w:themeColor="accent5" w:themeTint="99"/>
          <w:sz w:val="20"/>
          <w:szCs w:val="20"/>
        </w:rPr>
        <w:t>Dissemination</w:t>
      </w:r>
    </w:p>
    <w:p w14:paraId="2CA10CFE" w14:textId="74BBA23F" w:rsidR="002F16DA" w:rsidRDefault="001C4C1E" w:rsidP="00323C78">
      <w:pPr>
        <w:spacing w:line="360" w:lineRule="auto"/>
        <w:jc w:val="both"/>
        <w:rPr>
          <w:rFonts w:ascii="Arial" w:hAnsi="Arial"/>
          <w:sz w:val="20"/>
          <w:szCs w:val="20"/>
        </w:rPr>
      </w:pPr>
      <w:r w:rsidRPr="000A6C7F">
        <w:rPr>
          <w:rFonts w:ascii="Arial" w:hAnsi="Arial" w:cs="Arial"/>
          <w:sz w:val="20"/>
          <w:szCs w:val="20"/>
        </w:rPr>
        <w:t xml:space="preserve">The results of the trial will </w:t>
      </w:r>
      <w:r w:rsidR="000B1589">
        <w:rPr>
          <w:rFonts w:ascii="Arial" w:hAnsi="Arial" w:cs="Arial"/>
          <w:sz w:val="20"/>
          <w:szCs w:val="20"/>
        </w:rPr>
        <w:t>reported</w:t>
      </w:r>
      <w:r w:rsidRPr="000A6C7F">
        <w:rPr>
          <w:rFonts w:ascii="Arial" w:hAnsi="Arial" w:cs="Arial"/>
          <w:sz w:val="20"/>
          <w:szCs w:val="20"/>
        </w:rPr>
        <w:t xml:space="preserve"> locally at RBWH, including the Department of Medical Imaging Interventional Neuroradiology Service. We also aim to </w:t>
      </w:r>
      <w:r w:rsidR="00FA0A2E">
        <w:rPr>
          <w:rFonts w:ascii="Arial" w:hAnsi="Arial" w:cs="Arial"/>
          <w:sz w:val="20"/>
          <w:szCs w:val="20"/>
        </w:rPr>
        <w:t>communicate</w:t>
      </w:r>
      <w:r w:rsidRPr="000A6C7F">
        <w:rPr>
          <w:rFonts w:ascii="Arial" w:hAnsi="Arial" w:cs="Arial"/>
          <w:sz w:val="20"/>
          <w:szCs w:val="20"/>
        </w:rPr>
        <w:t xml:space="preserve"> the findings</w:t>
      </w:r>
      <w:r w:rsidR="009B3CA7">
        <w:rPr>
          <w:rFonts w:ascii="Arial" w:hAnsi="Arial" w:cs="Arial"/>
          <w:sz w:val="20"/>
          <w:szCs w:val="20"/>
        </w:rPr>
        <w:t xml:space="preserve"> to the wider medical community</w:t>
      </w:r>
      <w:r w:rsidRPr="000A6C7F">
        <w:rPr>
          <w:rFonts w:ascii="Arial" w:hAnsi="Arial" w:cs="Arial"/>
          <w:sz w:val="20"/>
          <w:szCs w:val="20"/>
        </w:rPr>
        <w:t xml:space="preserve"> through scientific meetings such as the RANZCR Annual Scientific Meeting and </w:t>
      </w:r>
      <w:r w:rsidRPr="004A4C1F">
        <w:rPr>
          <w:rFonts w:ascii="Arial" w:hAnsi="Arial" w:cs="Arial"/>
          <w:sz w:val="20"/>
          <w:szCs w:val="20"/>
        </w:rPr>
        <w:t>publication.</w:t>
      </w:r>
      <w:r>
        <w:rPr>
          <w:rFonts w:ascii="Arial" w:hAnsi="Arial"/>
          <w:sz w:val="20"/>
          <w:szCs w:val="20"/>
        </w:rPr>
        <w:t xml:space="preserve"> </w:t>
      </w:r>
      <w:r w:rsidR="003C05B9">
        <w:rPr>
          <w:rFonts w:ascii="Arial" w:hAnsi="Arial"/>
          <w:sz w:val="20"/>
          <w:szCs w:val="20"/>
        </w:rPr>
        <w:t xml:space="preserve">Participants </w:t>
      </w:r>
      <w:r w:rsidR="00A61E10">
        <w:rPr>
          <w:rFonts w:ascii="Arial" w:hAnsi="Arial"/>
          <w:sz w:val="20"/>
          <w:szCs w:val="20"/>
        </w:rPr>
        <w:t>can</w:t>
      </w:r>
      <w:r w:rsidR="00B175FC">
        <w:rPr>
          <w:rFonts w:ascii="Arial" w:hAnsi="Arial"/>
          <w:sz w:val="20"/>
          <w:szCs w:val="20"/>
        </w:rPr>
        <w:t xml:space="preserve"> also</w:t>
      </w:r>
      <w:r w:rsidR="003C05B9">
        <w:rPr>
          <w:rFonts w:ascii="Arial" w:hAnsi="Arial"/>
          <w:sz w:val="20"/>
          <w:szCs w:val="20"/>
        </w:rPr>
        <w:t xml:space="preserve"> ind</w:t>
      </w:r>
      <w:r w:rsidR="00CF4EED">
        <w:rPr>
          <w:rFonts w:ascii="Arial" w:hAnsi="Arial"/>
          <w:sz w:val="20"/>
          <w:szCs w:val="20"/>
        </w:rPr>
        <w:t xml:space="preserve">icate </w:t>
      </w:r>
      <w:r w:rsidR="0009347F">
        <w:rPr>
          <w:rFonts w:ascii="Arial" w:hAnsi="Arial"/>
          <w:sz w:val="20"/>
          <w:szCs w:val="20"/>
        </w:rPr>
        <w:t>their</w:t>
      </w:r>
      <w:r w:rsidR="00CF4EED">
        <w:rPr>
          <w:rFonts w:ascii="Arial" w:hAnsi="Arial"/>
          <w:sz w:val="20"/>
          <w:szCs w:val="20"/>
        </w:rPr>
        <w:t xml:space="preserve"> interest in receiving a summary of the </w:t>
      </w:r>
      <w:r w:rsidR="007E31FD">
        <w:rPr>
          <w:rFonts w:ascii="Arial" w:hAnsi="Arial"/>
          <w:sz w:val="20"/>
          <w:szCs w:val="20"/>
        </w:rPr>
        <w:t xml:space="preserve">key findings of the </w:t>
      </w:r>
      <w:r w:rsidR="00FF5C48">
        <w:rPr>
          <w:rFonts w:ascii="Arial" w:hAnsi="Arial"/>
          <w:sz w:val="20"/>
          <w:szCs w:val="20"/>
        </w:rPr>
        <w:t>study</w:t>
      </w:r>
      <w:r w:rsidR="007E31FD">
        <w:rPr>
          <w:rFonts w:ascii="Arial" w:hAnsi="Arial"/>
          <w:sz w:val="20"/>
          <w:szCs w:val="20"/>
        </w:rPr>
        <w:t xml:space="preserve"> as part of the</w:t>
      </w:r>
      <w:r w:rsidR="00CF4EED">
        <w:rPr>
          <w:rFonts w:ascii="Arial" w:hAnsi="Arial"/>
          <w:sz w:val="20"/>
          <w:szCs w:val="20"/>
        </w:rPr>
        <w:t xml:space="preserve"> consent process.</w:t>
      </w:r>
    </w:p>
    <w:p w14:paraId="503758B4" w14:textId="19D1B2D0" w:rsidR="004D1202" w:rsidRDefault="004D1202">
      <w:pPr>
        <w:rPr>
          <w:rFonts w:ascii="Arial" w:hAnsi="Arial"/>
          <w:sz w:val="20"/>
          <w:szCs w:val="20"/>
        </w:rPr>
      </w:pPr>
      <w:r>
        <w:rPr>
          <w:rFonts w:ascii="Arial" w:hAnsi="Arial"/>
          <w:sz w:val="20"/>
          <w:szCs w:val="20"/>
        </w:rPr>
        <w:br w:type="page"/>
      </w:r>
    </w:p>
    <w:p w14:paraId="16B8ECE9" w14:textId="50689DA5" w:rsidR="003C7F0C" w:rsidRPr="005011BD" w:rsidRDefault="00BF7CA6" w:rsidP="007A3A88">
      <w:pPr>
        <w:spacing w:line="360" w:lineRule="auto"/>
        <w:jc w:val="both"/>
        <w:rPr>
          <w:rFonts w:ascii="Arial" w:hAnsi="Arial" w:cs="Arial"/>
          <w:b/>
          <w:color w:val="31849B" w:themeColor="accent5" w:themeShade="BF"/>
          <w:sz w:val="20"/>
          <w:szCs w:val="20"/>
        </w:rPr>
      </w:pPr>
      <w:r w:rsidRPr="00BF7CA6">
        <w:rPr>
          <w:rFonts w:ascii="Arial" w:hAnsi="Arial" w:cs="Arial"/>
          <w:b/>
          <w:color w:val="31849B" w:themeColor="accent5" w:themeShade="BF"/>
          <w:sz w:val="20"/>
          <w:szCs w:val="20"/>
        </w:rPr>
        <w:lastRenderedPageBreak/>
        <w:t>References</w:t>
      </w:r>
    </w:p>
    <w:p w14:paraId="5CCE722C" w14:textId="77777777" w:rsidR="00B8611E" w:rsidRDefault="00B8611E" w:rsidP="006438F5">
      <w:pPr>
        <w:rPr>
          <w:rFonts w:ascii="Arial" w:hAnsi="Arial" w:cs="Arial"/>
          <w:sz w:val="20"/>
          <w:szCs w:val="20"/>
        </w:rPr>
      </w:pPr>
    </w:p>
    <w:p w14:paraId="3F51F5D3" w14:textId="6FFB9AF4" w:rsidR="004A4C1F" w:rsidRPr="004A4C1F" w:rsidRDefault="00F45134" w:rsidP="004A4C1F">
      <w:pPr>
        <w:widowControl w:val="0"/>
        <w:autoSpaceDE w:val="0"/>
        <w:autoSpaceDN w:val="0"/>
        <w:adjustRightInd w:val="0"/>
        <w:ind w:left="640" w:hanging="640"/>
        <w:rPr>
          <w:rFonts w:ascii="Arial" w:hAnsi="Arial" w:cs="Arial"/>
          <w:noProof/>
          <w:sz w:val="20"/>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004A4C1F" w:rsidRPr="004A4C1F">
        <w:rPr>
          <w:rFonts w:ascii="Arial" w:hAnsi="Arial" w:cs="Arial"/>
          <w:noProof/>
          <w:sz w:val="20"/>
        </w:rPr>
        <w:t xml:space="preserve">1. </w:t>
      </w:r>
      <w:r w:rsidR="004A4C1F" w:rsidRPr="004A4C1F">
        <w:rPr>
          <w:rFonts w:ascii="Arial" w:hAnsi="Arial" w:cs="Arial"/>
          <w:noProof/>
          <w:sz w:val="20"/>
        </w:rPr>
        <w:tab/>
        <w:t xml:space="preserve">Shapiro M, Babb J, Becske T, Nelson PK. Safety and efficacy of adjunctive balloon remodeling during endovascular treatment of intracranial aneurysms: A literature review. Am J Neuroradiol. 2008 Oct 1;29(9):1777–81. </w:t>
      </w:r>
    </w:p>
    <w:p w14:paraId="465084E1"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2. </w:t>
      </w:r>
      <w:r w:rsidRPr="004A4C1F">
        <w:rPr>
          <w:rFonts w:ascii="Arial" w:hAnsi="Arial" w:cs="Arial"/>
          <w:noProof/>
          <w:sz w:val="20"/>
        </w:rPr>
        <w:tab/>
        <w:t xml:space="preserve">Bracard S, Barbier C, Derelle AL, Anxionnat R. Endovascular treatment of aneurisms: Pre, intra and post operative management. Eur J Radiol. 2013 Oct 1;82(10):1633–7. </w:t>
      </w:r>
    </w:p>
    <w:p w14:paraId="1A0694CA"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3. </w:t>
      </w:r>
      <w:r w:rsidRPr="004A4C1F">
        <w:rPr>
          <w:rFonts w:ascii="Arial" w:hAnsi="Arial" w:cs="Arial"/>
          <w:noProof/>
          <w:sz w:val="20"/>
        </w:rPr>
        <w:tab/>
        <w:t xml:space="preserve">Oxley TJ, Dowling RJ, Mitchell PJ, Davis S, Yan B. Antiplatelet resistance and thromboembolic complications in neurointerventional procedures. Front Neurol. 2011;DEC. </w:t>
      </w:r>
    </w:p>
    <w:p w14:paraId="0986D630"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4. </w:t>
      </w:r>
      <w:r w:rsidRPr="004A4C1F">
        <w:rPr>
          <w:rFonts w:ascii="Arial" w:hAnsi="Arial" w:cs="Arial"/>
          <w:noProof/>
          <w:sz w:val="20"/>
        </w:rPr>
        <w:tab/>
        <w:t xml:space="preserve">Arias E, Patel B, Cross D, Moran C, Dacey Jr R, Zipfel G, et al. Timing and nature of in-house postoperative events following uncomplicated elective endovascular aneurysm treatment. J Neurosurg. 2014;121(5 (Nov 2014)):1011–293. </w:t>
      </w:r>
    </w:p>
    <w:p w14:paraId="14D3A9E2"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5. </w:t>
      </w:r>
      <w:r w:rsidRPr="004A4C1F">
        <w:rPr>
          <w:rFonts w:ascii="Arial" w:hAnsi="Arial" w:cs="Arial"/>
          <w:noProof/>
          <w:sz w:val="20"/>
        </w:rPr>
        <w:tab/>
        <w:t>Qureshi AI, Luft AR, Sharma M, Guterman LR, Hopkins LN. Prevention and Treatment of Thromboembolic and Ischemic Complications Associated with Endovascular Procedures: Part II—Clinical Aspects and Recommendations. Neurosurgery [Internet]. 2000 Jun 1 [cited 2020 May 26];46(6):1360–76. Available from: https://academic.oup.com/neurosurgery/article/46/6/1360/2925961</w:t>
      </w:r>
    </w:p>
    <w:p w14:paraId="172910A8"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6. </w:t>
      </w:r>
      <w:r w:rsidRPr="004A4C1F">
        <w:rPr>
          <w:rFonts w:ascii="Arial" w:hAnsi="Arial" w:cs="Arial"/>
          <w:noProof/>
          <w:sz w:val="20"/>
        </w:rPr>
        <w:tab/>
        <w:t>Bond KM, Brinjikji W, Murad MH, Kallmes DF, Cloft HJ, Lanzino G. Diffusion-Weighted Imaging–Detected Ischemic Lesions following Endovascular Treatment of Cerebral Aneurysms: A Systematic Review and Meta-Analysis. Am J Neuroradiol [Internet]. 2017;38(2). Available from: http://www.ajnr.org/content/38/2/304</w:t>
      </w:r>
    </w:p>
    <w:p w14:paraId="1D70B06F"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7. </w:t>
      </w:r>
      <w:r w:rsidRPr="004A4C1F">
        <w:rPr>
          <w:rFonts w:ascii="Arial" w:hAnsi="Arial" w:cs="Arial"/>
          <w:noProof/>
          <w:sz w:val="20"/>
        </w:rPr>
        <w:tab/>
        <w:t xml:space="preserve">Vermeer SE, Prins ND, Den Heijer T, Hofman A, Koudstaal PJ, Breteler MMB. Silent brain infarcts and the risk of dementia and cognitive decline. N Engl J Med. 2003 Mar 27;348(13):1215–22. </w:t>
      </w:r>
    </w:p>
    <w:p w14:paraId="072D5D08"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8. </w:t>
      </w:r>
      <w:r w:rsidRPr="004A4C1F">
        <w:rPr>
          <w:rFonts w:ascii="Arial" w:hAnsi="Arial" w:cs="Arial"/>
          <w:noProof/>
          <w:sz w:val="20"/>
        </w:rPr>
        <w:tab/>
        <w:t xml:space="preserve">Kang DH, Hwang YH, Kim YS, Bae GY, Lee SJ. Cognitive outcome and clinically silent thromboembolic events after coiling of asymptomatic unruptured intracranial aneurysms. Neurosurgery. 2013 Apr;72(4):638–45. </w:t>
      </w:r>
    </w:p>
    <w:p w14:paraId="7256B30D"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9. </w:t>
      </w:r>
      <w:r w:rsidRPr="004A4C1F">
        <w:rPr>
          <w:rFonts w:ascii="Arial" w:hAnsi="Arial" w:cs="Arial"/>
          <w:noProof/>
          <w:sz w:val="20"/>
        </w:rPr>
        <w:tab/>
        <w:t xml:space="preserve">Park JC, Lee DH, Kim JK, Ahn JS, Kwun BD, Kim DY, et al. Microembolism after endovascular coiling of unruptured cerebral aneurysms: Incidence and risk factors. J Neurosurg. 2016 Mar 1;124(3):777–83. </w:t>
      </w:r>
    </w:p>
    <w:p w14:paraId="031FEDF1"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10. </w:t>
      </w:r>
      <w:r w:rsidRPr="004A4C1F">
        <w:rPr>
          <w:rFonts w:ascii="Arial" w:hAnsi="Arial" w:cs="Arial"/>
          <w:noProof/>
          <w:sz w:val="20"/>
        </w:rPr>
        <w:tab/>
        <w:t>Van Swieten JC, Van Gijn J, Hijdra A, Koudstaal PJ. Grading white matter lesions on CT and MRI: A simple scale. J Neurol Neurosurg Psychiatry [Internet]. 1990 Dec 1 [cited 2020 Aug 29];53(12):1080–3. Available from: http://jnnp.bmj.com/</w:t>
      </w:r>
    </w:p>
    <w:p w14:paraId="7AF7DF89"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11. </w:t>
      </w:r>
      <w:r w:rsidRPr="004A4C1F">
        <w:rPr>
          <w:rFonts w:ascii="Arial" w:hAnsi="Arial" w:cs="Arial"/>
          <w:noProof/>
          <w:sz w:val="20"/>
        </w:rPr>
        <w:tab/>
        <w:t xml:space="preserve">Venous thromboembolism: treatment. Therapeutic Guidelines eTG. 2018. </w:t>
      </w:r>
    </w:p>
    <w:p w14:paraId="12477253" w14:textId="77777777" w:rsidR="004A4C1F" w:rsidRPr="004A4C1F" w:rsidRDefault="004A4C1F" w:rsidP="004A4C1F">
      <w:pPr>
        <w:widowControl w:val="0"/>
        <w:autoSpaceDE w:val="0"/>
        <w:autoSpaceDN w:val="0"/>
        <w:adjustRightInd w:val="0"/>
        <w:ind w:left="640" w:hanging="640"/>
        <w:rPr>
          <w:rFonts w:ascii="Arial" w:hAnsi="Arial" w:cs="Arial"/>
          <w:noProof/>
          <w:sz w:val="20"/>
        </w:rPr>
      </w:pPr>
      <w:r w:rsidRPr="004A4C1F">
        <w:rPr>
          <w:rFonts w:ascii="Arial" w:hAnsi="Arial" w:cs="Arial"/>
          <w:noProof/>
          <w:sz w:val="20"/>
        </w:rPr>
        <w:t xml:space="preserve">12. </w:t>
      </w:r>
      <w:r w:rsidRPr="004A4C1F">
        <w:rPr>
          <w:rFonts w:ascii="Arial" w:hAnsi="Arial" w:cs="Arial"/>
          <w:noProof/>
          <w:sz w:val="20"/>
        </w:rPr>
        <w:tab/>
        <w:t xml:space="preserve">Enoxaparin. Australian Medicines Handbook. 2020. </w:t>
      </w:r>
    </w:p>
    <w:p w14:paraId="3B2E6769" w14:textId="62D8D9AC" w:rsidR="001F0F74" w:rsidRPr="00607E05" w:rsidRDefault="00F45134" w:rsidP="006438F5">
      <w:pPr>
        <w:rPr>
          <w:rFonts w:ascii="Arial" w:hAnsi="Arial" w:cs="Arial"/>
          <w:sz w:val="20"/>
          <w:szCs w:val="20"/>
        </w:rPr>
      </w:pPr>
      <w:r>
        <w:rPr>
          <w:rFonts w:ascii="Arial" w:hAnsi="Arial" w:cs="Arial"/>
          <w:sz w:val="20"/>
          <w:szCs w:val="20"/>
        </w:rPr>
        <w:fldChar w:fldCharType="end"/>
      </w:r>
    </w:p>
    <w:sectPr w:rsidR="001F0F74" w:rsidRPr="00607E05" w:rsidSect="00EB73C9">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CC13" w14:textId="77777777" w:rsidR="0014325B" w:rsidRDefault="0014325B" w:rsidP="00DE010A">
      <w:r>
        <w:separator/>
      </w:r>
    </w:p>
  </w:endnote>
  <w:endnote w:type="continuationSeparator" w:id="0">
    <w:p w14:paraId="320D1D7B" w14:textId="77777777" w:rsidR="0014325B" w:rsidRDefault="0014325B" w:rsidP="00DE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C9A9" w14:textId="41FCC9AC" w:rsidR="00513FD2" w:rsidRPr="00E6232D" w:rsidRDefault="00513FD2">
    <w:pPr>
      <w:pStyle w:val="Footer"/>
      <w:rPr>
        <w:rFonts w:ascii="Arial" w:hAnsi="Arial" w:cs="Arial"/>
        <w:sz w:val="16"/>
        <w:szCs w:val="16"/>
      </w:rPr>
    </w:pPr>
    <w:r w:rsidRPr="00E6232D">
      <w:rPr>
        <w:rFonts w:ascii="Arial" w:hAnsi="Arial" w:cs="Arial"/>
        <w:sz w:val="16"/>
        <w:szCs w:val="16"/>
      </w:rPr>
      <w:t xml:space="preserve">EPPICS </w:t>
    </w:r>
    <w:r w:rsidR="00FC3535">
      <w:rPr>
        <w:rFonts w:ascii="Arial" w:hAnsi="Arial" w:cs="Arial"/>
        <w:sz w:val="16"/>
        <w:szCs w:val="16"/>
      </w:rPr>
      <w:t xml:space="preserve">II </w:t>
    </w:r>
    <w:r w:rsidRPr="00E6232D">
      <w:rPr>
        <w:rFonts w:ascii="Arial" w:hAnsi="Arial" w:cs="Arial"/>
        <w:sz w:val="16"/>
        <w:szCs w:val="16"/>
      </w:rPr>
      <w:t>Study – Protocol v</w:t>
    </w:r>
    <w:r w:rsidR="00B93CE4">
      <w:rPr>
        <w:rFonts w:ascii="Arial" w:hAnsi="Arial" w:cs="Arial"/>
        <w:sz w:val="16"/>
        <w:szCs w:val="16"/>
      </w:rPr>
      <w:t>2</w:t>
    </w:r>
    <w:r w:rsidRPr="00E6232D">
      <w:rPr>
        <w:rFonts w:ascii="Arial" w:hAnsi="Arial" w:cs="Arial"/>
        <w:sz w:val="16"/>
        <w:szCs w:val="16"/>
      </w:rPr>
      <w:t xml:space="preserve"> </w:t>
    </w:r>
    <w:r w:rsidR="00B93CE4">
      <w:rPr>
        <w:rFonts w:ascii="Arial" w:hAnsi="Arial" w:cs="Arial"/>
        <w:sz w:val="16"/>
        <w:szCs w:val="16"/>
      </w:rPr>
      <w:t>17/9</w:t>
    </w:r>
    <w:r w:rsidR="00FA36F1">
      <w:rPr>
        <w:rFonts w:ascii="Arial" w:hAnsi="Arial" w:cs="Arial"/>
        <w:sz w:val="16"/>
        <w:szCs w:val="16"/>
      </w:rPr>
      <w:t>/20</w:t>
    </w:r>
    <w:r w:rsidR="00FC3535">
      <w:rPr>
        <w:rFonts w:ascii="Arial" w:hAnsi="Arial" w:cs="Arial"/>
        <w:sz w:val="16"/>
        <w:szCs w:val="16"/>
      </w:rPr>
      <w:t>20</w:t>
    </w:r>
    <w:r>
      <w:rPr>
        <w:rFonts w:ascii="Arial" w:hAnsi="Arial" w:cs="Arial"/>
        <w:sz w:val="16"/>
        <w:szCs w:val="16"/>
      </w:rPr>
      <w:tab/>
    </w:r>
    <w:r>
      <w:rPr>
        <w:rFonts w:ascii="Arial" w:hAnsi="Arial" w:cs="Arial"/>
        <w:sz w:val="16"/>
        <w:szCs w:val="16"/>
      </w:rPr>
      <w:tab/>
      <w:t xml:space="preserve"> </w:t>
    </w:r>
    <w:r w:rsidRPr="00C53CB4">
      <w:rPr>
        <w:rFonts w:ascii="Times New Roman" w:hAnsi="Times New Roman" w:cs="Times New Roman"/>
        <w:sz w:val="16"/>
        <w:szCs w:val="16"/>
      </w:rPr>
      <w:t xml:space="preserve">Page </w:t>
    </w:r>
    <w:r w:rsidRPr="00C53CB4">
      <w:rPr>
        <w:rFonts w:ascii="Times New Roman" w:hAnsi="Times New Roman" w:cs="Times New Roman"/>
        <w:sz w:val="16"/>
        <w:szCs w:val="16"/>
      </w:rPr>
      <w:fldChar w:fldCharType="begin"/>
    </w:r>
    <w:r w:rsidRPr="00C53CB4">
      <w:rPr>
        <w:rFonts w:ascii="Times New Roman" w:hAnsi="Times New Roman" w:cs="Times New Roman"/>
        <w:sz w:val="16"/>
        <w:szCs w:val="16"/>
      </w:rPr>
      <w:instrText xml:space="preserve"> PAGE </w:instrText>
    </w:r>
    <w:r w:rsidRPr="00C53CB4">
      <w:rPr>
        <w:rFonts w:ascii="Times New Roman" w:hAnsi="Times New Roman" w:cs="Times New Roman"/>
        <w:sz w:val="16"/>
        <w:szCs w:val="16"/>
      </w:rPr>
      <w:fldChar w:fldCharType="separate"/>
    </w:r>
    <w:r w:rsidR="00ED2796">
      <w:rPr>
        <w:rFonts w:ascii="Times New Roman" w:hAnsi="Times New Roman" w:cs="Times New Roman"/>
        <w:noProof/>
        <w:sz w:val="16"/>
        <w:szCs w:val="16"/>
      </w:rPr>
      <w:t>12</w:t>
    </w:r>
    <w:r w:rsidRPr="00C53CB4">
      <w:rPr>
        <w:rFonts w:ascii="Times New Roman" w:hAnsi="Times New Roman" w:cs="Times New Roman"/>
        <w:sz w:val="16"/>
        <w:szCs w:val="16"/>
      </w:rPr>
      <w:fldChar w:fldCharType="end"/>
    </w:r>
    <w:r w:rsidRPr="00C53CB4">
      <w:rPr>
        <w:rFonts w:ascii="Times New Roman" w:hAnsi="Times New Roman" w:cs="Times New Roman"/>
        <w:sz w:val="16"/>
        <w:szCs w:val="16"/>
      </w:rPr>
      <w:t xml:space="preserve"> of </w:t>
    </w:r>
    <w:r w:rsidRPr="00C53CB4">
      <w:rPr>
        <w:rFonts w:ascii="Times New Roman" w:hAnsi="Times New Roman" w:cs="Times New Roman"/>
        <w:sz w:val="16"/>
        <w:szCs w:val="16"/>
      </w:rPr>
      <w:fldChar w:fldCharType="begin"/>
    </w:r>
    <w:r w:rsidRPr="00C53CB4">
      <w:rPr>
        <w:rFonts w:ascii="Times New Roman" w:hAnsi="Times New Roman" w:cs="Times New Roman"/>
        <w:sz w:val="16"/>
        <w:szCs w:val="16"/>
      </w:rPr>
      <w:instrText xml:space="preserve"> NUMPAGES </w:instrText>
    </w:r>
    <w:r w:rsidRPr="00C53CB4">
      <w:rPr>
        <w:rFonts w:ascii="Times New Roman" w:hAnsi="Times New Roman" w:cs="Times New Roman"/>
        <w:sz w:val="16"/>
        <w:szCs w:val="16"/>
      </w:rPr>
      <w:fldChar w:fldCharType="separate"/>
    </w:r>
    <w:r w:rsidR="00ED2796">
      <w:rPr>
        <w:rFonts w:ascii="Times New Roman" w:hAnsi="Times New Roman" w:cs="Times New Roman"/>
        <w:noProof/>
        <w:sz w:val="16"/>
        <w:szCs w:val="16"/>
      </w:rPr>
      <w:t>14</w:t>
    </w:r>
    <w:r w:rsidRPr="00C53CB4">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06AF" w14:textId="77777777" w:rsidR="0014325B" w:rsidRDefault="0014325B" w:rsidP="00DE010A">
      <w:r>
        <w:separator/>
      </w:r>
    </w:p>
  </w:footnote>
  <w:footnote w:type="continuationSeparator" w:id="0">
    <w:p w14:paraId="647AD29E" w14:textId="77777777" w:rsidR="0014325B" w:rsidRDefault="0014325B" w:rsidP="00DE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3A8"/>
    <w:multiLevelType w:val="hybridMultilevel"/>
    <w:tmpl w:val="B7105E2E"/>
    <w:lvl w:ilvl="0" w:tplc="EBD4D3AE">
      <w:numFmt w:val="bullet"/>
      <w:lvlText w:val="-"/>
      <w:lvlJc w:val="left"/>
      <w:pPr>
        <w:ind w:left="1080" w:hanging="72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2F52"/>
    <w:multiLevelType w:val="hybridMultilevel"/>
    <w:tmpl w:val="310AB306"/>
    <w:lvl w:ilvl="0" w:tplc="AA3AFFA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766AE"/>
    <w:multiLevelType w:val="hybridMultilevel"/>
    <w:tmpl w:val="FDEA9D40"/>
    <w:lvl w:ilvl="0" w:tplc="EDA80D9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23F29"/>
    <w:multiLevelType w:val="hybridMultilevel"/>
    <w:tmpl w:val="C824BAFE"/>
    <w:lvl w:ilvl="0" w:tplc="68F8520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0029B"/>
    <w:multiLevelType w:val="hybridMultilevel"/>
    <w:tmpl w:val="1A6E4AD0"/>
    <w:lvl w:ilvl="0" w:tplc="8C0E80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30E6"/>
    <w:multiLevelType w:val="hybridMultilevel"/>
    <w:tmpl w:val="671ADF14"/>
    <w:lvl w:ilvl="0" w:tplc="0C09000F">
      <w:start w:val="1"/>
      <w:numFmt w:val="decimal"/>
      <w:lvlText w:val="%1."/>
      <w:lvlJc w:val="left"/>
      <w:pPr>
        <w:ind w:left="720" w:hanging="360"/>
      </w:pPr>
    </w:lvl>
    <w:lvl w:ilvl="1" w:tplc="EBD4D3AE">
      <w:numFmt w:val="bullet"/>
      <w:lvlText w:val="-"/>
      <w:lvlJc w:val="left"/>
      <w:pPr>
        <w:ind w:left="1440" w:hanging="360"/>
      </w:pPr>
      <w:rPr>
        <w:rFonts w:ascii="Arial" w:eastAsiaTheme="minorEastAsia"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DA29B7"/>
    <w:multiLevelType w:val="hybridMultilevel"/>
    <w:tmpl w:val="CEB6A5B2"/>
    <w:lvl w:ilvl="0" w:tplc="2F124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73AC2"/>
    <w:multiLevelType w:val="hybridMultilevel"/>
    <w:tmpl w:val="A4305B00"/>
    <w:lvl w:ilvl="0" w:tplc="EDA80D9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6C0968"/>
    <w:multiLevelType w:val="hybridMultilevel"/>
    <w:tmpl w:val="9BFA6A12"/>
    <w:lvl w:ilvl="0" w:tplc="FC0E6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A0235"/>
    <w:multiLevelType w:val="hybridMultilevel"/>
    <w:tmpl w:val="51129A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530318"/>
    <w:multiLevelType w:val="hybridMultilevel"/>
    <w:tmpl w:val="E9FE6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53CD5"/>
    <w:multiLevelType w:val="hybridMultilevel"/>
    <w:tmpl w:val="56A6939C"/>
    <w:lvl w:ilvl="0" w:tplc="EBD4D3AE">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A0E11"/>
    <w:multiLevelType w:val="hybridMultilevel"/>
    <w:tmpl w:val="76C4D732"/>
    <w:lvl w:ilvl="0" w:tplc="2F8E9FFE">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6339A0"/>
    <w:multiLevelType w:val="hybridMultilevel"/>
    <w:tmpl w:val="B92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D0D57"/>
    <w:multiLevelType w:val="hybridMultilevel"/>
    <w:tmpl w:val="EEFE1668"/>
    <w:lvl w:ilvl="0" w:tplc="AA3AFFA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52E42"/>
    <w:multiLevelType w:val="hybridMultilevel"/>
    <w:tmpl w:val="89F29B6A"/>
    <w:lvl w:ilvl="0" w:tplc="D4569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4"/>
  </w:num>
  <w:num w:numId="5">
    <w:abstractNumId w:val="12"/>
  </w:num>
  <w:num w:numId="6">
    <w:abstractNumId w:val="8"/>
  </w:num>
  <w:num w:numId="7">
    <w:abstractNumId w:val="13"/>
  </w:num>
  <w:num w:numId="8">
    <w:abstractNumId w:val="10"/>
  </w:num>
  <w:num w:numId="9">
    <w:abstractNumId w:val="4"/>
  </w:num>
  <w:num w:numId="10">
    <w:abstractNumId w:val="0"/>
  </w:num>
  <w:num w:numId="11">
    <w:abstractNumId w:val="15"/>
  </w:num>
  <w:num w:numId="12">
    <w:abstractNumId w:val="11"/>
  </w:num>
  <w:num w:numId="13">
    <w:abstractNumId w:val="5"/>
  </w:num>
  <w:num w:numId="14">
    <w:abstractNumId w:val="9"/>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t2r2r2k29fv0eatpvpw0ef2dztpv2trtd5&quot;&gt;Jeff&amp;apos;s Endnote Library&lt;record-ids&gt;&lt;item&gt;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95&lt;/item&gt;&lt;item&gt;96&lt;/item&gt;&lt;item&gt;97&lt;/item&gt;&lt;item&gt;98&lt;/item&gt;&lt;item&gt;99&lt;/item&gt;&lt;item&gt;107&lt;/item&gt;&lt;item&gt;116&lt;/item&gt;&lt;item&gt;119&lt;/item&gt;&lt;item&gt;120&lt;/item&gt;&lt;item&gt;121&lt;/item&gt;&lt;item&gt;123&lt;/item&gt;&lt;item&gt;124&lt;/item&gt;&lt;item&gt;191&lt;/item&gt;&lt;item&gt;194&lt;/item&gt;&lt;item&gt;196&lt;/item&gt;&lt;item&gt;197&lt;/item&gt;&lt;item&gt;198&lt;/item&gt;&lt;item&gt;199&lt;/item&gt;&lt;item&gt;202&lt;/item&gt;&lt;item&gt;203&lt;/item&gt;&lt;/record-ids&gt;&lt;/item&gt;&lt;/Libraries&gt;"/>
  </w:docVars>
  <w:rsids>
    <w:rsidRoot w:val="009704BE"/>
    <w:rsid w:val="00000819"/>
    <w:rsid w:val="00004247"/>
    <w:rsid w:val="00007128"/>
    <w:rsid w:val="00007995"/>
    <w:rsid w:val="00014EDC"/>
    <w:rsid w:val="000169E0"/>
    <w:rsid w:val="00017FDE"/>
    <w:rsid w:val="0002315F"/>
    <w:rsid w:val="000279FA"/>
    <w:rsid w:val="00027E96"/>
    <w:rsid w:val="00030EEA"/>
    <w:rsid w:val="000338FF"/>
    <w:rsid w:val="00034F29"/>
    <w:rsid w:val="000353DB"/>
    <w:rsid w:val="000413F5"/>
    <w:rsid w:val="0004250B"/>
    <w:rsid w:val="00051F7C"/>
    <w:rsid w:val="00052CD3"/>
    <w:rsid w:val="00063673"/>
    <w:rsid w:val="000712F6"/>
    <w:rsid w:val="0007282A"/>
    <w:rsid w:val="00073286"/>
    <w:rsid w:val="00077A36"/>
    <w:rsid w:val="00077A61"/>
    <w:rsid w:val="0008048E"/>
    <w:rsid w:val="00080AA8"/>
    <w:rsid w:val="000825F4"/>
    <w:rsid w:val="0008363B"/>
    <w:rsid w:val="000861FD"/>
    <w:rsid w:val="000901F2"/>
    <w:rsid w:val="00092170"/>
    <w:rsid w:val="000922CF"/>
    <w:rsid w:val="00092415"/>
    <w:rsid w:val="0009347F"/>
    <w:rsid w:val="00095EB9"/>
    <w:rsid w:val="00096021"/>
    <w:rsid w:val="000973FE"/>
    <w:rsid w:val="0009776D"/>
    <w:rsid w:val="000A1724"/>
    <w:rsid w:val="000A1C83"/>
    <w:rsid w:val="000A37EB"/>
    <w:rsid w:val="000A3A86"/>
    <w:rsid w:val="000A46A1"/>
    <w:rsid w:val="000A5DBF"/>
    <w:rsid w:val="000A64FB"/>
    <w:rsid w:val="000A6BCB"/>
    <w:rsid w:val="000A6C7F"/>
    <w:rsid w:val="000A7840"/>
    <w:rsid w:val="000B1005"/>
    <w:rsid w:val="000B1589"/>
    <w:rsid w:val="000C0594"/>
    <w:rsid w:val="000C08F4"/>
    <w:rsid w:val="000C3EBF"/>
    <w:rsid w:val="000C4E24"/>
    <w:rsid w:val="000C4F61"/>
    <w:rsid w:val="000C54C7"/>
    <w:rsid w:val="000C60A0"/>
    <w:rsid w:val="000C64D5"/>
    <w:rsid w:val="000D03F9"/>
    <w:rsid w:val="000D117B"/>
    <w:rsid w:val="000D3589"/>
    <w:rsid w:val="000D3F02"/>
    <w:rsid w:val="000D45C4"/>
    <w:rsid w:val="000D4D89"/>
    <w:rsid w:val="000D57C2"/>
    <w:rsid w:val="000D6C58"/>
    <w:rsid w:val="000D6C9E"/>
    <w:rsid w:val="000D765A"/>
    <w:rsid w:val="000E0022"/>
    <w:rsid w:val="000E474E"/>
    <w:rsid w:val="000E602A"/>
    <w:rsid w:val="000F3886"/>
    <w:rsid w:val="000F4934"/>
    <w:rsid w:val="000F6EAF"/>
    <w:rsid w:val="001010FF"/>
    <w:rsid w:val="00101FC5"/>
    <w:rsid w:val="00103C9C"/>
    <w:rsid w:val="0011612F"/>
    <w:rsid w:val="0012017C"/>
    <w:rsid w:val="00123754"/>
    <w:rsid w:val="001239FB"/>
    <w:rsid w:val="00123B05"/>
    <w:rsid w:val="00124416"/>
    <w:rsid w:val="001244F0"/>
    <w:rsid w:val="00125D13"/>
    <w:rsid w:val="00127203"/>
    <w:rsid w:val="001330EA"/>
    <w:rsid w:val="001376B5"/>
    <w:rsid w:val="00137A32"/>
    <w:rsid w:val="0014058E"/>
    <w:rsid w:val="00141CD8"/>
    <w:rsid w:val="00142717"/>
    <w:rsid w:val="0014325B"/>
    <w:rsid w:val="0014610E"/>
    <w:rsid w:val="001462B0"/>
    <w:rsid w:val="00147F21"/>
    <w:rsid w:val="00150E1B"/>
    <w:rsid w:val="00150EF2"/>
    <w:rsid w:val="0015140F"/>
    <w:rsid w:val="0015231A"/>
    <w:rsid w:val="0015584D"/>
    <w:rsid w:val="001559B6"/>
    <w:rsid w:val="00157159"/>
    <w:rsid w:val="00157F38"/>
    <w:rsid w:val="001617CF"/>
    <w:rsid w:val="00162B87"/>
    <w:rsid w:val="00164F8F"/>
    <w:rsid w:val="0016523B"/>
    <w:rsid w:val="00165B90"/>
    <w:rsid w:val="00166E46"/>
    <w:rsid w:val="0016727D"/>
    <w:rsid w:val="001711AC"/>
    <w:rsid w:val="00176088"/>
    <w:rsid w:val="00181F63"/>
    <w:rsid w:val="00182D92"/>
    <w:rsid w:val="001832FC"/>
    <w:rsid w:val="00183C9F"/>
    <w:rsid w:val="001862FC"/>
    <w:rsid w:val="0019242C"/>
    <w:rsid w:val="00192A06"/>
    <w:rsid w:val="00193037"/>
    <w:rsid w:val="00197424"/>
    <w:rsid w:val="001A155C"/>
    <w:rsid w:val="001A2A7B"/>
    <w:rsid w:val="001A5F18"/>
    <w:rsid w:val="001A7432"/>
    <w:rsid w:val="001B2D26"/>
    <w:rsid w:val="001B5FE7"/>
    <w:rsid w:val="001B7576"/>
    <w:rsid w:val="001C2ABE"/>
    <w:rsid w:val="001C2C42"/>
    <w:rsid w:val="001C4C1E"/>
    <w:rsid w:val="001C6305"/>
    <w:rsid w:val="001C69A8"/>
    <w:rsid w:val="001C6CAD"/>
    <w:rsid w:val="001E0B36"/>
    <w:rsid w:val="001E3B89"/>
    <w:rsid w:val="001E4A03"/>
    <w:rsid w:val="001E4D06"/>
    <w:rsid w:val="001E58F4"/>
    <w:rsid w:val="001E6E89"/>
    <w:rsid w:val="001F0F74"/>
    <w:rsid w:val="001F1E4C"/>
    <w:rsid w:val="001F572B"/>
    <w:rsid w:val="001F660B"/>
    <w:rsid w:val="00201C62"/>
    <w:rsid w:val="002058DF"/>
    <w:rsid w:val="00207E6D"/>
    <w:rsid w:val="00207EF9"/>
    <w:rsid w:val="00210992"/>
    <w:rsid w:val="002110B7"/>
    <w:rsid w:val="0021183B"/>
    <w:rsid w:val="00213D72"/>
    <w:rsid w:val="0021513A"/>
    <w:rsid w:val="00216BF7"/>
    <w:rsid w:val="00222ADD"/>
    <w:rsid w:val="00224AB5"/>
    <w:rsid w:val="00224F64"/>
    <w:rsid w:val="00230E0F"/>
    <w:rsid w:val="002327AB"/>
    <w:rsid w:val="00240925"/>
    <w:rsid w:val="0024134C"/>
    <w:rsid w:val="00244E4A"/>
    <w:rsid w:val="00246D03"/>
    <w:rsid w:val="002471CC"/>
    <w:rsid w:val="00251020"/>
    <w:rsid w:val="00251FFA"/>
    <w:rsid w:val="00253238"/>
    <w:rsid w:val="00255EED"/>
    <w:rsid w:val="00256AEA"/>
    <w:rsid w:val="00260C34"/>
    <w:rsid w:val="00260DAA"/>
    <w:rsid w:val="002615C0"/>
    <w:rsid w:val="00264317"/>
    <w:rsid w:val="002664D0"/>
    <w:rsid w:val="00272680"/>
    <w:rsid w:val="002735F7"/>
    <w:rsid w:val="00273BB7"/>
    <w:rsid w:val="00274871"/>
    <w:rsid w:val="002765EB"/>
    <w:rsid w:val="00277EEF"/>
    <w:rsid w:val="00280974"/>
    <w:rsid w:val="00283711"/>
    <w:rsid w:val="002837FC"/>
    <w:rsid w:val="00293FAA"/>
    <w:rsid w:val="00295B73"/>
    <w:rsid w:val="00296843"/>
    <w:rsid w:val="002A62C1"/>
    <w:rsid w:val="002A71E5"/>
    <w:rsid w:val="002B4344"/>
    <w:rsid w:val="002C0103"/>
    <w:rsid w:val="002C11B4"/>
    <w:rsid w:val="002C1699"/>
    <w:rsid w:val="002C4FB8"/>
    <w:rsid w:val="002D21C7"/>
    <w:rsid w:val="002D24D3"/>
    <w:rsid w:val="002D2DF9"/>
    <w:rsid w:val="002D5815"/>
    <w:rsid w:val="002E11F0"/>
    <w:rsid w:val="002E6FC0"/>
    <w:rsid w:val="002F0277"/>
    <w:rsid w:val="002F16DA"/>
    <w:rsid w:val="002F1CA4"/>
    <w:rsid w:val="002F48C6"/>
    <w:rsid w:val="002F615E"/>
    <w:rsid w:val="003014EF"/>
    <w:rsid w:val="00301C41"/>
    <w:rsid w:val="00302058"/>
    <w:rsid w:val="003048F1"/>
    <w:rsid w:val="0031191D"/>
    <w:rsid w:val="00313D0D"/>
    <w:rsid w:val="00314BDD"/>
    <w:rsid w:val="00315717"/>
    <w:rsid w:val="00320120"/>
    <w:rsid w:val="00322BE9"/>
    <w:rsid w:val="00323C78"/>
    <w:rsid w:val="0032563E"/>
    <w:rsid w:val="00326E62"/>
    <w:rsid w:val="0033174A"/>
    <w:rsid w:val="00332BCA"/>
    <w:rsid w:val="00336AE0"/>
    <w:rsid w:val="003400F9"/>
    <w:rsid w:val="003457BC"/>
    <w:rsid w:val="0035127C"/>
    <w:rsid w:val="00354B96"/>
    <w:rsid w:val="00354BCC"/>
    <w:rsid w:val="003600E2"/>
    <w:rsid w:val="003611AB"/>
    <w:rsid w:val="00366356"/>
    <w:rsid w:val="00366FEB"/>
    <w:rsid w:val="003675BF"/>
    <w:rsid w:val="00372FE1"/>
    <w:rsid w:val="00373B09"/>
    <w:rsid w:val="00375B83"/>
    <w:rsid w:val="003768E0"/>
    <w:rsid w:val="00380808"/>
    <w:rsid w:val="00383CA9"/>
    <w:rsid w:val="00384112"/>
    <w:rsid w:val="00384FC1"/>
    <w:rsid w:val="00387066"/>
    <w:rsid w:val="00387863"/>
    <w:rsid w:val="00391FE2"/>
    <w:rsid w:val="00392321"/>
    <w:rsid w:val="00396F9B"/>
    <w:rsid w:val="003A5127"/>
    <w:rsid w:val="003A57CE"/>
    <w:rsid w:val="003B0620"/>
    <w:rsid w:val="003B2617"/>
    <w:rsid w:val="003B2A12"/>
    <w:rsid w:val="003B3FEA"/>
    <w:rsid w:val="003B450D"/>
    <w:rsid w:val="003B4AC1"/>
    <w:rsid w:val="003B51BC"/>
    <w:rsid w:val="003B7EE2"/>
    <w:rsid w:val="003C05B9"/>
    <w:rsid w:val="003C26EF"/>
    <w:rsid w:val="003C2A48"/>
    <w:rsid w:val="003C36E3"/>
    <w:rsid w:val="003C3CFD"/>
    <w:rsid w:val="003C6E22"/>
    <w:rsid w:val="003C75BC"/>
    <w:rsid w:val="003C7A4A"/>
    <w:rsid w:val="003C7F0C"/>
    <w:rsid w:val="003D26F8"/>
    <w:rsid w:val="003D312D"/>
    <w:rsid w:val="003D3C6D"/>
    <w:rsid w:val="003D5BF2"/>
    <w:rsid w:val="003D6500"/>
    <w:rsid w:val="003E03E6"/>
    <w:rsid w:val="003F228F"/>
    <w:rsid w:val="003F3F78"/>
    <w:rsid w:val="003F51AE"/>
    <w:rsid w:val="003F615A"/>
    <w:rsid w:val="003F730A"/>
    <w:rsid w:val="00401AB4"/>
    <w:rsid w:val="004073D4"/>
    <w:rsid w:val="00410DF4"/>
    <w:rsid w:val="004216AA"/>
    <w:rsid w:val="004234F4"/>
    <w:rsid w:val="0042403D"/>
    <w:rsid w:val="00424B12"/>
    <w:rsid w:val="00425806"/>
    <w:rsid w:val="00427567"/>
    <w:rsid w:val="004345E1"/>
    <w:rsid w:val="00442555"/>
    <w:rsid w:val="00442C51"/>
    <w:rsid w:val="00443F17"/>
    <w:rsid w:val="00445799"/>
    <w:rsid w:val="00445A27"/>
    <w:rsid w:val="004462B7"/>
    <w:rsid w:val="00450819"/>
    <w:rsid w:val="00451384"/>
    <w:rsid w:val="00451788"/>
    <w:rsid w:val="00451F65"/>
    <w:rsid w:val="00454591"/>
    <w:rsid w:val="00457772"/>
    <w:rsid w:val="00460859"/>
    <w:rsid w:val="00461F24"/>
    <w:rsid w:val="004622D6"/>
    <w:rsid w:val="0046284E"/>
    <w:rsid w:val="0046411A"/>
    <w:rsid w:val="00465425"/>
    <w:rsid w:val="00474B63"/>
    <w:rsid w:val="00476036"/>
    <w:rsid w:val="00481626"/>
    <w:rsid w:val="00483E02"/>
    <w:rsid w:val="004877A8"/>
    <w:rsid w:val="00487F25"/>
    <w:rsid w:val="00497A69"/>
    <w:rsid w:val="004A0B6D"/>
    <w:rsid w:val="004A27B7"/>
    <w:rsid w:val="004A4C1F"/>
    <w:rsid w:val="004A4EF3"/>
    <w:rsid w:val="004C15AC"/>
    <w:rsid w:val="004C233C"/>
    <w:rsid w:val="004C3661"/>
    <w:rsid w:val="004C60DC"/>
    <w:rsid w:val="004C6E23"/>
    <w:rsid w:val="004C716E"/>
    <w:rsid w:val="004D1202"/>
    <w:rsid w:val="004D281F"/>
    <w:rsid w:val="004E1827"/>
    <w:rsid w:val="004E291A"/>
    <w:rsid w:val="004E6AF3"/>
    <w:rsid w:val="004E7EF3"/>
    <w:rsid w:val="004F31CB"/>
    <w:rsid w:val="004F4A9D"/>
    <w:rsid w:val="004F5F13"/>
    <w:rsid w:val="004F77A5"/>
    <w:rsid w:val="005011BD"/>
    <w:rsid w:val="00503394"/>
    <w:rsid w:val="00503838"/>
    <w:rsid w:val="005043E5"/>
    <w:rsid w:val="00505A76"/>
    <w:rsid w:val="00513FD2"/>
    <w:rsid w:val="00517C44"/>
    <w:rsid w:val="00521915"/>
    <w:rsid w:val="00521E6F"/>
    <w:rsid w:val="005241BF"/>
    <w:rsid w:val="00525BEA"/>
    <w:rsid w:val="00530588"/>
    <w:rsid w:val="0053179D"/>
    <w:rsid w:val="005337E3"/>
    <w:rsid w:val="00536A12"/>
    <w:rsid w:val="00536B91"/>
    <w:rsid w:val="00545F3E"/>
    <w:rsid w:val="0055052D"/>
    <w:rsid w:val="00550D41"/>
    <w:rsid w:val="005606BE"/>
    <w:rsid w:val="00564BFB"/>
    <w:rsid w:val="005654D2"/>
    <w:rsid w:val="00566A28"/>
    <w:rsid w:val="00566E2F"/>
    <w:rsid w:val="00566E85"/>
    <w:rsid w:val="00571F5F"/>
    <w:rsid w:val="00575453"/>
    <w:rsid w:val="0057710E"/>
    <w:rsid w:val="00580609"/>
    <w:rsid w:val="00581FED"/>
    <w:rsid w:val="00583006"/>
    <w:rsid w:val="0058328A"/>
    <w:rsid w:val="005853C0"/>
    <w:rsid w:val="005905CB"/>
    <w:rsid w:val="00590812"/>
    <w:rsid w:val="00591C08"/>
    <w:rsid w:val="00591CDD"/>
    <w:rsid w:val="00594D4F"/>
    <w:rsid w:val="00596320"/>
    <w:rsid w:val="005A1697"/>
    <w:rsid w:val="005A4705"/>
    <w:rsid w:val="005A5833"/>
    <w:rsid w:val="005A700E"/>
    <w:rsid w:val="005B0115"/>
    <w:rsid w:val="005B1481"/>
    <w:rsid w:val="005B28E6"/>
    <w:rsid w:val="005B3706"/>
    <w:rsid w:val="005B5151"/>
    <w:rsid w:val="005B532F"/>
    <w:rsid w:val="005B616D"/>
    <w:rsid w:val="005B6AD3"/>
    <w:rsid w:val="005C13C4"/>
    <w:rsid w:val="005C39AE"/>
    <w:rsid w:val="005C4878"/>
    <w:rsid w:val="005C4B82"/>
    <w:rsid w:val="005D1C21"/>
    <w:rsid w:val="005D5D6B"/>
    <w:rsid w:val="005D5DB7"/>
    <w:rsid w:val="005D698E"/>
    <w:rsid w:val="005E2859"/>
    <w:rsid w:val="005E7FE7"/>
    <w:rsid w:val="005F1C13"/>
    <w:rsid w:val="005F5203"/>
    <w:rsid w:val="005F56CC"/>
    <w:rsid w:val="00607E05"/>
    <w:rsid w:val="0061425D"/>
    <w:rsid w:val="00614279"/>
    <w:rsid w:val="006158E5"/>
    <w:rsid w:val="006161A8"/>
    <w:rsid w:val="0062089F"/>
    <w:rsid w:val="00623AC2"/>
    <w:rsid w:val="00626614"/>
    <w:rsid w:val="006269AB"/>
    <w:rsid w:val="006277C7"/>
    <w:rsid w:val="00627D34"/>
    <w:rsid w:val="00630FF1"/>
    <w:rsid w:val="00631FA9"/>
    <w:rsid w:val="0063209C"/>
    <w:rsid w:val="00632808"/>
    <w:rsid w:val="00634F0B"/>
    <w:rsid w:val="00634FFC"/>
    <w:rsid w:val="0064284B"/>
    <w:rsid w:val="006438F5"/>
    <w:rsid w:val="00643D81"/>
    <w:rsid w:val="006452B8"/>
    <w:rsid w:val="0065008F"/>
    <w:rsid w:val="00650F86"/>
    <w:rsid w:val="00653757"/>
    <w:rsid w:val="00653D1E"/>
    <w:rsid w:val="006540E1"/>
    <w:rsid w:val="0065457B"/>
    <w:rsid w:val="00654E11"/>
    <w:rsid w:val="00657DBF"/>
    <w:rsid w:val="00661C16"/>
    <w:rsid w:val="00662375"/>
    <w:rsid w:val="006658A7"/>
    <w:rsid w:val="006678CD"/>
    <w:rsid w:val="00674965"/>
    <w:rsid w:val="006772EF"/>
    <w:rsid w:val="0068080B"/>
    <w:rsid w:val="00681B7B"/>
    <w:rsid w:val="00682573"/>
    <w:rsid w:val="00682708"/>
    <w:rsid w:val="00684451"/>
    <w:rsid w:val="00684CA2"/>
    <w:rsid w:val="0068565A"/>
    <w:rsid w:val="0068589D"/>
    <w:rsid w:val="0068752A"/>
    <w:rsid w:val="00690258"/>
    <w:rsid w:val="00694BD6"/>
    <w:rsid w:val="006A010D"/>
    <w:rsid w:val="006A1D10"/>
    <w:rsid w:val="006A6096"/>
    <w:rsid w:val="006A7B4D"/>
    <w:rsid w:val="006A7C73"/>
    <w:rsid w:val="006A7FD9"/>
    <w:rsid w:val="006B1643"/>
    <w:rsid w:val="006B4399"/>
    <w:rsid w:val="006B45B1"/>
    <w:rsid w:val="006B5F96"/>
    <w:rsid w:val="006C1382"/>
    <w:rsid w:val="006C2FE6"/>
    <w:rsid w:val="006C3B09"/>
    <w:rsid w:val="006C3FCD"/>
    <w:rsid w:val="006D0FDB"/>
    <w:rsid w:val="006D2073"/>
    <w:rsid w:val="006D2313"/>
    <w:rsid w:val="006E1186"/>
    <w:rsid w:val="006E275E"/>
    <w:rsid w:val="006E3C3A"/>
    <w:rsid w:val="006E55AB"/>
    <w:rsid w:val="006F2560"/>
    <w:rsid w:val="006F2894"/>
    <w:rsid w:val="006F321B"/>
    <w:rsid w:val="006F4C20"/>
    <w:rsid w:val="006F7610"/>
    <w:rsid w:val="00703441"/>
    <w:rsid w:val="007064B6"/>
    <w:rsid w:val="00707306"/>
    <w:rsid w:val="0070794B"/>
    <w:rsid w:val="00711404"/>
    <w:rsid w:val="00714006"/>
    <w:rsid w:val="00715389"/>
    <w:rsid w:val="00715420"/>
    <w:rsid w:val="00715EB2"/>
    <w:rsid w:val="00716E21"/>
    <w:rsid w:val="0072101A"/>
    <w:rsid w:val="00721442"/>
    <w:rsid w:val="00727B04"/>
    <w:rsid w:val="007314EA"/>
    <w:rsid w:val="00731BFF"/>
    <w:rsid w:val="00733C50"/>
    <w:rsid w:val="00735851"/>
    <w:rsid w:val="00737091"/>
    <w:rsid w:val="007409D2"/>
    <w:rsid w:val="0074238E"/>
    <w:rsid w:val="00745A6F"/>
    <w:rsid w:val="00745FDA"/>
    <w:rsid w:val="00752784"/>
    <w:rsid w:val="00753791"/>
    <w:rsid w:val="0075468F"/>
    <w:rsid w:val="00756A51"/>
    <w:rsid w:val="00760B7A"/>
    <w:rsid w:val="007723F0"/>
    <w:rsid w:val="00775F4C"/>
    <w:rsid w:val="007770C9"/>
    <w:rsid w:val="00785CB8"/>
    <w:rsid w:val="0078704B"/>
    <w:rsid w:val="00787F60"/>
    <w:rsid w:val="007904CC"/>
    <w:rsid w:val="00791DEF"/>
    <w:rsid w:val="00793805"/>
    <w:rsid w:val="00793A50"/>
    <w:rsid w:val="00794A2C"/>
    <w:rsid w:val="0079592C"/>
    <w:rsid w:val="00795E42"/>
    <w:rsid w:val="007A27A8"/>
    <w:rsid w:val="007A3685"/>
    <w:rsid w:val="007A3886"/>
    <w:rsid w:val="007A3A88"/>
    <w:rsid w:val="007A5766"/>
    <w:rsid w:val="007A69DB"/>
    <w:rsid w:val="007A6BE7"/>
    <w:rsid w:val="007A72C0"/>
    <w:rsid w:val="007A7FD3"/>
    <w:rsid w:val="007B1599"/>
    <w:rsid w:val="007B25C0"/>
    <w:rsid w:val="007B688C"/>
    <w:rsid w:val="007B7D0F"/>
    <w:rsid w:val="007C0106"/>
    <w:rsid w:val="007C7002"/>
    <w:rsid w:val="007D32C4"/>
    <w:rsid w:val="007D5B9D"/>
    <w:rsid w:val="007E0871"/>
    <w:rsid w:val="007E19F5"/>
    <w:rsid w:val="007E1F74"/>
    <w:rsid w:val="007E22DE"/>
    <w:rsid w:val="007E31FD"/>
    <w:rsid w:val="007E3BDE"/>
    <w:rsid w:val="007F2C88"/>
    <w:rsid w:val="007F33CC"/>
    <w:rsid w:val="007F3A8B"/>
    <w:rsid w:val="007F5153"/>
    <w:rsid w:val="007F5C63"/>
    <w:rsid w:val="007F5E90"/>
    <w:rsid w:val="00800326"/>
    <w:rsid w:val="0080189B"/>
    <w:rsid w:val="0080341E"/>
    <w:rsid w:val="00805D9E"/>
    <w:rsid w:val="0081029A"/>
    <w:rsid w:val="0081130C"/>
    <w:rsid w:val="008127A4"/>
    <w:rsid w:val="0081500E"/>
    <w:rsid w:val="00815FC1"/>
    <w:rsid w:val="008203DF"/>
    <w:rsid w:val="00824ABB"/>
    <w:rsid w:val="008266AF"/>
    <w:rsid w:val="00826DDC"/>
    <w:rsid w:val="008272FC"/>
    <w:rsid w:val="00830E5A"/>
    <w:rsid w:val="0083264A"/>
    <w:rsid w:val="00832AF6"/>
    <w:rsid w:val="00833143"/>
    <w:rsid w:val="00833F2F"/>
    <w:rsid w:val="0083706F"/>
    <w:rsid w:val="008418B1"/>
    <w:rsid w:val="00844C6E"/>
    <w:rsid w:val="00845764"/>
    <w:rsid w:val="00847AF4"/>
    <w:rsid w:val="00850B1C"/>
    <w:rsid w:val="00852C2B"/>
    <w:rsid w:val="00855033"/>
    <w:rsid w:val="00857A65"/>
    <w:rsid w:val="00865E9B"/>
    <w:rsid w:val="008676B8"/>
    <w:rsid w:val="00871C54"/>
    <w:rsid w:val="00874047"/>
    <w:rsid w:val="00874BDF"/>
    <w:rsid w:val="00876587"/>
    <w:rsid w:val="00876B9D"/>
    <w:rsid w:val="00882E2C"/>
    <w:rsid w:val="0088669C"/>
    <w:rsid w:val="00887368"/>
    <w:rsid w:val="008902F3"/>
    <w:rsid w:val="00893159"/>
    <w:rsid w:val="00895045"/>
    <w:rsid w:val="008952DE"/>
    <w:rsid w:val="00895913"/>
    <w:rsid w:val="0089629B"/>
    <w:rsid w:val="008A0F71"/>
    <w:rsid w:val="008A235D"/>
    <w:rsid w:val="008A2B67"/>
    <w:rsid w:val="008A409F"/>
    <w:rsid w:val="008A4702"/>
    <w:rsid w:val="008B3A5F"/>
    <w:rsid w:val="008B52B5"/>
    <w:rsid w:val="008B5B8A"/>
    <w:rsid w:val="008B718B"/>
    <w:rsid w:val="008C2D73"/>
    <w:rsid w:val="008C57E8"/>
    <w:rsid w:val="008C69CA"/>
    <w:rsid w:val="008C7525"/>
    <w:rsid w:val="008C78D2"/>
    <w:rsid w:val="008D27CA"/>
    <w:rsid w:val="008D4418"/>
    <w:rsid w:val="008D6853"/>
    <w:rsid w:val="008D7EED"/>
    <w:rsid w:val="008E1EE6"/>
    <w:rsid w:val="008E4D15"/>
    <w:rsid w:val="008E617C"/>
    <w:rsid w:val="008F18FD"/>
    <w:rsid w:val="008F3B1D"/>
    <w:rsid w:val="008F6446"/>
    <w:rsid w:val="008F6F30"/>
    <w:rsid w:val="008F75EC"/>
    <w:rsid w:val="008F7F4A"/>
    <w:rsid w:val="009001B9"/>
    <w:rsid w:val="00900405"/>
    <w:rsid w:val="00902324"/>
    <w:rsid w:val="00904EAB"/>
    <w:rsid w:val="0090535A"/>
    <w:rsid w:val="0090603C"/>
    <w:rsid w:val="00906930"/>
    <w:rsid w:val="00906E26"/>
    <w:rsid w:val="009072E4"/>
    <w:rsid w:val="00910C07"/>
    <w:rsid w:val="00913858"/>
    <w:rsid w:val="00915F06"/>
    <w:rsid w:val="00916F8C"/>
    <w:rsid w:val="009205F3"/>
    <w:rsid w:val="00921AA5"/>
    <w:rsid w:val="00922D2A"/>
    <w:rsid w:val="0092347D"/>
    <w:rsid w:val="00926374"/>
    <w:rsid w:val="009321C9"/>
    <w:rsid w:val="00933EBD"/>
    <w:rsid w:val="00935744"/>
    <w:rsid w:val="00935AFF"/>
    <w:rsid w:val="0093606D"/>
    <w:rsid w:val="00937205"/>
    <w:rsid w:val="009412D9"/>
    <w:rsid w:val="009426B7"/>
    <w:rsid w:val="009448ED"/>
    <w:rsid w:val="009449FB"/>
    <w:rsid w:val="00947152"/>
    <w:rsid w:val="009478EF"/>
    <w:rsid w:val="009517C7"/>
    <w:rsid w:val="00953275"/>
    <w:rsid w:val="009555CB"/>
    <w:rsid w:val="009573B5"/>
    <w:rsid w:val="009577C0"/>
    <w:rsid w:val="00962459"/>
    <w:rsid w:val="0096327D"/>
    <w:rsid w:val="009704BE"/>
    <w:rsid w:val="009710D8"/>
    <w:rsid w:val="00971F19"/>
    <w:rsid w:val="0097749E"/>
    <w:rsid w:val="009818B0"/>
    <w:rsid w:val="0098412F"/>
    <w:rsid w:val="009849CE"/>
    <w:rsid w:val="0099006F"/>
    <w:rsid w:val="009915E9"/>
    <w:rsid w:val="00991E8C"/>
    <w:rsid w:val="00995C9F"/>
    <w:rsid w:val="00996233"/>
    <w:rsid w:val="00996AFB"/>
    <w:rsid w:val="00996D4C"/>
    <w:rsid w:val="00996F1E"/>
    <w:rsid w:val="009A0941"/>
    <w:rsid w:val="009A441E"/>
    <w:rsid w:val="009A48F7"/>
    <w:rsid w:val="009A546C"/>
    <w:rsid w:val="009A5D97"/>
    <w:rsid w:val="009A6401"/>
    <w:rsid w:val="009B3CA7"/>
    <w:rsid w:val="009B42EA"/>
    <w:rsid w:val="009B5FA3"/>
    <w:rsid w:val="009B627F"/>
    <w:rsid w:val="009B6AD9"/>
    <w:rsid w:val="009C4013"/>
    <w:rsid w:val="009D053A"/>
    <w:rsid w:val="009D0901"/>
    <w:rsid w:val="009D2728"/>
    <w:rsid w:val="009D5095"/>
    <w:rsid w:val="009D6405"/>
    <w:rsid w:val="009D7F29"/>
    <w:rsid w:val="009E0A6D"/>
    <w:rsid w:val="009E2956"/>
    <w:rsid w:val="009E50DE"/>
    <w:rsid w:val="009E5109"/>
    <w:rsid w:val="009E69EE"/>
    <w:rsid w:val="009E6AFE"/>
    <w:rsid w:val="009F231B"/>
    <w:rsid w:val="009F3917"/>
    <w:rsid w:val="009F4F91"/>
    <w:rsid w:val="009F5A5D"/>
    <w:rsid w:val="00A021D6"/>
    <w:rsid w:val="00A0267B"/>
    <w:rsid w:val="00A04032"/>
    <w:rsid w:val="00A100AF"/>
    <w:rsid w:val="00A10CE4"/>
    <w:rsid w:val="00A126B2"/>
    <w:rsid w:val="00A130B1"/>
    <w:rsid w:val="00A13D50"/>
    <w:rsid w:val="00A142D8"/>
    <w:rsid w:val="00A1621E"/>
    <w:rsid w:val="00A237E6"/>
    <w:rsid w:val="00A25C19"/>
    <w:rsid w:val="00A25F72"/>
    <w:rsid w:val="00A274ED"/>
    <w:rsid w:val="00A3138E"/>
    <w:rsid w:val="00A34912"/>
    <w:rsid w:val="00A371F0"/>
    <w:rsid w:val="00A37370"/>
    <w:rsid w:val="00A41A0D"/>
    <w:rsid w:val="00A4466E"/>
    <w:rsid w:val="00A45E6D"/>
    <w:rsid w:val="00A467A7"/>
    <w:rsid w:val="00A46EB4"/>
    <w:rsid w:val="00A54290"/>
    <w:rsid w:val="00A5646C"/>
    <w:rsid w:val="00A60D97"/>
    <w:rsid w:val="00A61116"/>
    <w:rsid w:val="00A61E10"/>
    <w:rsid w:val="00A72141"/>
    <w:rsid w:val="00A77FA7"/>
    <w:rsid w:val="00A806F6"/>
    <w:rsid w:val="00A82565"/>
    <w:rsid w:val="00A829DE"/>
    <w:rsid w:val="00A85B9F"/>
    <w:rsid w:val="00A86C1E"/>
    <w:rsid w:val="00A9027E"/>
    <w:rsid w:val="00A959DA"/>
    <w:rsid w:val="00A9757D"/>
    <w:rsid w:val="00A9764A"/>
    <w:rsid w:val="00A97B99"/>
    <w:rsid w:val="00A97BF3"/>
    <w:rsid w:val="00AA01BF"/>
    <w:rsid w:val="00AA6DD5"/>
    <w:rsid w:val="00AB3851"/>
    <w:rsid w:val="00AB3A71"/>
    <w:rsid w:val="00AB4F00"/>
    <w:rsid w:val="00AB6669"/>
    <w:rsid w:val="00AB6F4D"/>
    <w:rsid w:val="00AC0E1A"/>
    <w:rsid w:val="00AC1814"/>
    <w:rsid w:val="00AC7885"/>
    <w:rsid w:val="00AD1886"/>
    <w:rsid w:val="00AD277B"/>
    <w:rsid w:val="00AD4415"/>
    <w:rsid w:val="00AE2849"/>
    <w:rsid w:val="00AE4775"/>
    <w:rsid w:val="00AE5F39"/>
    <w:rsid w:val="00AE5FE1"/>
    <w:rsid w:val="00AF00E3"/>
    <w:rsid w:val="00AF193C"/>
    <w:rsid w:val="00AF7188"/>
    <w:rsid w:val="00B076BA"/>
    <w:rsid w:val="00B078FA"/>
    <w:rsid w:val="00B10A3A"/>
    <w:rsid w:val="00B110C3"/>
    <w:rsid w:val="00B1269E"/>
    <w:rsid w:val="00B151D9"/>
    <w:rsid w:val="00B15321"/>
    <w:rsid w:val="00B175FC"/>
    <w:rsid w:val="00B23628"/>
    <w:rsid w:val="00B30D76"/>
    <w:rsid w:val="00B3311F"/>
    <w:rsid w:val="00B348D5"/>
    <w:rsid w:val="00B35CE2"/>
    <w:rsid w:val="00B369ED"/>
    <w:rsid w:val="00B37E02"/>
    <w:rsid w:val="00B410B5"/>
    <w:rsid w:val="00B421D0"/>
    <w:rsid w:val="00B435E1"/>
    <w:rsid w:val="00B4412D"/>
    <w:rsid w:val="00B50D9D"/>
    <w:rsid w:val="00B52CB6"/>
    <w:rsid w:val="00B530AF"/>
    <w:rsid w:val="00B53706"/>
    <w:rsid w:val="00B564D3"/>
    <w:rsid w:val="00B60495"/>
    <w:rsid w:val="00B61735"/>
    <w:rsid w:val="00B7106D"/>
    <w:rsid w:val="00B71BEB"/>
    <w:rsid w:val="00B72433"/>
    <w:rsid w:val="00B74BB8"/>
    <w:rsid w:val="00B76717"/>
    <w:rsid w:val="00B77DC5"/>
    <w:rsid w:val="00B8032A"/>
    <w:rsid w:val="00B82EA8"/>
    <w:rsid w:val="00B839E6"/>
    <w:rsid w:val="00B85D44"/>
    <w:rsid w:val="00B8611E"/>
    <w:rsid w:val="00B924A8"/>
    <w:rsid w:val="00B924BD"/>
    <w:rsid w:val="00B93CE4"/>
    <w:rsid w:val="00B95016"/>
    <w:rsid w:val="00B977CB"/>
    <w:rsid w:val="00BA0D13"/>
    <w:rsid w:val="00BA59F0"/>
    <w:rsid w:val="00BA5CFB"/>
    <w:rsid w:val="00BA618A"/>
    <w:rsid w:val="00BA6877"/>
    <w:rsid w:val="00BB15A5"/>
    <w:rsid w:val="00BB1B6F"/>
    <w:rsid w:val="00BB4955"/>
    <w:rsid w:val="00BB6704"/>
    <w:rsid w:val="00BB7E4A"/>
    <w:rsid w:val="00BB7FF4"/>
    <w:rsid w:val="00BC0DE6"/>
    <w:rsid w:val="00BC2C8B"/>
    <w:rsid w:val="00BC7124"/>
    <w:rsid w:val="00BD030D"/>
    <w:rsid w:val="00BD2029"/>
    <w:rsid w:val="00BD7835"/>
    <w:rsid w:val="00BE1726"/>
    <w:rsid w:val="00BE2E79"/>
    <w:rsid w:val="00BE776F"/>
    <w:rsid w:val="00BF161F"/>
    <w:rsid w:val="00BF468B"/>
    <w:rsid w:val="00BF4AEB"/>
    <w:rsid w:val="00BF6F80"/>
    <w:rsid w:val="00BF7CA6"/>
    <w:rsid w:val="00C00730"/>
    <w:rsid w:val="00C00B01"/>
    <w:rsid w:val="00C05C89"/>
    <w:rsid w:val="00C06F44"/>
    <w:rsid w:val="00C14EEF"/>
    <w:rsid w:val="00C1629C"/>
    <w:rsid w:val="00C1643F"/>
    <w:rsid w:val="00C215E1"/>
    <w:rsid w:val="00C216A2"/>
    <w:rsid w:val="00C2227B"/>
    <w:rsid w:val="00C22E89"/>
    <w:rsid w:val="00C24B02"/>
    <w:rsid w:val="00C269B0"/>
    <w:rsid w:val="00C26C49"/>
    <w:rsid w:val="00C302E2"/>
    <w:rsid w:val="00C34891"/>
    <w:rsid w:val="00C34D2D"/>
    <w:rsid w:val="00C35994"/>
    <w:rsid w:val="00C40201"/>
    <w:rsid w:val="00C44729"/>
    <w:rsid w:val="00C45215"/>
    <w:rsid w:val="00C452B9"/>
    <w:rsid w:val="00C51793"/>
    <w:rsid w:val="00C51C2D"/>
    <w:rsid w:val="00C53CB4"/>
    <w:rsid w:val="00C56976"/>
    <w:rsid w:val="00C575D0"/>
    <w:rsid w:val="00C606AF"/>
    <w:rsid w:val="00C6374B"/>
    <w:rsid w:val="00C715DD"/>
    <w:rsid w:val="00C71F09"/>
    <w:rsid w:val="00C72AA2"/>
    <w:rsid w:val="00C758B5"/>
    <w:rsid w:val="00C76DF8"/>
    <w:rsid w:val="00C7776D"/>
    <w:rsid w:val="00C80051"/>
    <w:rsid w:val="00C80639"/>
    <w:rsid w:val="00C81104"/>
    <w:rsid w:val="00C81318"/>
    <w:rsid w:val="00C81842"/>
    <w:rsid w:val="00C8400A"/>
    <w:rsid w:val="00C84D36"/>
    <w:rsid w:val="00C8619D"/>
    <w:rsid w:val="00C86414"/>
    <w:rsid w:val="00C870E6"/>
    <w:rsid w:val="00C9376B"/>
    <w:rsid w:val="00C97407"/>
    <w:rsid w:val="00CA5697"/>
    <w:rsid w:val="00CB5123"/>
    <w:rsid w:val="00CB5695"/>
    <w:rsid w:val="00CB587A"/>
    <w:rsid w:val="00CC0929"/>
    <w:rsid w:val="00CC197F"/>
    <w:rsid w:val="00CC1DBD"/>
    <w:rsid w:val="00CC3A8A"/>
    <w:rsid w:val="00CC4F31"/>
    <w:rsid w:val="00CC55E1"/>
    <w:rsid w:val="00CD1BC0"/>
    <w:rsid w:val="00CD38B4"/>
    <w:rsid w:val="00CD5598"/>
    <w:rsid w:val="00CD7C82"/>
    <w:rsid w:val="00CE3B5C"/>
    <w:rsid w:val="00CE6123"/>
    <w:rsid w:val="00CE7E30"/>
    <w:rsid w:val="00CF076F"/>
    <w:rsid w:val="00CF1739"/>
    <w:rsid w:val="00CF2073"/>
    <w:rsid w:val="00CF2520"/>
    <w:rsid w:val="00CF288B"/>
    <w:rsid w:val="00CF484A"/>
    <w:rsid w:val="00CF4EED"/>
    <w:rsid w:val="00D00D58"/>
    <w:rsid w:val="00D04203"/>
    <w:rsid w:val="00D06D60"/>
    <w:rsid w:val="00D07575"/>
    <w:rsid w:val="00D076BF"/>
    <w:rsid w:val="00D1063F"/>
    <w:rsid w:val="00D11D00"/>
    <w:rsid w:val="00D13318"/>
    <w:rsid w:val="00D22E95"/>
    <w:rsid w:val="00D23D78"/>
    <w:rsid w:val="00D245D4"/>
    <w:rsid w:val="00D24C1B"/>
    <w:rsid w:val="00D27361"/>
    <w:rsid w:val="00D35209"/>
    <w:rsid w:val="00D3533A"/>
    <w:rsid w:val="00D37AAA"/>
    <w:rsid w:val="00D4116F"/>
    <w:rsid w:val="00D41531"/>
    <w:rsid w:val="00D417F1"/>
    <w:rsid w:val="00D566DB"/>
    <w:rsid w:val="00D60A14"/>
    <w:rsid w:val="00D63824"/>
    <w:rsid w:val="00D677A1"/>
    <w:rsid w:val="00D71D23"/>
    <w:rsid w:val="00D72828"/>
    <w:rsid w:val="00D7480A"/>
    <w:rsid w:val="00D7714F"/>
    <w:rsid w:val="00D778BE"/>
    <w:rsid w:val="00D8252D"/>
    <w:rsid w:val="00D83792"/>
    <w:rsid w:val="00D845EB"/>
    <w:rsid w:val="00D84924"/>
    <w:rsid w:val="00D869A5"/>
    <w:rsid w:val="00D86AE3"/>
    <w:rsid w:val="00D87FF7"/>
    <w:rsid w:val="00D9080E"/>
    <w:rsid w:val="00D911B3"/>
    <w:rsid w:val="00D91EFA"/>
    <w:rsid w:val="00D92742"/>
    <w:rsid w:val="00D93BF2"/>
    <w:rsid w:val="00D94325"/>
    <w:rsid w:val="00D97E81"/>
    <w:rsid w:val="00DA37A2"/>
    <w:rsid w:val="00DB2668"/>
    <w:rsid w:val="00DB40DA"/>
    <w:rsid w:val="00DB4305"/>
    <w:rsid w:val="00DB6B5D"/>
    <w:rsid w:val="00DC06A8"/>
    <w:rsid w:val="00DC35A9"/>
    <w:rsid w:val="00DC4B6C"/>
    <w:rsid w:val="00DC591E"/>
    <w:rsid w:val="00DD18F8"/>
    <w:rsid w:val="00DD2981"/>
    <w:rsid w:val="00DD659E"/>
    <w:rsid w:val="00DE010A"/>
    <w:rsid w:val="00DE3FF1"/>
    <w:rsid w:val="00DE4445"/>
    <w:rsid w:val="00DE67E3"/>
    <w:rsid w:val="00DE77D6"/>
    <w:rsid w:val="00DF0665"/>
    <w:rsid w:val="00DF3CF1"/>
    <w:rsid w:val="00DF4468"/>
    <w:rsid w:val="00DF4CF0"/>
    <w:rsid w:val="00DF529A"/>
    <w:rsid w:val="00DF5876"/>
    <w:rsid w:val="00E00DA5"/>
    <w:rsid w:val="00E06FE5"/>
    <w:rsid w:val="00E14123"/>
    <w:rsid w:val="00E1569C"/>
    <w:rsid w:val="00E15B3D"/>
    <w:rsid w:val="00E15C71"/>
    <w:rsid w:val="00E20665"/>
    <w:rsid w:val="00E225F5"/>
    <w:rsid w:val="00E25937"/>
    <w:rsid w:val="00E3712C"/>
    <w:rsid w:val="00E37996"/>
    <w:rsid w:val="00E4202D"/>
    <w:rsid w:val="00E424AE"/>
    <w:rsid w:val="00E430BF"/>
    <w:rsid w:val="00E43BD2"/>
    <w:rsid w:val="00E50A73"/>
    <w:rsid w:val="00E50B1E"/>
    <w:rsid w:val="00E51B28"/>
    <w:rsid w:val="00E52663"/>
    <w:rsid w:val="00E53939"/>
    <w:rsid w:val="00E53C67"/>
    <w:rsid w:val="00E578A0"/>
    <w:rsid w:val="00E578C1"/>
    <w:rsid w:val="00E6232D"/>
    <w:rsid w:val="00E64ED8"/>
    <w:rsid w:val="00E65239"/>
    <w:rsid w:val="00E6586D"/>
    <w:rsid w:val="00E704B0"/>
    <w:rsid w:val="00E70C1B"/>
    <w:rsid w:val="00E71762"/>
    <w:rsid w:val="00E73834"/>
    <w:rsid w:val="00E74F82"/>
    <w:rsid w:val="00E775CD"/>
    <w:rsid w:val="00E82ABA"/>
    <w:rsid w:val="00E85F12"/>
    <w:rsid w:val="00E90612"/>
    <w:rsid w:val="00E927D9"/>
    <w:rsid w:val="00E94CEB"/>
    <w:rsid w:val="00E961A1"/>
    <w:rsid w:val="00E97A9C"/>
    <w:rsid w:val="00EA09DA"/>
    <w:rsid w:val="00EA172B"/>
    <w:rsid w:val="00EA17DF"/>
    <w:rsid w:val="00EA3396"/>
    <w:rsid w:val="00EA3F74"/>
    <w:rsid w:val="00EA4944"/>
    <w:rsid w:val="00EA763C"/>
    <w:rsid w:val="00EB0176"/>
    <w:rsid w:val="00EB16EB"/>
    <w:rsid w:val="00EB2348"/>
    <w:rsid w:val="00EB3C1E"/>
    <w:rsid w:val="00EB5BFF"/>
    <w:rsid w:val="00EB6339"/>
    <w:rsid w:val="00EB73C9"/>
    <w:rsid w:val="00EB7559"/>
    <w:rsid w:val="00EB7FC2"/>
    <w:rsid w:val="00EC15D4"/>
    <w:rsid w:val="00EC1612"/>
    <w:rsid w:val="00EC2768"/>
    <w:rsid w:val="00EC4383"/>
    <w:rsid w:val="00ED1899"/>
    <w:rsid w:val="00ED2796"/>
    <w:rsid w:val="00ED3A8C"/>
    <w:rsid w:val="00ED3A91"/>
    <w:rsid w:val="00ED60F7"/>
    <w:rsid w:val="00EE02A7"/>
    <w:rsid w:val="00EE23D5"/>
    <w:rsid w:val="00EF1C9A"/>
    <w:rsid w:val="00EF49C2"/>
    <w:rsid w:val="00EF58A8"/>
    <w:rsid w:val="00EF6ADD"/>
    <w:rsid w:val="00EF6FC9"/>
    <w:rsid w:val="00F006F8"/>
    <w:rsid w:val="00F02ABA"/>
    <w:rsid w:val="00F036A2"/>
    <w:rsid w:val="00F05B5F"/>
    <w:rsid w:val="00F11158"/>
    <w:rsid w:val="00F114AD"/>
    <w:rsid w:val="00F12E60"/>
    <w:rsid w:val="00F1368B"/>
    <w:rsid w:val="00F13B92"/>
    <w:rsid w:val="00F15830"/>
    <w:rsid w:val="00F17A95"/>
    <w:rsid w:val="00F20D60"/>
    <w:rsid w:val="00F24027"/>
    <w:rsid w:val="00F2525B"/>
    <w:rsid w:val="00F257E2"/>
    <w:rsid w:val="00F31255"/>
    <w:rsid w:val="00F321D2"/>
    <w:rsid w:val="00F33517"/>
    <w:rsid w:val="00F33D5E"/>
    <w:rsid w:val="00F34660"/>
    <w:rsid w:val="00F3621D"/>
    <w:rsid w:val="00F370A0"/>
    <w:rsid w:val="00F407F1"/>
    <w:rsid w:val="00F41C2E"/>
    <w:rsid w:val="00F42AA2"/>
    <w:rsid w:val="00F42BDA"/>
    <w:rsid w:val="00F45134"/>
    <w:rsid w:val="00F47EA2"/>
    <w:rsid w:val="00F55579"/>
    <w:rsid w:val="00F61CB5"/>
    <w:rsid w:val="00F66985"/>
    <w:rsid w:val="00F6750E"/>
    <w:rsid w:val="00F70723"/>
    <w:rsid w:val="00F721F4"/>
    <w:rsid w:val="00F73AB5"/>
    <w:rsid w:val="00F74375"/>
    <w:rsid w:val="00F74722"/>
    <w:rsid w:val="00F81921"/>
    <w:rsid w:val="00F8684D"/>
    <w:rsid w:val="00F91A52"/>
    <w:rsid w:val="00F920BD"/>
    <w:rsid w:val="00F93567"/>
    <w:rsid w:val="00F93FC6"/>
    <w:rsid w:val="00F947FC"/>
    <w:rsid w:val="00F94FDD"/>
    <w:rsid w:val="00F95A15"/>
    <w:rsid w:val="00F9675A"/>
    <w:rsid w:val="00F96F77"/>
    <w:rsid w:val="00F97A42"/>
    <w:rsid w:val="00F97DF6"/>
    <w:rsid w:val="00FA0A2E"/>
    <w:rsid w:val="00FA1AB4"/>
    <w:rsid w:val="00FA2B62"/>
    <w:rsid w:val="00FA36F1"/>
    <w:rsid w:val="00FA39EF"/>
    <w:rsid w:val="00FA54A8"/>
    <w:rsid w:val="00FA62B1"/>
    <w:rsid w:val="00FB45C5"/>
    <w:rsid w:val="00FB5A7B"/>
    <w:rsid w:val="00FB5B8A"/>
    <w:rsid w:val="00FB6855"/>
    <w:rsid w:val="00FC043A"/>
    <w:rsid w:val="00FC22C7"/>
    <w:rsid w:val="00FC3535"/>
    <w:rsid w:val="00FD0323"/>
    <w:rsid w:val="00FD18DA"/>
    <w:rsid w:val="00FD1CD2"/>
    <w:rsid w:val="00FD2D4A"/>
    <w:rsid w:val="00FD37DE"/>
    <w:rsid w:val="00FD5FDC"/>
    <w:rsid w:val="00FD6301"/>
    <w:rsid w:val="00FD68D0"/>
    <w:rsid w:val="00FE21EF"/>
    <w:rsid w:val="00FE4543"/>
    <w:rsid w:val="00FE5533"/>
    <w:rsid w:val="00FE60AA"/>
    <w:rsid w:val="00FF4A54"/>
    <w:rsid w:val="00FF5611"/>
    <w:rsid w:val="00FF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01CFA"/>
  <w14:defaultImageDpi w14:val="300"/>
  <w15:docId w15:val="{756CE705-FA03-48B7-9A32-DB1C2565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4B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704BE"/>
    <w:pPr>
      <w:jc w:val="both"/>
    </w:pPr>
    <w:rPr>
      <w:rFonts w:ascii="Cambria" w:hAnsi="Cambria"/>
    </w:rPr>
  </w:style>
  <w:style w:type="paragraph" w:styleId="ListParagraph">
    <w:name w:val="List Paragraph"/>
    <w:basedOn w:val="Normal"/>
    <w:uiPriority w:val="34"/>
    <w:qFormat/>
    <w:rsid w:val="00EA763C"/>
    <w:pPr>
      <w:ind w:left="720"/>
      <w:contextualSpacing/>
    </w:pPr>
  </w:style>
  <w:style w:type="paragraph" w:customStyle="1" w:styleId="EndNoteBibliographyTitle">
    <w:name w:val="EndNote Bibliography Title"/>
    <w:basedOn w:val="Normal"/>
    <w:rsid w:val="004C15AC"/>
    <w:pPr>
      <w:jc w:val="center"/>
    </w:pPr>
    <w:rPr>
      <w:rFonts w:ascii="Cambria" w:hAnsi="Cambria"/>
    </w:rPr>
  </w:style>
  <w:style w:type="paragraph" w:styleId="BalloonText">
    <w:name w:val="Balloon Text"/>
    <w:basedOn w:val="Normal"/>
    <w:link w:val="BalloonTextChar"/>
    <w:uiPriority w:val="99"/>
    <w:semiHidden/>
    <w:unhideWhenUsed/>
    <w:rsid w:val="007F5C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C63"/>
    <w:rPr>
      <w:rFonts w:ascii="Times New Roman" w:hAnsi="Times New Roman" w:cs="Times New Roman"/>
      <w:sz w:val="18"/>
      <w:szCs w:val="18"/>
    </w:rPr>
  </w:style>
  <w:style w:type="table" w:styleId="MediumGrid2-Accent5">
    <w:name w:val="Medium Grid 2 Accent 5"/>
    <w:basedOn w:val="TableNormal"/>
    <w:uiPriority w:val="68"/>
    <w:rsid w:val="00716E2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TableGrid">
    <w:name w:val="Table Grid"/>
    <w:basedOn w:val="TableNormal"/>
    <w:uiPriority w:val="59"/>
    <w:rsid w:val="0034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073"/>
    <w:rPr>
      <w:color w:val="0000FF" w:themeColor="hyperlink"/>
      <w:u w:val="single"/>
    </w:rPr>
  </w:style>
  <w:style w:type="paragraph" w:styleId="Header">
    <w:name w:val="header"/>
    <w:basedOn w:val="Normal"/>
    <w:link w:val="HeaderChar"/>
    <w:uiPriority w:val="99"/>
    <w:unhideWhenUsed/>
    <w:rsid w:val="00DE010A"/>
    <w:pPr>
      <w:tabs>
        <w:tab w:val="center" w:pos="4320"/>
        <w:tab w:val="right" w:pos="8640"/>
      </w:tabs>
    </w:pPr>
  </w:style>
  <w:style w:type="character" w:customStyle="1" w:styleId="HeaderChar">
    <w:name w:val="Header Char"/>
    <w:basedOn w:val="DefaultParagraphFont"/>
    <w:link w:val="Header"/>
    <w:uiPriority w:val="99"/>
    <w:rsid w:val="00DE010A"/>
  </w:style>
  <w:style w:type="paragraph" w:styleId="Footer">
    <w:name w:val="footer"/>
    <w:basedOn w:val="Normal"/>
    <w:link w:val="FooterChar"/>
    <w:uiPriority w:val="99"/>
    <w:unhideWhenUsed/>
    <w:rsid w:val="00DE010A"/>
    <w:pPr>
      <w:tabs>
        <w:tab w:val="center" w:pos="4320"/>
        <w:tab w:val="right" w:pos="8640"/>
      </w:tabs>
    </w:pPr>
  </w:style>
  <w:style w:type="character" w:customStyle="1" w:styleId="FooterChar">
    <w:name w:val="Footer Char"/>
    <w:basedOn w:val="DefaultParagraphFont"/>
    <w:link w:val="Footer"/>
    <w:uiPriority w:val="99"/>
    <w:rsid w:val="00DE010A"/>
  </w:style>
  <w:style w:type="character" w:styleId="CommentReference">
    <w:name w:val="annotation reference"/>
    <w:basedOn w:val="DefaultParagraphFont"/>
    <w:uiPriority w:val="99"/>
    <w:semiHidden/>
    <w:unhideWhenUsed/>
    <w:rsid w:val="005B6AD3"/>
    <w:rPr>
      <w:sz w:val="16"/>
      <w:szCs w:val="16"/>
    </w:rPr>
  </w:style>
  <w:style w:type="paragraph" w:styleId="CommentText">
    <w:name w:val="annotation text"/>
    <w:basedOn w:val="Normal"/>
    <w:link w:val="CommentTextChar"/>
    <w:uiPriority w:val="99"/>
    <w:semiHidden/>
    <w:unhideWhenUsed/>
    <w:rsid w:val="005B6AD3"/>
    <w:rPr>
      <w:sz w:val="20"/>
      <w:szCs w:val="20"/>
    </w:rPr>
  </w:style>
  <w:style w:type="character" w:customStyle="1" w:styleId="CommentTextChar">
    <w:name w:val="Comment Text Char"/>
    <w:basedOn w:val="DefaultParagraphFont"/>
    <w:link w:val="CommentText"/>
    <w:uiPriority w:val="99"/>
    <w:semiHidden/>
    <w:rsid w:val="005B6AD3"/>
    <w:rPr>
      <w:sz w:val="20"/>
      <w:szCs w:val="20"/>
    </w:rPr>
  </w:style>
  <w:style w:type="paragraph" w:styleId="CommentSubject">
    <w:name w:val="annotation subject"/>
    <w:basedOn w:val="CommentText"/>
    <w:next w:val="CommentText"/>
    <w:link w:val="CommentSubjectChar"/>
    <w:uiPriority w:val="99"/>
    <w:semiHidden/>
    <w:unhideWhenUsed/>
    <w:rsid w:val="005B6AD3"/>
    <w:rPr>
      <w:b/>
      <w:bCs/>
    </w:rPr>
  </w:style>
  <w:style w:type="character" w:customStyle="1" w:styleId="CommentSubjectChar">
    <w:name w:val="Comment Subject Char"/>
    <w:basedOn w:val="CommentTextChar"/>
    <w:link w:val="CommentSubject"/>
    <w:uiPriority w:val="99"/>
    <w:semiHidden/>
    <w:rsid w:val="005B6AD3"/>
    <w:rPr>
      <w:b/>
      <w:bCs/>
      <w:sz w:val="20"/>
      <w:szCs w:val="20"/>
    </w:rPr>
  </w:style>
  <w:style w:type="paragraph" w:styleId="Caption">
    <w:name w:val="caption"/>
    <w:basedOn w:val="Normal"/>
    <w:next w:val="Normal"/>
    <w:uiPriority w:val="35"/>
    <w:unhideWhenUsed/>
    <w:qFormat/>
    <w:rsid w:val="00030EEA"/>
    <w:pPr>
      <w:widowControl w:val="0"/>
      <w:autoSpaceDE w:val="0"/>
      <w:autoSpaceDN w:val="0"/>
      <w:spacing w:after="200"/>
    </w:pPr>
    <w:rPr>
      <w:rFonts w:ascii="Arial" w:eastAsia="Arial" w:hAnsi="Arial" w:cs="Arial"/>
      <w:b/>
      <w:bCs/>
      <w:color w:val="4F81BD" w:themeColor="accent1"/>
      <w:sz w:val="18"/>
      <w:szCs w:val="18"/>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5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304D38D4EC840B543C5D5A219C64E" ma:contentTypeVersion="13" ma:contentTypeDescription="Create a new document." ma:contentTypeScope="" ma:versionID="cde8c5836670b5e1f8c6dba1a012301a">
  <xsd:schema xmlns:xsd="http://www.w3.org/2001/XMLSchema" xmlns:xs="http://www.w3.org/2001/XMLSchema" xmlns:p="http://schemas.microsoft.com/office/2006/metadata/properties" xmlns:ns3="99c2d291-211c-4dbc-80ba-0f34c6320a44" xmlns:ns4="7795ca9a-296e-49cc-94be-0a725b1a71e0" targetNamespace="http://schemas.microsoft.com/office/2006/metadata/properties" ma:root="true" ma:fieldsID="7e080cea791b53648f6154c69dd83b37" ns3:_="" ns4:_="">
    <xsd:import namespace="99c2d291-211c-4dbc-80ba-0f34c6320a44"/>
    <xsd:import namespace="7795ca9a-296e-49cc-94be-0a725b1a71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2d291-211c-4dbc-80ba-0f34c6320a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5ca9a-296e-49cc-94be-0a725b1a71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B038-CA39-423F-9ECF-02E165150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3CC2E-55FF-401A-A2F7-42050AEB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2d291-211c-4dbc-80ba-0f34c6320a44"/>
    <ds:schemaRef ds:uri="7795ca9a-296e-49cc-94be-0a725b1a7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96C21-181B-49F0-A8F2-89612C98BBC8}">
  <ds:schemaRefs>
    <ds:schemaRef ds:uri="http://schemas.microsoft.com/sharepoint/v3/contenttype/forms"/>
  </ds:schemaRefs>
</ds:datastoreItem>
</file>

<file path=customXml/itemProps4.xml><?xml version="1.0" encoding="utf-8"?>
<ds:datastoreItem xmlns:ds="http://schemas.openxmlformats.org/officeDocument/2006/customXml" ds:itemID="{63B09206-9F69-4792-AE5B-A04A6339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8282</Words>
  <Characters>47209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DMI</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 Research Office</dc:creator>
  <cp:lastModifiedBy>Rebecca Liong</cp:lastModifiedBy>
  <cp:revision>4</cp:revision>
  <cp:lastPrinted>2020-08-31T01:03:00Z</cp:lastPrinted>
  <dcterms:created xsi:type="dcterms:W3CDTF">2020-09-28T06:45:00Z</dcterms:created>
  <dcterms:modified xsi:type="dcterms:W3CDTF">2020-09-30T01:43:00Z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0x010100ADF304D38D4EC840B543C5D5A219C64E</vt:lpwstr>
  </property>
  <property fmtid="{D5CDD505-2E9C-101B-9397-08002B2CF9AE}" pid="3" name="Mendeley Document_1">
    <vt:lpwstr>True</vt:lpwstr>
  </property>
  <property fmtid="{D5CDD505-2E9C-101B-9397-08002B2CF9AE}" pid="4" name="Mendeley Unique User Id_1">
    <vt:lpwstr>418eb511-aac1-3615-a153-9043a6ac5fb0</vt:lpwstr>
  </property>
  <property fmtid="{D5CDD505-2E9C-101B-9397-08002B2CF9AE}" pid="5" name="Mendeley Citation Style_1">
    <vt:lpwstr>https://csl.mendeley.com/styles/468914621/vancouver-CiteSuperscript</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https://csl.mendeley.com/styles/468914621/vancouver-CiteSuperscript</vt:lpwstr>
  </property>
  <property fmtid="{D5CDD505-2E9C-101B-9397-08002B2CF9AE}" pid="25" name="Mendeley Recent Style Name 9_1">
    <vt:lpwstr>Vancouver - R L</vt:lpwstr>
  </property>
</Properties>
</file>