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07A68" w:rsidRDefault="001B297B">
      <w:bookmarkStart w:id="0" w:name="_GoBack"/>
      <w:bookmarkEnd w:id="0"/>
      <w:r>
        <w:tab/>
      </w:r>
    </w:p>
    <w:p w14:paraId="0A37501D" w14:textId="77777777" w:rsidR="00807A68" w:rsidRDefault="00807A68"/>
    <w:p w14:paraId="5DAB6C7B" w14:textId="77777777" w:rsidR="000C4CEF" w:rsidRPr="000C4CEF" w:rsidRDefault="000C4CEF">
      <w:pPr>
        <w:rPr>
          <w:sz w:val="56"/>
          <w:szCs w:val="56"/>
        </w:rPr>
      </w:pPr>
    </w:p>
    <w:p w14:paraId="1516DCF2" w14:textId="14795591" w:rsidR="000C4CEF" w:rsidRPr="000C4CEF" w:rsidRDefault="00E60F8D" w:rsidP="000C4CEF">
      <w:pPr>
        <w:spacing w:after="0" w:line="240" w:lineRule="auto"/>
        <w:jc w:val="center"/>
        <w:rPr>
          <w:i/>
          <w:sz w:val="56"/>
          <w:szCs w:val="56"/>
        </w:rPr>
      </w:pPr>
      <w:r>
        <w:rPr>
          <w:sz w:val="56"/>
          <w:szCs w:val="56"/>
        </w:rPr>
        <w:t>Clinical Study Protocol</w:t>
      </w:r>
    </w:p>
    <w:p w14:paraId="02EB378F" w14:textId="77777777" w:rsidR="000C4CEF" w:rsidRPr="000C4CEF" w:rsidRDefault="000C4CEF" w:rsidP="000C4CEF">
      <w:pPr>
        <w:spacing w:after="0" w:line="240" w:lineRule="auto"/>
        <w:jc w:val="center"/>
        <w:rPr>
          <w:sz w:val="56"/>
          <w:szCs w:val="56"/>
        </w:rPr>
      </w:pPr>
    </w:p>
    <w:p w14:paraId="1EBF1E77" w14:textId="77777777" w:rsidR="00E60F8D" w:rsidRPr="00BE7ACD" w:rsidRDefault="00E60F8D" w:rsidP="00E60F8D">
      <w:pPr>
        <w:pStyle w:val="Title"/>
        <w:tabs>
          <w:tab w:val="left" w:pos="709"/>
        </w:tabs>
        <w:spacing w:after="240"/>
        <w:rPr>
          <w:rFonts w:asciiTheme="minorHAnsi" w:hAnsiTheme="minorHAnsi" w:cstheme="minorHAnsi"/>
          <w:sz w:val="28"/>
          <w:szCs w:val="28"/>
          <w:lang w:eastAsia="en-GB"/>
        </w:rPr>
      </w:pPr>
      <w:r w:rsidRPr="00BE7ACD">
        <w:rPr>
          <w:rFonts w:asciiTheme="minorHAnsi" w:hAnsiTheme="minorHAnsi" w:cstheme="minorHAnsi"/>
          <w:noProof/>
          <w:sz w:val="28"/>
          <w:szCs w:val="28"/>
        </w:rPr>
        <w:t xml:space="preserve">A single-centre, open-label, phase I study to evaluate the diagnostic performance of </w:t>
      </w:r>
      <w:r w:rsidRPr="00BE7ACD">
        <w:rPr>
          <w:rFonts w:asciiTheme="minorHAnsi" w:hAnsiTheme="minorHAnsi" w:cstheme="minorHAnsi"/>
          <w:noProof/>
          <w:sz w:val="28"/>
          <w:szCs w:val="28"/>
          <w:vertAlign w:val="superscript"/>
        </w:rPr>
        <w:t>89</w:t>
      </w:r>
      <w:r w:rsidRPr="00BE7ACD">
        <w:rPr>
          <w:rFonts w:asciiTheme="minorHAnsi" w:hAnsiTheme="minorHAnsi" w:cstheme="minorHAnsi"/>
          <w:noProof/>
          <w:sz w:val="28"/>
          <w:szCs w:val="28"/>
        </w:rPr>
        <w:t>Zirconium-labelled girentuximab (</w:t>
      </w:r>
      <w:r w:rsidRPr="00BE7ACD">
        <w:rPr>
          <w:rFonts w:asciiTheme="minorHAnsi" w:hAnsiTheme="minorHAnsi" w:cstheme="minorHAnsi"/>
          <w:noProof/>
          <w:sz w:val="28"/>
          <w:szCs w:val="28"/>
          <w:vertAlign w:val="superscript"/>
        </w:rPr>
        <w:t>89</w:t>
      </w:r>
      <w:r w:rsidRPr="00BE7ACD">
        <w:rPr>
          <w:rFonts w:asciiTheme="minorHAnsi" w:hAnsiTheme="minorHAnsi" w:cstheme="minorHAnsi"/>
          <w:noProof/>
          <w:sz w:val="28"/>
          <w:szCs w:val="28"/>
        </w:rPr>
        <w:t xml:space="preserve">Zr-TLX250) </w:t>
      </w:r>
      <w:r w:rsidRPr="00BE7ACD">
        <w:rPr>
          <w:rFonts w:asciiTheme="minorHAnsi" w:hAnsiTheme="minorHAnsi" w:cstheme="minorHAnsi"/>
          <w:noProof/>
          <w:sz w:val="28"/>
          <w:szCs w:val="28"/>
          <w:u w:val="single"/>
        </w:rPr>
        <w:t>P</w:t>
      </w:r>
      <w:r w:rsidRPr="00BE7ACD">
        <w:rPr>
          <w:rFonts w:asciiTheme="minorHAnsi" w:hAnsiTheme="minorHAnsi" w:cstheme="minorHAnsi"/>
          <w:noProof/>
          <w:sz w:val="28"/>
          <w:szCs w:val="28"/>
        </w:rPr>
        <w:t xml:space="preserve">ET in </w:t>
      </w:r>
      <w:r w:rsidRPr="00BE7ACD">
        <w:rPr>
          <w:rFonts w:asciiTheme="minorHAnsi" w:hAnsiTheme="minorHAnsi" w:cstheme="minorHAnsi"/>
          <w:w w:val="105"/>
          <w:sz w:val="28"/>
          <w:szCs w:val="28"/>
          <w:u w:val="single"/>
        </w:rPr>
        <w:t>U</w:t>
      </w:r>
      <w:r w:rsidRPr="00BE7ACD">
        <w:rPr>
          <w:rFonts w:asciiTheme="minorHAnsi" w:hAnsiTheme="minorHAnsi" w:cstheme="minorHAnsi"/>
          <w:w w:val="105"/>
          <w:sz w:val="28"/>
          <w:szCs w:val="28"/>
        </w:rPr>
        <w:t xml:space="preserve">rothelial Cancer </w:t>
      </w:r>
      <w:r w:rsidRPr="00BE7ACD">
        <w:rPr>
          <w:rFonts w:asciiTheme="minorHAnsi" w:hAnsiTheme="minorHAnsi" w:cstheme="minorHAnsi"/>
          <w:w w:val="105"/>
          <w:sz w:val="28"/>
          <w:szCs w:val="28"/>
          <w:u w:val="single"/>
        </w:rPr>
        <w:t>P</w:t>
      </w:r>
      <w:r w:rsidRPr="00BE7ACD">
        <w:rPr>
          <w:rFonts w:asciiTheme="minorHAnsi" w:hAnsiTheme="minorHAnsi" w:cstheme="minorHAnsi"/>
          <w:w w:val="105"/>
          <w:sz w:val="28"/>
          <w:szCs w:val="28"/>
        </w:rPr>
        <w:t>atients</w:t>
      </w:r>
    </w:p>
    <w:p w14:paraId="250075FA" w14:textId="77777777" w:rsidR="00E60F8D" w:rsidRPr="00BE7ACD" w:rsidRDefault="00E60F8D" w:rsidP="00E60F8D">
      <w:pPr>
        <w:pStyle w:val="Title"/>
        <w:tabs>
          <w:tab w:val="left" w:pos="709"/>
        </w:tabs>
        <w:spacing w:after="240"/>
        <w:rPr>
          <w:rFonts w:asciiTheme="minorHAnsi" w:hAnsiTheme="minorHAnsi" w:cstheme="minorHAnsi"/>
          <w:sz w:val="28"/>
          <w:szCs w:val="28"/>
        </w:rPr>
      </w:pPr>
      <w:r w:rsidRPr="00BE7ACD">
        <w:rPr>
          <w:rFonts w:asciiTheme="minorHAnsi" w:hAnsiTheme="minorHAnsi" w:cstheme="minorHAnsi"/>
          <w:noProof/>
          <w:sz w:val="28"/>
          <w:szCs w:val="28"/>
        </w:rPr>
        <w:t>(</w:t>
      </w:r>
      <w:r w:rsidRPr="00BE7ACD">
        <w:rPr>
          <w:rFonts w:asciiTheme="minorHAnsi" w:hAnsiTheme="minorHAnsi" w:cstheme="minorHAnsi"/>
          <w:noProof/>
          <w:sz w:val="28"/>
          <w:szCs w:val="28"/>
          <w:u w:val="single"/>
        </w:rPr>
        <w:t>ZiPUP</w:t>
      </w:r>
      <w:r w:rsidRPr="00BE7ACD">
        <w:rPr>
          <w:rFonts w:asciiTheme="minorHAnsi" w:hAnsiTheme="minorHAnsi" w:cstheme="minorHAnsi"/>
          <w:noProof/>
          <w:sz w:val="28"/>
          <w:szCs w:val="28"/>
        </w:rPr>
        <w:t xml:space="preserve"> study)</w:t>
      </w:r>
    </w:p>
    <w:p w14:paraId="09E17F5F" w14:textId="2321A0EB" w:rsidR="000C4CEF" w:rsidRPr="000C4CEF" w:rsidRDefault="000C4CEF" w:rsidP="740C3A20">
      <w:pPr>
        <w:spacing w:after="0" w:line="240" w:lineRule="auto"/>
        <w:jc w:val="center"/>
        <w:rPr>
          <w:i/>
          <w:iCs/>
          <w:sz w:val="36"/>
          <w:szCs w:val="36"/>
        </w:rPr>
      </w:pPr>
      <w:r w:rsidRPr="740C3A20">
        <w:rPr>
          <w:i/>
          <w:iCs/>
          <w:sz w:val="36"/>
          <w:szCs w:val="36"/>
        </w:rPr>
        <w:t xml:space="preserve">Version </w:t>
      </w:r>
      <w:r w:rsidR="00E60F8D">
        <w:rPr>
          <w:i/>
          <w:iCs/>
          <w:sz w:val="36"/>
          <w:szCs w:val="36"/>
        </w:rPr>
        <w:t>5</w:t>
      </w:r>
    </w:p>
    <w:p w14:paraId="3C63B3D9" w14:textId="6F584FD3" w:rsidR="000C4CEF" w:rsidRPr="000C4CEF" w:rsidRDefault="00073B5D" w:rsidP="740C3A20">
      <w:pPr>
        <w:spacing w:after="0" w:line="240" w:lineRule="auto"/>
        <w:jc w:val="center"/>
        <w:rPr>
          <w:i/>
          <w:iCs/>
          <w:sz w:val="36"/>
          <w:szCs w:val="36"/>
        </w:rPr>
      </w:pPr>
      <w:r w:rsidRPr="00E60F8D">
        <w:rPr>
          <w:i/>
          <w:iCs/>
          <w:sz w:val="36"/>
          <w:szCs w:val="36"/>
        </w:rPr>
        <w:t>2</w:t>
      </w:r>
      <w:r w:rsidR="00E60F8D" w:rsidRPr="00E60F8D">
        <w:rPr>
          <w:i/>
          <w:iCs/>
          <w:sz w:val="36"/>
          <w:szCs w:val="36"/>
        </w:rPr>
        <w:t>1</w:t>
      </w:r>
      <w:r w:rsidR="00E60F8D" w:rsidRPr="00660135">
        <w:rPr>
          <w:i/>
          <w:iCs/>
          <w:sz w:val="36"/>
          <w:szCs w:val="36"/>
          <w:vertAlign w:val="superscript"/>
        </w:rPr>
        <w:t>st</w:t>
      </w:r>
      <w:r w:rsidR="000C4CEF" w:rsidRPr="740C3A20">
        <w:rPr>
          <w:i/>
          <w:iCs/>
          <w:sz w:val="36"/>
          <w:szCs w:val="36"/>
        </w:rPr>
        <w:t xml:space="preserve"> </w:t>
      </w:r>
      <w:r w:rsidR="00E60F8D">
        <w:rPr>
          <w:i/>
          <w:iCs/>
          <w:sz w:val="36"/>
          <w:szCs w:val="36"/>
        </w:rPr>
        <w:t>October</w:t>
      </w:r>
      <w:r w:rsidR="00E60F8D" w:rsidRPr="740C3A20">
        <w:rPr>
          <w:i/>
          <w:iCs/>
          <w:sz w:val="36"/>
          <w:szCs w:val="36"/>
        </w:rPr>
        <w:t xml:space="preserve"> </w:t>
      </w:r>
      <w:r w:rsidR="000C4CEF" w:rsidRPr="740C3A20">
        <w:rPr>
          <w:i/>
          <w:iCs/>
          <w:sz w:val="36"/>
          <w:szCs w:val="36"/>
        </w:rPr>
        <w:t>2020</w:t>
      </w:r>
    </w:p>
    <w:p w14:paraId="6A05A809" w14:textId="77777777" w:rsidR="00807A68" w:rsidRPr="000C4CEF" w:rsidRDefault="00807A68" w:rsidP="000C4CEF">
      <w:pPr>
        <w:spacing w:after="0" w:line="240" w:lineRule="auto"/>
        <w:jc w:val="center"/>
        <w:rPr>
          <w:i/>
          <w:sz w:val="36"/>
          <w:szCs w:val="36"/>
        </w:rPr>
      </w:pPr>
    </w:p>
    <w:p w14:paraId="5A39BBE3" w14:textId="77777777" w:rsidR="00807A68" w:rsidRPr="000C4CEF" w:rsidRDefault="00807A68" w:rsidP="000C4CEF">
      <w:pPr>
        <w:spacing w:after="0" w:line="240" w:lineRule="auto"/>
        <w:jc w:val="center"/>
        <w:rPr>
          <w:sz w:val="56"/>
          <w:szCs w:val="56"/>
        </w:rPr>
      </w:pPr>
    </w:p>
    <w:p w14:paraId="41C8F396" w14:textId="77777777" w:rsidR="00807A68" w:rsidRDefault="00807A68" w:rsidP="000C4CEF">
      <w:pPr>
        <w:spacing w:after="0" w:line="240" w:lineRule="auto"/>
      </w:pPr>
    </w:p>
    <w:p w14:paraId="72A3D3EC" w14:textId="77777777" w:rsidR="00807A68" w:rsidRDefault="00807A68" w:rsidP="000C4CEF">
      <w:pPr>
        <w:spacing w:after="0" w:line="240" w:lineRule="auto"/>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D734A6" w:rsidRPr="00930FE7" w14:paraId="72C00BBC" w14:textId="77777777" w:rsidTr="0081134C">
        <w:tc>
          <w:tcPr>
            <w:tcW w:w="4675" w:type="dxa"/>
          </w:tcPr>
          <w:p w14:paraId="108CBCC5" w14:textId="47021F23" w:rsidR="00E60F8D" w:rsidRDefault="00E60F8D" w:rsidP="00F63B60">
            <w:pPr>
              <w:pStyle w:val="A-Guided"/>
              <w:spacing w:line="276" w:lineRule="auto"/>
              <w:jc w:val="left"/>
              <w:rPr>
                <w:rFonts w:asciiTheme="minorHAnsi" w:hAnsiTheme="minorHAnsi"/>
                <w:b/>
                <w:bCs/>
                <w:sz w:val="24"/>
                <w:szCs w:val="24"/>
                <w:lang w:val="en-US"/>
              </w:rPr>
            </w:pPr>
            <w:r>
              <w:rPr>
                <w:rFonts w:asciiTheme="minorHAnsi" w:hAnsiTheme="minorHAnsi"/>
                <w:b/>
                <w:bCs/>
                <w:sz w:val="24"/>
                <w:szCs w:val="24"/>
                <w:lang w:val="en-US"/>
              </w:rPr>
              <w:t xml:space="preserve">Short Title: </w:t>
            </w:r>
          </w:p>
          <w:p w14:paraId="0C572F14" w14:textId="77777777" w:rsidR="00E60F8D" w:rsidRDefault="00E60F8D" w:rsidP="00F63B60">
            <w:pPr>
              <w:pStyle w:val="A-Guided"/>
              <w:spacing w:line="276" w:lineRule="auto"/>
              <w:jc w:val="left"/>
              <w:rPr>
                <w:rFonts w:asciiTheme="minorHAnsi" w:hAnsiTheme="minorHAnsi"/>
                <w:b/>
                <w:bCs/>
                <w:sz w:val="24"/>
                <w:szCs w:val="24"/>
                <w:lang w:val="en-US"/>
              </w:rPr>
            </w:pPr>
          </w:p>
          <w:p w14:paraId="4DA0892D" w14:textId="1B0E3D6D"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Sponsor:</w:t>
            </w:r>
          </w:p>
        </w:tc>
        <w:tc>
          <w:tcPr>
            <w:tcW w:w="4675" w:type="dxa"/>
          </w:tcPr>
          <w:p w14:paraId="124E0536" w14:textId="3FAF887B" w:rsidR="00E60F8D" w:rsidRPr="00E60F8D" w:rsidRDefault="00E60F8D" w:rsidP="00F63B60">
            <w:pPr>
              <w:pStyle w:val="A-Guided"/>
              <w:spacing w:line="276" w:lineRule="auto"/>
              <w:jc w:val="left"/>
              <w:rPr>
                <w:rFonts w:asciiTheme="minorHAnsi" w:hAnsiTheme="minorHAnsi"/>
                <w:b/>
                <w:sz w:val="24"/>
                <w:szCs w:val="24"/>
                <w:lang w:val="en-US"/>
              </w:rPr>
            </w:pPr>
            <w:r w:rsidRPr="00660135">
              <w:rPr>
                <w:b/>
                <w:w w:val="105"/>
                <w:sz w:val="24"/>
                <w:szCs w:val="24"/>
                <w:vertAlign w:val="superscript"/>
              </w:rPr>
              <w:t>89</w:t>
            </w:r>
            <w:r w:rsidRPr="00660135">
              <w:rPr>
                <w:b/>
                <w:w w:val="105"/>
                <w:sz w:val="24"/>
                <w:szCs w:val="24"/>
              </w:rPr>
              <w:t>Zr-TLX250 PET in Urothelial Cancer Patients</w:t>
            </w:r>
          </w:p>
          <w:p w14:paraId="0B533FC0" w14:textId="3771581C"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 xml:space="preserve">South Metropolitan Health Service </w:t>
            </w:r>
          </w:p>
          <w:p w14:paraId="6D66D0B5"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 xml:space="preserve">14 Barry Marshall Parade </w:t>
            </w:r>
          </w:p>
          <w:p w14:paraId="1BD2BFE0"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rPr>
              <w:t>Murdoch WA 6150</w:t>
            </w:r>
          </w:p>
        </w:tc>
      </w:tr>
      <w:tr w:rsidR="00D734A6" w:rsidRPr="00930FE7" w14:paraId="507D6FB0" w14:textId="77777777" w:rsidTr="0081134C">
        <w:trPr>
          <w:trHeight w:val="95"/>
        </w:trPr>
        <w:tc>
          <w:tcPr>
            <w:tcW w:w="4675" w:type="dxa"/>
          </w:tcPr>
          <w:p w14:paraId="57BF78AB"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 xml:space="preserve">Principal investigator: </w:t>
            </w:r>
          </w:p>
        </w:tc>
        <w:tc>
          <w:tcPr>
            <w:tcW w:w="4675" w:type="dxa"/>
          </w:tcPr>
          <w:p w14:paraId="2FC06E53"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 xml:space="preserve">Professor Dickon Hayne, </w:t>
            </w:r>
          </w:p>
          <w:p w14:paraId="67FFFE77"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Perkins South, Fiona Stanley Hospital</w:t>
            </w:r>
          </w:p>
          <w:p w14:paraId="39033CD8"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102-118 Barry Marshall Parade</w:t>
            </w:r>
          </w:p>
          <w:p w14:paraId="02ADC67E" w14:textId="77777777" w:rsidR="00D734A6" w:rsidRPr="00930FE7" w:rsidRDefault="00D734A6" w:rsidP="00F63B60">
            <w:pPr>
              <w:pStyle w:val="A-Guided"/>
              <w:spacing w:line="276" w:lineRule="auto"/>
              <w:jc w:val="left"/>
              <w:rPr>
                <w:rFonts w:asciiTheme="minorHAnsi" w:hAnsiTheme="minorHAnsi"/>
                <w:b/>
                <w:bCs/>
                <w:sz w:val="24"/>
                <w:szCs w:val="24"/>
                <w:lang w:val="en-US"/>
              </w:rPr>
            </w:pPr>
            <w:r w:rsidRPr="00930FE7">
              <w:rPr>
                <w:rFonts w:asciiTheme="minorHAnsi" w:hAnsiTheme="minorHAnsi"/>
                <w:b/>
                <w:bCs/>
                <w:sz w:val="24"/>
                <w:szCs w:val="24"/>
                <w:lang w:val="en-US"/>
              </w:rPr>
              <w:t>Murdoch WA 6150</w:t>
            </w:r>
          </w:p>
          <w:p w14:paraId="0D0B940D" w14:textId="77777777" w:rsidR="00D734A6" w:rsidRPr="00930FE7" w:rsidRDefault="00D734A6" w:rsidP="00F63B60">
            <w:pPr>
              <w:pStyle w:val="A-Guided"/>
              <w:spacing w:line="276" w:lineRule="auto"/>
              <w:jc w:val="left"/>
              <w:rPr>
                <w:rFonts w:asciiTheme="minorHAnsi" w:hAnsiTheme="minorHAnsi"/>
                <w:b/>
                <w:bCs/>
                <w:sz w:val="24"/>
                <w:szCs w:val="24"/>
                <w:lang w:val="en-US"/>
              </w:rPr>
            </w:pPr>
          </w:p>
        </w:tc>
      </w:tr>
      <w:tr w:rsidR="0081134C" w:rsidRPr="00216B02" w14:paraId="6F9A1D5B" w14:textId="77777777" w:rsidTr="0081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7"/>
        </w:trPr>
        <w:tc>
          <w:tcPr>
            <w:tcW w:w="4675" w:type="dxa"/>
            <w:tcBorders>
              <w:top w:val="nil"/>
              <w:left w:val="nil"/>
              <w:bottom w:val="nil"/>
              <w:right w:val="nil"/>
            </w:tcBorders>
          </w:tcPr>
          <w:p w14:paraId="7EB5D8A3" w14:textId="65B4A4A8" w:rsidR="0081134C" w:rsidRPr="0081134C" w:rsidRDefault="0081134C" w:rsidP="0081134C">
            <w:pPr>
              <w:rPr>
                <w:rFonts w:cstheme="minorHAnsi"/>
                <w:sz w:val="24"/>
                <w:szCs w:val="24"/>
              </w:rPr>
            </w:pPr>
            <w:r w:rsidRPr="0081134C">
              <w:rPr>
                <w:rFonts w:cstheme="minorHAnsi"/>
                <w:b/>
                <w:sz w:val="24"/>
                <w:szCs w:val="24"/>
              </w:rPr>
              <w:t>Associate Investigator(s):</w:t>
            </w:r>
          </w:p>
          <w:p w14:paraId="2144F42E" w14:textId="296F4E15" w:rsidR="0081134C" w:rsidRPr="0081134C" w:rsidRDefault="0081134C" w:rsidP="0081134C">
            <w:pPr>
              <w:rPr>
                <w:rFonts w:cstheme="minorHAnsi"/>
                <w:sz w:val="24"/>
                <w:szCs w:val="24"/>
              </w:rPr>
            </w:pPr>
          </w:p>
        </w:tc>
        <w:tc>
          <w:tcPr>
            <w:tcW w:w="4675" w:type="dxa"/>
            <w:tcBorders>
              <w:top w:val="nil"/>
              <w:left w:val="nil"/>
              <w:bottom w:val="nil"/>
              <w:right w:val="nil"/>
            </w:tcBorders>
          </w:tcPr>
          <w:p w14:paraId="6D585210" w14:textId="77777777" w:rsidR="0081134C" w:rsidRPr="0081134C" w:rsidRDefault="0081134C" w:rsidP="0081134C">
            <w:pPr>
              <w:rPr>
                <w:rFonts w:cstheme="minorHAnsi"/>
                <w:b/>
                <w:bCs/>
                <w:sz w:val="24"/>
                <w:szCs w:val="24"/>
              </w:rPr>
            </w:pPr>
            <w:r w:rsidRPr="0081134C">
              <w:rPr>
                <w:rFonts w:cstheme="minorHAnsi"/>
                <w:b/>
                <w:bCs/>
                <w:sz w:val="24"/>
                <w:szCs w:val="24"/>
              </w:rPr>
              <w:t>Dr. Pravin Viswambaram</w:t>
            </w:r>
          </w:p>
          <w:p w14:paraId="70512958" w14:textId="77777777" w:rsidR="0081134C" w:rsidRPr="0081134C" w:rsidRDefault="0081134C" w:rsidP="0081134C">
            <w:pPr>
              <w:rPr>
                <w:rFonts w:cstheme="minorHAnsi"/>
                <w:b/>
                <w:bCs/>
                <w:sz w:val="24"/>
                <w:szCs w:val="24"/>
              </w:rPr>
            </w:pPr>
            <w:r w:rsidRPr="0081134C">
              <w:rPr>
                <w:rFonts w:cstheme="minorHAnsi"/>
                <w:b/>
                <w:bCs/>
                <w:sz w:val="24"/>
                <w:szCs w:val="24"/>
              </w:rPr>
              <w:t>Dr. Elizabeth Liow</w:t>
            </w:r>
          </w:p>
          <w:p w14:paraId="74AC06C8" w14:textId="77777777" w:rsidR="0081134C" w:rsidRPr="0081134C" w:rsidRDefault="0081134C" w:rsidP="0081134C">
            <w:pPr>
              <w:rPr>
                <w:rFonts w:cstheme="minorHAnsi"/>
                <w:b/>
                <w:bCs/>
                <w:sz w:val="24"/>
                <w:szCs w:val="24"/>
              </w:rPr>
            </w:pPr>
            <w:r w:rsidRPr="0081134C">
              <w:rPr>
                <w:rFonts w:cstheme="minorHAnsi"/>
                <w:b/>
                <w:bCs/>
                <w:sz w:val="24"/>
                <w:szCs w:val="24"/>
              </w:rPr>
              <w:t>A/Prof. Nat Lenzo</w:t>
            </w:r>
          </w:p>
          <w:p w14:paraId="068D2391" w14:textId="77777777" w:rsidR="0081134C" w:rsidRPr="0081134C" w:rsidRDefault="0081134C" w:rsidP="0081134C">
            <w:pPr>
              <w:rPr>
                <w:rFonts w:cstheme="minorHAnsi"/>
                <w:sz w:val="24"/>
                <w:szCs w:val="24"/>
              </w:rPr>
            </w:pPr>
            <w:r w:rsidRPr="0081134C">
              <w:rPr>
                <w:rFonts w:cstheme="minorHAnsi"/>
                <w:b/>
                <w:bCs/>
                <w:sz w:val="24"/>
                <w:szCs w:val="24"/>
              </w:rPr>
              <w:t>Dr. Richard Gauci</w:t>
            </w:r>
          </w:p>
        </w:tc>
      </w:tr>
    </w:tbl>
    <w:p w14:paraId="0E27B00A" w14:textId="77777777" w:rsidR="00807A68" w:rsidRDefault="00807A68"/>
    <w:p w14:paraId="5F22BD64" w14:textId="0F1A6861" w:rsidR="740C3A20" w:rsidRDefault="740C3A20" w:rsidP="740C3A20">
      <w:pPr>
        <w:rPr>
          <w:b/>
          <w:bCs/>
        </w:rPr>
      </w:pPr>
    </w:p>
    <w:p w14:paraId="38F7E435" w14:textId="25A755ED" w:rsidR="0017174C" w:rsidRPr="00660135" w:rsidRDefault="00E60F8D">
      <w:pPr>
        <w:rPr>
          <w:b/>
          <w:sz w:val="28"/>
          <w:szCs w:val="28"/>
        </w:rPr>
      </w:pPr>
      <w:r w:rsidRPr="00660135">
        <w:rPr>
          <w:b/>
          <w:sz w:val="28"/>
          <w:szCs w:val="28"/>
        </w:rPr>
        <w:lastRenderedPageBreak/>
        <w:t xml:space="preserve">Study </w:t>
      </w:r>
      <w:r w:rsidR="00807A68" w:rsidRPr="00660135">
        <w:rPr>
          <w:b/>
          <w:sz w:val="28"/>
          <w:szCs w:val="28"/>
        </w:rPr>
        <w:t>Synopsis</w:t>
      </w:r>
    </w:p>
    <w:tbl>
      <w:tblPr>
        <w:tblStyle w:val="TableGrid"/>
        <w:tblW w:w="0" w:type="auto"/>
        <w:tblLook w:val="04A0" w:firstRow="1" w:lastRow="0" w:firstColumn="1" w:lastColumn="0" w:noHBand="0" w:noVBand="1"/>
      </w:tblPr>
      <w:tblGrid>
        <w:gridCol w:w="2405"/>
        <w:gridCol w:w="6611"/>
      </w:tblGrid>
      <w:tr w:rsidR="00CB379B" w14:paraId="5CEFE326" w14:textId="77777777" w:rsidTr="166FC3F4">
        <w:tc>
          <w:tcPr>
            <w:tcW w:w="2405" w:type="dxa"/>
          </w:tcPr>
          <w:p w14:paraId="13C5AA5C" w14:textId="77777777" w:rsidR="00CB379B" w:rsidRPr="000F5C29" w:rsidRDefault="00CB379B">
            <w:pPr>
              <w:rPr>
                <w:b/>
              </w:rPr>
            </w:pPr>
            <w:r w:rsidRPr="000F5C29">
              <w:rPr>
                <w:b/>
              </w:rPr>
              <w:t>Study title</w:t>
            </w:r>
          </w:p>
        </w:tc>
        <w:tc>
          <w:tcPr>
            <w:tcW w:w="6611" w:type="dxa"/>
          </w:tcPr>
          <w:p w14:paraId="4607B23C" w14:textId="6DE6EA48" w:rsidR="00CB379B" w:rsidRDefault="00E60F8D" w:rsidP="00DE19F9">
            <w:pPr>
              <w:jc w:val="both"/>
            </w:pPr>
            <w:r w:rsidRPr="00EC498D">
              <w:rPr>
                <w:rFonts w:cstheme="minorHAnsi"/>
                <w:b/>
                <w:bCs/>
                <w:noProof/>
                <w:sz w:val="24"/>
                <w:szCs w:val="24"/>
              </w:rPr>
              <w:t xml:space="preserve">A single-centre, open-label, phase I study to evaluate the diagnostic performance of </w:t>
            </w:r>
            <w:r w:rsidRPr="00EC498D">
              <w:rPr>
                <w:rFonts w:cstheme="minorHAnsi"/>
                <w:b/>
                <w:bCs/>
                <w:noProof/>
                <w:sz w:val="24"/>
                <w:szCs w:val="24"/>
                <w:vertAlign w:val="superscript"/>
              </w:rPr>
              <w:t>89</w:t>
            </w:r>
            <w:r w:rsidRPr="00EC498D">
              <w:rPr>
                <w:rFonts w:cstheme="minorHAnsi"/>
                <w:b/>
                <w:bCs/>
                <w:noProof/>
                <w:sz w:val="24"/>
                <w:szCs w:val="24"/>
              </w:rPr>
              <w:t>Zirconium-labelled girentuximab (</w:t>
            </w:r>
            <w:r w:rsidRPr="00EC498D">
              <w:rPr>
                <w:rFonts w:cstheme="minorHAnsi"/>
                <w:b/>
                <w:bCs/>
                <w:noProof/>
                <w:sz w:val="24"/>
                <w:szCs w:val="24"/>
                <w:vertAlign w:val="superscript"/>
              </w:rPr>
              <w:t>89</w:t>
            </w:r>
            <w:r w:rsidRPr="00EC498D">
              <w:rPr>
                <w:rFonts w:cstheme="minorHAnsi"/>
                <w:b/>
                <w:bCs/>
                <w:noProof/>
                <w:sz w:val="24"/>
                <w:szCs w:val="24"/>
              </w:rPr>
              <w:t xml:space="preserve">Zr-TLX250) </w:t>
            </w:r>
            <w:r w:rsidRPr="00EC498D">
              <w:rPr>
                <w:rFonts w:cstheme="minorHAnsi"/>
                <w:b/>
                <w:bCs/>
                <w:noProof/>
                <w:sz w:val="24"/>
                <w:szCs w:val="24"/>
                <w:u w:val="single"/>
              </w:rPr>
              <w:t>P</w:t>
            </w:r>
            <w:r w:rsidRPr="00EC498D">
              <w:rPr>
                <w:rFonts w:cstheme="minorHAnsi"/>
                <w:b/>
                <w:bCs/>
                <w:noProof/>
                <w:sz w:val="24"/>
                <w:szCs w:val="24"/>
              </w:rPr>
              <w:t xml:space="preserve">ET in </w:t>
            </w:r>
            <w:r w:rsidRPr="00EC498D">
              <w:rPr>
                <w:rFonts w:cstheme="minorHAnsi"/>
                <w:b/>
                <w:bCs/>
                <w:w w:val="105"/>
                <w:sz w:val="24"/>
                <w:szCs w:val="24"/>
                <w:u w:val="single"/>
              </w:rPr>
              <w:t>U</w:t>
            </w:r>
            <w:r w:rsidRPr="00EC498D">
              <w:rPr>
                <w:rFonts w:cstheme="minorHAnsi"/>
                <w:b/>
                <w:bCs/>
                <w:w w:val="105"/>
                <w:sz w:val="24"/>
                <w:szCs w:val="24"/>
              </w:rPr>
              <w:t xml:space="preserve">rothelial Cancer </w:t>
            </w:r>
            <w:r w:rsidRPr="00EC498D">
              <w:rPr>
                <w:rFonts w:cstheme="minorHAnsi"/>
                <w:b/>
                <w:bCs/>
                <w:w w:val="105"/>
                <w:sz w:val="24"/>
                <w:szCs w:val="24"/>
                <w:u w:val="single"/>
              </w:rPr>
              <w:t>P</w:t>
            </w:r>
            <w:r w:rsidRPr="00EC498D">
              <w:rPr>
                <w:rFonts w:cstheme="minorHAnsi"/>
                <w:b/>
                <w:bCs/>
                <w:w w:val="105"/>
                <w:sz w:val="24"/>
                <w:szCs w:val="24"/>
              </w:rPr>
              <w:t>atients</w:t>
            </w:r>
            <w:r>
              <w:rPr>
                <w:rFonts w:cstheme="minorHAnsi"/>
                <w:b/>
                <w:bCs/>
                <w:sz w:val="24"/>
                <w:szCs w:val="24"/>
                <w:lang w:eastAsia="en-GB"/>
              </w:rPr>
              <w:t xml:space="preserve"> </w:t>
            </w:r>
            <w:r w:rsidRPr="00EC498D">
              <w:rPr>
                <w:rFonts w:cstheme="minorHAnsi"/>
                <w:b/>
                <w:bCs/>
                <w:noProof/>
                <w:sz w:val="24"/>
                <w:szCs w:val="24"/>
              </w:rPr>
              <w:t>(</w:t>
            </w:r>
            <w:r w:rsidRPr="00EC498D">
              <w:rPr>
                <w:rFonts w:cstheme="minorHAnsi"/>
                <w:b/>
                <w:bCs/>
                <w:noProof/>
                <w:sz w:val="24"/>
                <w:szCs w:val="24"/>
                <w:u w:val="single"/>
              </w:rPr>
              <w:t>ZiPUP</w:t>
            </w:r>
            <w:r w:rsidRPr="00EC498D">
              <w:rPr>
                <w:rFonts w:cstheme="minorHAnsi"/>
                <w:b/>
                <w:bCs/>
                <w:noProof/>
                <w:sz w:val="24"/>
                <w:szCs w:val="24"/>
              </w:rPr>
              <w:t xml:space="preserve"> study)</w:t>
            </w:r>
          </w:p>
        </w:tc>
      </w:tr>
      <w:tr w:rsidR="00CB379B" w14:paraId="6D5710EF" w14:textId="77777777" w:rsidTr="166FC3F4">
        <w:tc>
          <w:tcPr>
            <w:tcW w:w="2405" w:type="dxa"/>
          </w:tcPr>
          <w:p w14:paraId="7594D9CF" w14:textId="77777777" w:rsidR="00CB379B" w:rsidRPr="000F5C29" w:rsidRDefault="00CB379B">
            <w:pPr>
              <w:rPr>
                <w:b/>
              </w:rPr>
            </w:pPr>
            <w:r w:rsidRPr="000F5C29">
              <w:rPr>
                <w:b/>
              </w:rPr>
              <w:t>Clinical phase</w:t>
            </w:r>
          </w:p>
        </w:tc>
        <w:tc>
          <w:tcPr>
            <w:tcW w:w="6611" w:type="dxa"/>
          </w:tcPr>
          <w:p w14:paraId="2C8BE356" w14:textId="440D12AE" w:rsidR="00CB379B" w:rsidRDefault="00A75C16" w:rsidP="00DE19F9">
            <w:pPr>
              <w:jc w:val="both"/>
            </w:pPr>
            <w:r>
              <w:t>Phase I</w:t>
            </w:r>
          </w:p>
        </w:tc>
      </w:tr>
      <w:tr w:rsidR="00CB379B" w14:paraId="6A2D8EE0" w14:textId="77777777" w:rsidTr="166FC3F4">
        <w:tc>
          <w:tcPr>
            <w:tcW w:w="2405" w:type="dxa"/>
          </w:tcPr>
          <w:p w14:paraId="2FB7F2A5" w14:textId="77777777" w:rsidR="00CB379B" w:rsidRPr="000F5C29" w:rsidRDefault="00CB379B">
            <w:pPr>
              <w:rPr>
                <w:b/>
              </w:rPr>
            </w:pPr>
            <w:r w:rsidRPr="000F5C29">
              <w:rPr>
                <w:b/>
              </w:rPr>
              <w:t>Study duration</w:t>
            </w:r>
          </w:p>
        </w:tc>
        <w:tc>
          <w:tcPr>
            <w:tcW w:w="6611" w:type="dxa"/>
          </w:tcPr>
          <w:p w14:paraId="2F37927D" w14:textId="77777777" w:rsidR="00CB379B" w:rsidRDefault="00253C5B" w:rsidP="00DE19F9">
            <w:pPr>
              <w:jc w:val="both"/>
            </w:pPr>
            <w:r>
              <w:t>18 months</w:t>
            </w:r>
          </w:p>
        </w:tc>
      </w:tr>
      <w:tr w:rsidR="000412FF" w14:paraId="7BA83A8D" w14:textId="77777777" w:rsidTr="166FC3F4">
        <w:tc>
          <w:tcPr>
            <w:tcW w:w="2405" w:type="dxa"/>
          </w:tcPr>
          <w:p w14:paraId="7243A01F" w14:textId="77777777" w:rsidR="000412FF" w:rsidRPr="000F5C29" w:rsidRDefault="000412FF">
            <w:pPr>
              <w:rPr>
                <w:b/>
              </w:rPr>
            </w:pPr>
            <w:r w:rsidRPr="000F5C29">
              <w:rPr>
                <w:b/>
              </w:rPr>
              <w:t>Hypothesis</w:t>
            </w:r>
          </w:p>
        </w:tc>
        <w:tc>
          <w:tcPr>
            <w:tcW w:w="6611" w:type="dxa"/>
          </w:tcPr>
          <w:p w14:paraId="3B555AE0" w14:textId="2640F306" w:rsidR="000412FF" w:rsidRDefault="000412FF" w:rsidP="00F17FCC">
            <w:pPr>
              <w:jc w:val="both"/>
            </w:pPr>
            <w:r w:rsidRPr="00806D1E">
              <w:rPr>
                <w:vertAlign w:val="superscript"/>
              </w:rPr>
              <w:t>89</w:t>
            </w:r>
            <w:r w:rsidR="00163E97">
              <w:t>Zirconium (</w:t>
            </w:r>
            <w:r>
              <w:t>Zr</w:t>
            </w:r>
            <w:r w:rsidR="00163E97">
              <w:t>)</w:t>
            </w:r>
            <w:r>
              <w:t>-girentuximab</w:t>
            </w:r>
            <w:r w:rsidR="006949F2">
              <w:t xml:space="preserve"> (</w:t>
            </w:r>
            <w:r w:rsidR="006949F2">
              <w:rPr>
                <w:vertAlign w:val="superscript"/>
              </w:rPr>
              <w:t>89</w:t>
            </w:r>
            <w:r w:rsidR="006949F2">
              <w:t>Zr-TLX250)</w:t>
            </w:r>
            <w:r>
              <w:t xml:space="preserve"> </w:t>
            </w:r>
            <w:r w:rsidR="007100F7">
              <w:t>Position Emission Tomography</w:t>
            </w:r>
            <w:r w:rsidR="006949F2">
              <w:t xml:space="preserve"> / Computed Tomography</w:t>
            </w:r>
            <w:r w:rsidR="007100F7">
              <w:t xml:space="preserve"> (</w:t>
            </w:r>
            <w:r>
              <w:t>PET</w:t>
            </w:r>
            <w:r w:rsidR="006949F2">
              <w:t>/CT</w:t>
            </w:r>
            <w:r w:rsidR="007100F7">
              <w:t>)</w:t>
            </w:r>
            <w:r>
              <w:t xml:space="preserve"> </w:t>
            </w:r>
            <w:r w:rsidR="00F17FCC">
              <w:t>is a practical tool</w:t>
            </w:r>
            <w:r>
              <w:t xml:space="preserve"> </w:t>
            </w:r>
            <w:r w:rsidR="00F17FCC">
              <w:t>for</w:t>
            </w:r>
            <w:r w:rsidR="006949F2">
              <w:t xml:space="preserve"> </w:t>
            </w:r>
            <w:r>
              <w:t>the staging</w:t>
            </w:r>
            <w:r w:rsidR="00F17FCC">
              <w:t xml:space="preserve"> and detection</w:t>
            </w:r>
            <w:r>
              <w:t xml:space="preserve"> of urothelial carcinoma</w:t>
            </w:r>
            <w:r w:rsidR="00AC01BD">
              <w:t xml:space="preserve"> and bladder cancer.</w:t>
            </w:r>
          </w:p>
        </w:tc>
      </w:tr>
      <w:tr w:rsidR="00CB379B" w14:paraId="529BB2D2" w14:textId="77777777" w:rsidTr="166FC3F4">
        <w:tc>
          <w:tcPr>
            <w:tcW w:w="2405" w:type="dxa"/>
          </w:tcPr>
          <w:p w14:paraId="2897A592" w14:textId="77777777" w:rsidR="00CB379B" w:rsidRPr="000F5C29" w:rsidRDefault="003F40DC" w:rsidP="00CE3FC6">
            <w:pPr>
              <w:rPr>
                <w:b/>
              </w:rPr>
            </w:pPr>
            <w:r w:rsidRPr="000F5C29">
              <w:rPr>
                <w:b/>
              </w:rPr>
              <w:t xml:space="preserve">Rationale </w:t>
            </w:r>
          </w:p>
        </w:tc>
        <w:tc>
          <w:tcPr>
            <w:tcW w:w="6611" w:type="dxa"/>
          </w:tcPr>
          <w:p w14:paraId="09EB9EE8" w14:textId="652DBC8B" w:rsidR="00CB379B" w:rsidRDefault="000412FF" w:rsidP="00DE19F9">
            <w:pPr>
              <w:jc w:val="both"/>
            </w:pPr>
            <w:r>
              <w:t xml:space="preserve">Current urothelial cancer staging is sub-optimal. </w:t>
            </w:r>
            <w:r w:rsidR="006949F2">
              <w:t>Fluorodeoxyglucose (</w:t>
            </w:r>
            <w:r>
              <w:t>FDG</w:t>
            </w:r>
            <w:r w:rsidR="006949F2">
              <w:t>)</w:t>
            </w:r>
            <w:r>
              <w:t xml:space="preserve"> PET</w:t>
            </w:r>
            <w:r w:rsidR="006949F2">
              <w:t>/CT</w:t>
            </w:r>
            <w:r>
              <w:t xml:space="preserve"> relies on the metabolic activity of the tumour and thus may have limited utility in low grade urothelial tumours. Urinary excretion of FDG PET</w:t>
            </w:r>
            <w:r w:rsidR="006949F2">
              <w:t>/CT</w:t>
            </w:r>
            <w:r>
              <w:t xml:space="preserve"> is </w:t>
            </w:r>
            <w:r w:rsidR="00DF7AB0">
              <w:t>also intrinsically</w:t>
            </w:r>
            <w:r>
              <w:t xml:space="preserve"> problematic when imaging urothelial malignancies.</w:t>
            </w:r>
          </w:p>
          <w:p w14:paraId="43DE2EFC" w14:textId="1EE578D1" w:rsidR="00CE3FC6" w:rsidRDefault="00CE3FC6" w:rsidP="00DE19F9">
            <w:pPr>
              <w:jc w:val="both"/>
            </w:pPr>
            <w:r>
              <w:t>Girentuximab is a chimeric monoclonal antibody targeting the protein carbonic anh</w:t>
            </w:r>
            <w:r w:rsidR="003C0AC7">
              <w:t>y</w:t>
            </w:r>
            <w:r>
              <w:t xml:space="preserve">drase IX (CAIX). CAIX is overexpressed in hypoxic cells, and on a range of solid tumours including bladder, renal, colon, cervical, and lung cancer. </w:t>
            </w:r>
          </w:p>
          <w:p w14:paraId="295B5DA9" w14:textId="3E12D123" w:rsidR="00CE3FC6" w:rsidRDefault="006949F2" w:rsidP="00DE19F9">
            <w:pPr>
              <w:jc w:val="both"/>
            </w:pPr>
            <w:r>
              <w:rPr>
                <w:vertAlign w:val="superscript"/>
              </w:rPr>
              <w:t>89</w:t>
            </w:r>
            <w:r>
              <w:t xml:space="preserve">Zr-TLX250 </w:t>
            </w:r>
            <w:r w:rsidR="00DF7AB0">
              <w:t>PET</w:t>
            </w:r>
            <w:r>
              <w:t>/CT</w:t>
            </w:r>
            <w:r w:rsidR="00DF7AB0">
              <w:t xml:space="preserve"> has efficacy in the assessment of renal cell carcinoma </w:t>
            </w:r>
            <w:r w:rsidR="00404710">
              <w:t xml:space="preserve">(RCC) </w:t>
            </w:r>
            <w:r w:rsidR="00DF7AB0">
              <w:t>however has not been evaluated as an imaging modality for urothelial carcinoma</w:t>
            </w:r>
            <w:r>
              <w:t xml:space="preserve"> and bladder cancer</w:t>
            </w:r>
            <w:r w:rsidR="00DF7AB0">
              <w:t xml:space="preserve">. Hepatic clearance of </w:t>
            </w:r>
            <w:r>
              <w:rPr>
                <w:vertAlign w:val="superscript"/>
              </w:rPr>
              <w:t>89</w:t>
            </w:r>
            <w:r>
              <w:t xml:space="preserve">Zr-TLX250 </w:t>
            </w:r>
            <w:r w:rsidR="00DF7AB0">
              <w:t>with low urinary excretion is expected to be advantageous for the local and distant staging of urothelial carcinoma</w:t>
            </w:r>
            <w:r>
              <w:t xml:space="preserve"> and bladder cancer</w:t>
            </w:r>
            <w:r w:rsidR="00DF7AB0">
              <w:t xml:space="preserve">. </w:t>
            </w:r>
          </w:p>
        </w:tc>
      </w:tr>
      <w:tr w:rsidR="00CB379B" w14:paraId="47FB4C72" w14:textId="77777777" w:rsidTr="166FC3F4">
        <w:tc>
          <w:tcPr>
            <w:tcW w:w="2405" w:type="dxa"/>
          </w:tcPr>
          <w:p w14:paraId="106DD217" w14:textId="2A7B93B5" w:rsidR="00CB379B" w:rsidRPr="000F5C29" w:rsidRDefault="00CB379B" w:rsidP="551F65EF">
            <w:pPr>
              <w:rPr>
                <w:b/>
                <w:bCs/>
              </w:rPr>
            </w:pPr>
            <w:r w:rsidRPr="551F65EF">
              <w:rPr>
                <w:b/>
                <w:bCs/>
              </w:rPr>
              <w:t>Objectives</w:t>
            </w:r>
          </w:p>
        </w:tc>
        <w:tc>
          <w:tcPr>
            <w:tcW w:w="6611" w:type="dxa"/>
          </w:tcPr>
          <w:p w14:paraId="539BE2BC" w14:textId="77777777" w:rsidR="0067722A" w:rsidRPr="00660135" w:rsidRDefault="0067722A" w:rsidP="0067722A">
            <w:pPr>
              <w:jc w:val="both"/>
              <w:rPr>
                <w:b/>
                <w:bCs/>
              </w:rPr>
            </w:pPr>
            <w:r w:rsidRPr="00660135">
              <w:rPr>
                <w:b/>
                <w:bCs/>
              </w:rPr>
              <w:t>Primary objective:</w:t>
            </w:r>
          </w:p>
          <w:p w14:paraId="049F31CB" w14:textId="70FB841C" w:rsidR="0067722A" w:rsidRDefault="00F33242" w:rsidP="0067722A">
            <w:pPr>
              <w:jc w:val="both"/>
            </w:pPr>
            <w:r>
              <w:t xml:space="preserve">To evaluate </w:t>
            </w:r>
            <w:r w:rsidR="0001134A">
              <w:t xml:space="preserve">the feasibility </w:t>
            </w:r>
            <w:r>
              <w:t xml:space="preserve">of </w:t>
            </w:r>
            <w:r w:rsidR="00AB4DC2">
              <w:t>using</w:t>
            </w:r>
            <w:r w:rsidR="00291000">
              <w:t xml:space="preserve"> </w:t>
            </w:r>
            <w:r w:rsidR="006949F2">
              <w:rPr>
                <w:vertAlign w:val="superscript"/>
              </w:rPr>
              <w:t>89</w:t>
            </w:r>
            <w:r w:rsidR="006949F2">
              <w:t xml:space="preserve">Zr-TLX250 </w:t>
            </w:r>
            <w:r>
              <w:t>PET</w:t>
            </w:r>
            <w:r w:rsidR="006949F2">
              <w:t>/CT</w:t>
            </w:r>
            <w:r w:rsidR="0001134A">
              <w:t xml:space="preserve"> in </w:t>
            </w:r>
            <w:r w:rsidR="00291000">
              <w:t xml:space="preserve">the </w:t>
            </w:r>
            <w:r w:rsidR="0001134A">
              <w:t>detecti</w:t>
            </w:r>
            <w:r w:rsidR="00291000">
              <w:t>on of</w:t>
            </w:r>
            <w:r w:rsidR="0001134A">
              <w:t xml:space="preserve"> </w:t>
            </w:r>
            <w:r w:rsidR="005F5B29">
              <w:t>localized and</w:t>
            </w:r>
            <w:r w:rsidR="000A66FB">
              <w:t xml:space="preserve"> </w:t>
            </w:r>
            <w:r w:rsidR="0001134A">
              <w:t>metastatic urothelial carcinoma or bladder cancer</w:t>
            </w:r>
          </w:p>
          <w:p w14:paraId="65F3138F" w14:textId="77777777" w:rsidR="00F33242" w:rsidRDefault="00F33242" w:rsidP="0067722A">
            <w:pPr>
              <w:jc w:val="both"/>
            </w:pPr>
          </w:p>
          <w:p w14:paraId="0282336F" w14:textId="1F957919" w:rsidR="0001134A" w:rsidRPr="00660135" w:rsidRDefault="0067722A" w:rsidP="0067722A">
            <w:pPr>
              <w:jc w:val="both"/>
              <w:rPr>
                <w:b/>
                <w:bCs/>
              </w:rPr>
            </w:pPr>
            <w:r w:rsidRPr="00660135">
              <w:rPr>
                <w:b/>
                <w:bCs/>
              </w:rPr>
              <w:t>Secondary objectives:</w:t>
            </w:r>
          </w:p>
          <w:p w14:paraId="60C0678B" w14:textId="5B961202" w:rsidR="00AB4DC2" w:rsidRDefault="00AB4DC2" w:rsidP="00AB4DC2">
            <w:pPr>
              <w:pStyle w:val="ListParagraph"/>
              <w:numPr>
                <w:ilvl w:val="0"/>
                <w:numId w:val="3"/>
              </w:numPr>
              <w:jc w:val="both"/>
            </w:pPr>
            <w:r>
              <w:t xml:space="preserve">To evaluate the safety and tolerability of </w:t>
            </w:r>
            <w:r w:rsidR="006949F2">
              <w:rPr>
                <w:vertAlign w:val="superscript"/>
              </w:rPr>
              <w:t>89</w:t>
            </w:r>
            <w:r w:rsidR="006949F2">
              <w:t xml:space="preserve">Zr-TLX250 </w:t>
            </w:r>
            <w:r>
              <w:t>PET</w:t>
            </w:r>
            <w:r w:rsidR="006949F2">
              <w:t>/CT</w:t>
            </w:r>
            <w:r>
              <w:t>.</w:t>
            </w:r>
          </w:p>
          <w:p w14:paraId="77874AC3" w14:textId="070CE0EF" w:rsidR="00F33242" w:rsidRDefault="00F33242" w:rsidP="00AC01BD">
            <w:pPr>
              <w:pStyle w:val="ListParagraph"/>
              <w:numPr>
                <w:ilvl w:val="0"/>
                <w:numId w:val="3"/>
              </w:numPr>
              <w:jc w:val="both"/>
            </w:pPr>
            <w:r>
              <w:t xml:space="preserve">To determine the effectiveness of </w:t>
            </w:r>
            <w:r w:rsidR="006949F2">
              <w:rPr>
                <w:vertAlign w:val="superscript"/>
              </w:rPr>
              <w:t>89</w:t>
            </w:r>
            <w:r w:rsidR="006949F2">
              <w:t xml:space="preserve">Zr-TLX250 </w:t>
            </w:r>
            <w:r>
              <w:t>PET</w:t>
            </w:r>
            <w:r w:rsidR="006949F2">
              <w:t>/CT</w:t>
            </w:r>
            <w:r>
              <w:t xml:space="preserve"> in detecting metastatic urothelial carcinoma or bladder cancer compared to FDG PET</w:t>
            </w:r>
            <w:r w:rsidR="006949F2">
              <w:t>/CT</w:t>
            </w:r>
            <w:r>
              <w:t xml:space="preserve"> by comparing tracer uptake ratios in mediastinum against tumour.</w:t>
            </w:r>
          </w:p>
          <w:p w14:paraId="6E6F3385" w14:textId="54D33726" w:rsidR="005130E6" w:rsidRDefault="1CB2C4FD" w:rsidP="00DE19F9">
            <w:pPr>
              <w:pStyle w:val="ListParagraph"/>
              <w:numPr>
                <w:ilvl w:val="0"/>
                <w:numId w:val="3"/>
              </w:numPr>
              <w:jc w:val="both"/>
            </w:pPr>
            <w:r>
              <w:t xml:space="preserve">To evaluate the correlation between </w:t>
            </w:r>
            <w:r w:rsidR="00AC01BD">
              <w:t xml:space="preserve">positive </w:t>
            </w:r>
            <w:r w:rsidR="006949F2">
              <w:rPr>
                <w:vertAlign w:val="superscript"/>
              </w:rPr>
              <w:t>89</w:t>
            </w:r>
            <w:r w:rsidR="006949F2">
              <w:t xml:space="preserve">Zr-TLX250 </w:t>
            </w:r>
            <w:r w:rsidR="00AC01BD">
              <w:t>PET</w:t>
            </w:r>
            <w:r w:rsidR="006949F2">
              <w:t>/CT</w:t>
            </w:r>
            <w:r w:rsidR="00AC01BD">
              <w:t xml:space="preserve"> </w:t>
            </w:r>
            <w:r>
              <w:t xml:space="preserve">and </w:t>
            </w:r>
            <w:r w:rsidR="00AC01BD">
              <w:t xml:space="preserve">pelvic lymphadenectomy </w:t>
            </w:r>
            <w:r>
              <w:t>histopathological findings</w:t>
            </w:r>
            <w:r w:rsidR="00AC01BD">
              <w:t xml:space="preserve"> in those undergoing radical cystectomy.</w:t>
            </w:r>
          </w:p>
          <w:p w14:paraId="121F0276" w14:textId="472874C1" w:rsidR="00157079" w:rsidRDefault="00157079" w:rsidP="00DE19F9">
            <w:pPr>
              <w:pStyle w:val="ListParagraph"/>
              <w:numPr>
                <w:ilvl w:val="0"/>
                <w:numId w:val="3"/>
              </w:numPr>
              <w:jc w:val="both"/>
            </w:pPr>
            <w:r>
              <w:t xml:space="preserve">To evaluate the effectiveness of </w:t>
            </w:r>
            <w:r w:rsidR="0084595B">
              <w:rPr>
                <w:vertAlign w:val="superscript"/>
              </w:rPr>
              <w:t>89</w:t>
            </w:r>
            <w:r w:rsidR="0084595B">
              <w:t xml:space="preserve">Zr-TLX250 PET/CT </w:t>
            </w:r>
            <w:r>
              <w:t>in detecting primary bladder cancer.</w:t>
            </w:r>
          </w:p>
          <w:p w14:paraId="677C310F" w14:textId="77280E9C" w:rsidR="00AC01BD" w:rsidRDefault="00AC01BD" w:rsidP="00157079">
            <w:pPr>
              <w:pStyle w:val="ListParagraph"/>
              <w:numPr>
                <w:ilvl w:val="0"/>
                <w:numId w:val="3"/>
              </w:numPr>
              <w:jc w:val="both"/>
            </w:pPr>
            <w:r>
              <w:t xml:space="preserve">To evaluate the effectiveness of </w:t>
            </w:r>
            <w:r w:rsidR="0084595B">
              <w:rPr>
                <w:vertAlign w:val="superscript"/>
              </w:rPr>
              <w:t>89</w:t>
            </w:r>
            <w:r w:rsidR="0084595B">
              <w:t xml:space="preserve">Zr-TLX250 PET/CT </w:t>
            </w:r>
            <w:r>
              <w:t>in detecting upper tract urothelial carcinoma.</w:t>
            </w:r>
          </w:p>
        </w:tc>
      </w:tr>
      <w:tr w:rsidR="00E60F8D" w14:paraId="099DD215" w14:textId="77777777" w:rsidTr="166FC3F4">
        <w:tc>
          <w:tcPr>
            <w:tcW w:w="2405" w:type="dxa"/>
          </w:tcPr>
          <w:p w14:paraId="68352A66" w14:textId="2D97FFE1" w:rsidR="00E60F8D" w:rsidRPr="000F5C29" w:rsidRDefault="00E60F8D" w:rsidP="00E60F8D">
            <w:pPr>
              <w:rPr>
                <w:b/>
              </w:rPr>
            </w:pPr>
            <w:r w:rsidRPr="0043058C">
              <w:rPr>
                <w:rFonts w:eastAsia="Times New Roman" w:cs="Arial"/>
                <w:b/>
                <w:noProof/>
                <w:lang w:val="en-GB" w:eastAsia="de-DE"/>
              </w:rPr>
              <w:t>Investigational medicinal product (IMP)</w:t>
            </w:r>
          </w:p>
        </w:tc>
        <w:tc>
          <w:tcPr>
            <w:tcW w:w="6611" w:type="dxa"/>
          </w:tcPr>
          <w:p w14:paraId="5AA867AA" w14:textId="56239B5E" w:rsidR="00E60F8D" w:rsidRDefault="00E60F8D" w:rsidP="00E60F8D">
            <w:pPr>
              <w:jc w:val="both"/>
            </w:pPr>
            <w:r w:rsidRPr="00205AEC">
              <w:rPr>
                <w:rFonts w:cstheme="minorHAnsi"/>
                <w:noProof/>
                <w:vertAlign w:val="superscript"/>
                <w:lang w:val="en-GB"/>
              </w:rPr>
              <w:t>89</w:t>
            </w:r>
            <w:r w:rsidRPr="00205AEC">
              <w:rPr>
                <w:rFonts w:cstheme="minorHAnsi"/>
                <w:noProof/>
                <w:lang w:val="en-GB"/>
              </w:rPr>
              <w:t xml:space="preserve">Zr-TLX250, a chimeric monoclonal antibody (INN name: </w:t>
            </w:r>
            <w:r w:rsidRPr="00205AEC">
              <w:rPr>
                <w:rStyle w:val="Report-type"/>
                <w:rFonts w:cstheme="minorHAnsi"/>
                <w:bCs/>
                <w:lang w:val="en-GB"/>
              </w:rPr>
              <w:t>girentuximab (GTX), synonyms: cG250, TLX250)</w:t>
            </w:r>
            <w:r w:rsidRPr="00205AEC">
              <w:rPr>
                <w:rFonts w:cstheme="minorHAnsi"/>
                <w:noProof/>
                <w:lang w:val="en-GB"/>
              </w:rPr>
              <w:t xml:space="preserve"> with specificity for the CAIX (carbonic anhydrase 9) antigen, radiolabelled with the positron emitting radio-metal zirconium-89 via a NSuc-DFO-TFP-ester (DFO-TFP), linked to lysine residues of GTX, to yield </w:t>
            </w:r>
            <w:r w:rsidRPr="00205AEC">
              <w:rPr>
                <w:rFonts w:cstheme="minorHAnsi"/>
                <w:noProof/>
                <w:vertAlign w:val="superscript"/>
                <w:lang w:val="en-GB"/>
              </w:rPr>
              <w:t>89</w:t>
            </w:r>
            <w:r w:rsidRPr="00205AEC">
              <w:rPr>
                <w:rFonts w:cstheme="minorHAnsi"/>
                <w:noProof/>
                <w:lang w:val="en-GB"/>
              </w:rPr>
              <w:t>Zr-DFO-TFP-GTX.</w:t>
            </w:r>
          </w:p>
        </w:tc>
      </w:tr>
      <w:tr w:rsidR="00E60F8D" w14:paraId="42430C9A" w14:textId="77777777" w:rsidTr="166FC3F4">
        <w:tc>
          <w:tcPr>
            <w:tcW w:w="2405" w:type="dxa"/>
          </w:tcPr>
          <w:p w14:paraId="2EDD174E" w14:textId="48002904" w:rsidR="00E60F8D" w:rsidRPr="0043058C" w:rsidRDefault="00E60F8D" w:rsidP="00E60F8D">
            <w:pPr>
              <w:rPr>
                <w:rFonts w:eastAsia="Times New Roman" w:cs="Arial"/>
                <w:b/>
                <w:noProof/>
                <w:lang w:val="en-GB" w:eastAsia="de-DE"/>
              </w:rPr>
            </w:pPr>
            <w:r>
              <w:rPr>
                <w:b/>
              </w:rPr>
              <w:t>Name of active ingredients</w:t>
            </w:r>
          </w:p>
        </w:tc>
        <w:tc>
          <w:tcPr>
            <w:tcW w:w="6611" w:type="dxa"/>
          </w:tcPr>
          <w:p w14:paraId="4ACBD63C" w14:textId="77777777" w:rsidR="00E60F8D" w:rsidRDefault="00E60F8D" w:rsidP="00E60F8D">
            <w:pPr>
              <w:jc w:val="both"/>
              <w:rPr>
                <w:rFonts w:cs="Arial"/>
                <w:lang w:val="en-GB"/>
              </w:rPr>
            </w:pPr>
            <w:r w:rsidRPr="0043058C">
              <w:rPr>
                <w:rFonts w:cs="Arial"/>
                <w:vertAlign w:val="superscript"/>
                <w:lang w:val="en-GB"/>
              </w:rPr>
              <w:t>89</w:t>
            </w:r>
            <w:r w:rsidRPr="0043058C">
              <w:rPr>
                <w:rFonts w:cs="Arial"/>
                <w:lang w:val="en-GB"/>
              </w:rPr>
              <w:t>Zr-TLX250</w:t>
            </w:r>
            <w:r w:rsidRPr="0043058C">
              <w:rPr>
                <w:rFonts w:cs="Arial"/>
                <w:noProof/>
                <w:lang w:val="en-GB"/>
              </w:rPr>
              <w:t xml:space="preserve"> (synonyms: </w:t>
            </w:r>
            <w:r w:rsidRPr="0043058C">
              <w:rPr>
                <w:rFonts w:cs="Arial"/>
                <w:noProof/>
                <w:vertAlign w:val="superscript"/>
                <w:lang w:val="en-GB"/>
              </w:rPr>
              <w:t>89</w:t>
            </w:r>
            <w:r w:rsidRPr="0043058C">
              <w:rPr>
                <w:rFonts w:cs="Arial"/>
                <w:noProof/>
                <w:lang w:val="en-GB"/>
              </w:rPr>
              <w:t>Zr</w:t>
            </w:r>
            <w:r w:rsidRPr="0043058C">
              <w:rPr>
                <w:rStyle w:val="Report-type"/>
                <w:rFonts w:ascii="Arial" w:hAnsi="Arial" w:cs="Arial"/>
                <w:lang w:val="en-GB"/>
              </w:rPr>
              <w:t>-</w:t>
            </w:r>
            <w:r w:rsidRPr="0043058C">
              <w:rPr>
                <w:rFonts w:cs="Arial"/>
                <w:noProof/>
                <w:lang w:val="en-GB"/>
              </w:rPr>
              <w:t xml:space="preserve">girentuximab, </w:t>
            </w:r>
            <w:r w:rsidRPr="0043058C">
              <w:rPr>
                <w:rFonts w:cs="Arial"/>
                <w:noProof/>
                <w:vertAlign w:val="superscript"/>
                <w:lang w:val="en-GB"/>
              </w:rPr>
              <w:t>89</w:t>
            </w:r>
            <w:r w:rsidRPr="0043058C">
              <w:rPr>
                <w:rFonts w:cs="Arial"/>
                <w:noProof/>
                <w:lang w:val="en-GB"/>
              </w:rPr>
              <w:t>Zr-DFO-TFP-GTX)</w:t>
            </w:r>
          </w:p>
          <w:p w14:paraId="1101A026" w14:textId="77777777" w:rsidR="00B362E3" w:rsidRPr="00B362E3" w:rsidRDefault="00B362E3" w:rsidP="00660135">
            <w:pPr>
              <w:rPr>
                <w:rFonts w:cstheme="minorHAnsi"/>
                <w:lang w:val="en-GB"/>
              </w:rPr>
            </w:pPr>
          </w:p>
          <w:p w14:paraId="72D3CBEC" w14:textId="08E6957D" w:rsidR="00B362E3" w:rsidRPr="00660135" w:rsidRDefault="00B362E3" w:rsidP="00660135">
            <w:pPr>
              <w:rPr>
                <w:rFonts w:cstheme="minorHAnsi"/>
                <w:lang w:val="en-GB"/>
              </w:rPr>
            </w:pPr>
          </w:p>
        </w:tc>
      </w:tr>
      <w:tr w:rsidR="00E60F8D" w14:paraId="50AD7120" w14:textId="77777777" w:rsidTr="166FC3F4">
        <w:tc>
          <w:tcPr>
            <w:tcW w:w="2405" w:type="dxa"/>
          </w:tcPr>
          <w:p w14:paraId="1F26A111" w14:textId="37BE61B8" w:rsidR="00E60F8D" w:rsidRDefault="00E60F8D" w:rsidP="00E60F8D">
            <w:pPr>
              <w:rPr>
                <w:b/>
              </w:rPr>
            </w:pPr>
            <w:r>
              <w:rPr>
                <w:b/>
              </w:rPr>
              <w:lastRenderedPageBreak/>
              <w:t>Doses</w:t>
            </w:r>
          </w:p>
        </w:tc>
        <w:tc>
          <w:tcPr>
            <w:tcW w:w="6611" w:type="dxa"/>
          </w:tcPr>
          <w:p w14:paraId="27FDDA53" w14:textId="1C73E67C" w:rsidR="00E60F8D" w:rsidRPr="0043058C" w:rsidRDefault="00E60F8D" w:rsidP="00E60F8D">
            <w:pPr>
              <w:jc w:val="both"/>
              <w:rPr>
                <w:rFonts w:cs="Arial"/>
                <w:vertAlign w:val="superscript"/>
                <w:lang w:val="en-GB"/>
              </w:rPr>
            </w:pPr>
            <w:r>
              <w:rPr>
                <w:color w:val="000000"/>
                <w:shd w:val="clear" w:color="auto" w:fill="FFFFFF"/>
              </w:rPr>
              <w:t>A</w:t>
            </w:r>
            <w:r w:rsidRPr="5B433211">
              <w:rPr>
                <w:color w:val="000000"/>
                <w:shd w:val="clear" w:color="auto" w:fill="FFFFFF"/>
              </w:rPr>
              <w:t xml:space="preserve"> single slow intravenous administration of</w:t>
            </w:r>
            <w:r>
              <w:rPr>
                <w:color w:val="000000"/>
                <w:shd w:val="clear" w:color="auto" w:fill="FFFFFF"/>
              </w:rPr>
              <w:t xml:space="preserve"> 37 mBq (</w:t>
            </w:r>
            <w:r>
              <w:t>± 10%)</w:t>
            </w:r>
            <w:r>
              <w:rPr>
                <w:color w:val="000000"/>
                <w:shd w:val="clear" w:color="auto" w:fill="FFFFFF"/>
              </w:rPr>
              <w:t xml:space="preserve"> </w:t>
            </w:r>
            <w:r>
              <w:rPr>
                <w:vertAlign w:val="superscript"/>
              </w:rPr>
              <w:t>89</w:t>
            </w:r>
            <w:r>
              <w:t>Zr-TLX250</w:t>
            </w:r>
            <w:r>
              <w:rPr>
                <w:color w:val="000000"/>
                <w:shd w:val="clear" w:color="auto" w:fill="FFFFFF"/>
              </w:rPr>
              <w:t>, containing a mass dose of 10 mg of girentuximab.</w:t>
            </w:r>
          </w:p>
        </w:tc>
      </w:tr>
      <w:tr w:rsidR="00E60F8D" w14:paraId="3244E49F" w14:textId="77777777" w:rsidTr="166FC3F4">
        <w:tc>
          <w:tcPr>
            <w:tcW w:w="2405" w:type="dxa"/>
          </w:tcPr>
          <w:p w14:paraId="601CE6B0" w14:textId="71E5C6AE" w:rsidR="00E60F8D" w:rsidRPr="000F5C29" w:rsidRDefault="00E60F8D" w:rsidP="00E60F8D">
            <w:pPr>
              <w:rPr>
                <w:b/>
              </w:rPr>
            </w:pPr>
            <w:r>
              <w:rPr>
                <w:b/>
              </w:rPr>
              <w:t>Route of Administration</w:t>
            </w:r>
          </w:p>
        </w:tc>
        <w:tc>
          <w:tcPr>
            <w:tcW w:w="6611" w:type="dxa"/>
          </w:tcPr>
          <w:p w14:paraId="4FCACDC5" w14:textId="7FD58F47" w:rsidR="00E60F8D" w:rsidRDefault="00E60F8D" w:rsidP="00E60F8D">
            <w:pPr>
              <w:jc w:val="both"/>
            </w:pPr>
            <w:r>
              <w:rPr>
                <w:rFonts w:cstheme="minorHAnsi"/>
                <w:noProof/>
                <w:lang w:val="en-GB"/>
              </w:rPr>
              <w:t>A slow intravenous injection over 3 minutes.</w:t>
            </w:r>
          </w:p>
        </w:tc>
      </w:tr>
      <w:tr w:rsidR="00E60F8D" w14:paraId="184F33B3" w14:textId="77777777" w:rsidTr="166FC3F4">
        <w:tc>
          <w:tcPr>
            <w:tcW w:w="2405" w:type="dxa"/>
          </w:tcPr>
          <w:p w14:paraId="6D79F68F" w14:textId="317F1526" w:rsidR="00E60F8D" w:rsidRPr="000F5C29" w:rsidRDefault="00E60F8D" w:rsidP="00E60F8D">
            <w:pPr>
              <w:rPr>
                <w:b/>
              </w:rPr>
            </w:pPr>
            <w:r>
              <w:rPr>
                <w:b/>
              </w:rPr>
              <w:t>Duration of treatment</w:t>
            </w:r>
          </w:p>
        </w:tc>
        <w:tc>
          <w:tcPr>
            <w:tcW w:w="6611" w:type="dxa"/>
          </w:tcPr>
          <w:p w14:paraId="7AF4B1A0" w14:textId="339943C7" w:rsidR="00E60F8D" w:rsidRDefault="00E60F8D" w:rsidP="00E60F8D">
            <w:pPr>
              <w:jc w:val="both"/>
            </w:pPr>
            <w:r w:rsidRPr="0043058C">
              <w:rPr>
                <w:rFonts w:cs="Arial"/>
                <w:noProof/>
                <w:lang w:val="en-GB"/>
              </w:rPr>
              <w:t>Single diagnostic administration, followed by a diagnostic scan on Day 5 ± 2 days</w:t>
            </w:r>
            <w:r>
              <w:rPr>
                <w:rFonts w:cs="Arial"/>
                <w:noProof/>
                <w:lang w:val="en-GB"/>
              </w:rPr>
              <w:t>.</w:t>
            </w:r>
          </w:p>
        </w:tc>
      </w:tr>
      <w:tr w:rsidR="00E60F8D" w14:paraId="1F43128C" w14:textId="77777777" w:rsidTr="166FC3F4">
        <w:tc>
          <w:tcPr>
            <w:tcW w:w="2405" w:type="dxa"/>
          </w:tcPr>
          <w:p w14:paraId="2A3E8F1F" w14:textId="77777777" w:rsidR="00E60F8D" w:rsidRPr="000F5C29" w:rsidRDefault="00E60F8D" w:rsidP="00E60F8D">
            <w:pPr>
              <w:rPr>
                <w:b/>
              </w:rPr>
            </w:pPr>
            <w:r w:rsidRPr="000F5C29">
              <w:rPr>
                <w:b/>
              </w:rPr>
              <w:t>Study design</w:t>
            </w:r>
          </w:p>
        </w:tc>
        <w:tc>
          <w:tcPr>
            <w:tcW w:w="6611" w:type="dxa"/>
          </w:tcPr>
          <w:p w14:paraId="7EDC075D" w14:textId="3B51611F" w:rsidR="00E60F8D" w:rsidRDefault="00E60F8D" w:rsidP="00E60F8D">
            <w:pPr>
              <w:jc w:val="both"/>
            </w:pPr>
            <w:r>
              <w:t xml:space="preserve">Non-randomized, non-blinded comparison of </w:t>
            </w:r>
            <w:r>
              <w:rPr>
                <w:vertAlign w:val="superscript"/>
              </w:rPr>
              <w:t>89</w:t>
            </w:r>
            <w:r>
              <w:t>Zr-TLX250 PET/CT with FDG PET/CT</w:t>
            </w:r>
          </w:p>
        </w:tc>
      </w:tr>
      <w:tr w:rsidR="00E60F8D" w14:paraId="528640A2" w14:textId="77777777" w:rsidTr="166FC3F4">
        <w:tc>
          <w:tcPr>
            <w:tcW w:w="2405" w:type="dxa"/>
          </w:tcPr>
          <w:p w14:paraId="12AED8A7" w14:textId="77777777" w:rsidR="00E60F8D" w:rsidRPr="000F5C29" w:rsidRDefault="00E60F8D" w:rsidP="00E60F8D">
            <w:pPr>
              <w:rPr>
                <w:b/>
              </w:rPr>
            </w:pPr>
            <w:r w:rsidRPr="000F5C29">
              <w:rPr>
                <w:b/>
              </w:rPr>
              <w:t xml:space="preserve">Number of patients </w:t>
            </w:r>
          </w:p>
        </w:tc>
        <w:tc>
          <w:tcPr>
            <w:tcW w:w="6611" w:type="dxa"/>
          </w:tcPr>
          <w:p w14:paraId="4B73E586" w14:textId="56DFE102" w:rsidR="00E60F8D" w:rsidRDefault="00E60F8D" w:rsidP="00E60F8D">
            <w:pPr>
              <w:jc w:val="both"/>
            </w:pPr>
            <w:r>
              <w:t>20 (10 patients with known metastatic urothelial carcinoma or bladder cancer and 10 patients who require primary staging of localized urothelial carcinoma or bladder cancer)</w:t>
            </w:r>
          </w:p>
        </w:tc>
      </w:tr>
      <w:tr w:rsidR="00E60F8D" w14:paraId="1352032E" w14:textId="77777777" w:rsidTr="166FC3F4">
        <w:tc>
          <w:tcPr>
            <w:tcW w:w="2405" w:type="dxa"/>
          </w:tcPr>
          <w:p w14:paraId="3BC1D031" w14:textId="77777777" w:rsidR="00E60F8D" w:rsidRPr="000F5C29" w:rsidRDefault="00E60F8D" w:rsidP="00E60F8D">
            <w:pPr>
              <w:rPr>
                <w:b/>
              </w:rPr>
            </w:pPr>
            <w:r w:rsidRPr="000F5C29">
              <w:rPr>
                <w:b/>
              </w:rPr>
              <w:t>Study population</w:t>
            </w:r>
          </w:p>
        </w:tc>
        <w:tc>
          <w:tcPr>
            <w:tcW w:w="6611" w:type="dxa"/>
          </w:tcPr>
          <w:p w14:paraId="7E2EFDCC" w14:textId="5407B59F" w:rsidR="00E60F8D" w:rsidRDefault="00E60F8D" w:rsidP="00E60F8D">
            <w:pPr>
              <w:jc w:val="both"/>
            </w:pPr>
            <w:r>
              <w:t xml:space="preserve">Patients with histopathologically diagnosed bladder cancer or urothelial carcinoma already being staged with FDG PET/CT or those with known FDG positive metastatic disease, who are willing to undergo an additional </w:t>
            </w:r>
            <w:r>
              <w:rPr>
                <w:vertAlign w:val="superscript"/>
              </w:rPr>
              <w:t>89</w:t>
            </w:r>
            <w:r>
              <w:t>Zr-TLX250 PET/CT</w:t>
            </w:r>
          </w:p>
        </w:tc>
      </w:tr>
      <w:tr w:rsidR="00E60F8D" w14:paraId="2151C327" w14:textId="77777777" w:rsidTr="166FC3F4">
        <w:tc>
          <w:tcPr>
            <w:tcW w:w="2405" w:type="dxa"/>
          </w:tcPr>
          <w:p w14:paraId="57565E25" w14:textId="77777777" w:rsidR="00E60F8D" w:rsidRPr="000F5C29" w:rsidRDefault="00E60F8D" w:rsidP="00E60F8D">
            <w:pPr>
              <w:rPr>
                <w:b/>
              </w:rPr>
            </w:pPr>
            <w:r w:rsidRPr="000F5C29">
              <w:rPr>
                <w:b/>
              </w:rPr>
              <w:t>Inclusion criteria</w:t>
            </w:r>
          </w:p>
        </w:tc>
        <w:tc>
          <w:tcPr>
            <w:tcW w:w="6611" w:type="dxa"/>
          </w:tcPr>
          <w:p w14:paraId="5FF06663" w14:textId="0AA62C08" w:rsidR="00E60F8D" w:rsidRDefault="00E60F8D" w:rsidP="00E60F8D">
            <w:pPr>
              <w:pStyle w:val="ListParagraph"/>
              <w:numPr>
                <w:ilvl w:val="0"/>
                <w:numId w:val="4"/>
              </w:numPr>
              <w:jc w:val="both"/>
            </w:pPr>
            <w:r>
              <w:t xml:space="preserve">Patients aged 18 or older with bladder cancer or urothelial carcinoma who are able to provide informed consent </w:t>
            </w:r>
          </w:p>
          <w:p w14:paraId="5361BA4F" w14:textId="1E01050F" w:rsidR="00E60F8D" w:rsidRDefault="00E60F8D" w:rsidP="00E60F8D">
            <w:pPr>
              <w:pStyle w:val="ListParagraph"/>
              <w:numPr>
                <w:ilvl w:val="0"/>
                <w:numId w:val="4"/>
              </w:numPr>
              <w:jc w:val="both"/>
            </w:pPr>
            <w:r>
              <w:t xml:space="preserve">Negative serum pregnancy test in female patients of childbearing potential at screening. Confirmation of negative pregnancy test result from urine within 24 hours prior to receiving investigational product. </w:t>
            </w:r>
          </w:p>
          <w:p w14:paraId="4C08C891" w14:textId="35092A03" w:rsidR="00E60F8D" w:rsidRPr="008F31B4" w:rsidRDefault="00E60F8D" w:rsidP="00E60F8D">
            <w:pPr>
              <w:pStyle w:val="ListParagraph"/>
              <w:numPr>
                <w:ilvl w:val="0"/>
                <w:numId w:val="4"/>
              </w:numPr>
              <w:jc w:val="both"/>
            </w:pPr>
            <w:r>
              <w:t xml:space="preserve">Consent to practise double-barrier contraception until a minimum of 42 days after </w:t>
            </w:r>
            <w:r>
              <w:rPr>
                <w:vertAlign w:val="superscript"/>
              </w:rPr>
              <w:t>89</w:t>
            </w:r>
            <w:r>
              <w:t>Zr-TLX250 administration.</w:t>
            </w:r>
          </w:p>
        </w:tc>
      </w:tr>
      <w:tr w:rsidR="00E60F8D" w:rsidRPr="00CA5EC5" w14:paraId="3F584665" w14:textId="77777777" w:rsidTr="166FC3F4">
        <w:tc>
          <w:tcPr>
            <w:tcW w:w="2405" w:type="dxa"/>
          </w:tcPr>
          <w:p w14:paraId="3493AA0E" w14:textId="77777777" w:rsidR="00E60F8D" w:rsidRPr="000F5C29" w:rsidRDefault="00E60F8D" w:rsidP="00E60F8D">
            <w:pPr>
              <w:jc w:val="both"/>
              <w:rPr>
                <w:rFonts w:cstheme="minorHAnsi"/>
                <w:b/>
              </w:rPr>
            </w:pPr>
            <w:r w:rsidRPr="000F5C29">
              <w:rPr>
                <w:rFonts w:cstheme="minorHAnsi"/>
                <w:b/>
              </w:rPr>
              <w:t>Exclusion criteria</w:t>
            </w:r>
          </w:p>
        </w:tc>
        <w:tc>
          <w:tcPr>
            <w:tcW w:w="6611" w:type="dxa"/>
          </w:tcPr>
          <w:p w14:paraId="11B4359A" w14:textId="4ABF49B4" w:rsidR="00E60F8D" w:rsidRPr="00CA5EC5" w:rsidRDefault="00E60F8D" w:rsidP="00E60F8D">
            <w:pPr>
              <w:pStyle w:val="ListParagraph"/>
              <w:numPr>
                <w:ilvl w:val="0"/>
                <w:numId w:val="2"/>
              </w:numPr>
              <w:tabs>
                <w:tab w:val="left" w:pos="1185"/>
              </w:tabs>
              <w:jc w:val="both"/>
            </w:pPr>
            <w:r w:rsidRPr="5B433211">
              <w:t xml:space="preserve">Active malignancy other than urothelial carcinoma </w:t>
            </w:r>
            <w:r>
              <w:t>or bladder cancer</w:t>
            </w:r>
          </w:p>
          <w:p w14:paraId="70D77317" w14:textId="561C1F02" w:rsidR="00E60F8D" w:rsidRPr="00CA5EC5" w:rsidRDefault="00E60F8D" w:rsidP="00E60F8D">
            <w:pPr>
              <w:pStyle w:val="ListParagraph"/>
              <w:numPr>
                <w:ilvl w:val="0"/>
                <w:numId w:val="2"/>
              </w:numPr>
              <w:tabs>
                <w:tab w:val="left" w:pos="1185"/>
              </w:tabs>
              <w:jc w:val="both"/>
            </w:pPr>
            <w:r w:rsidRPr="740C3A20">
              <w:t>Administration of a radioisotope within 10 physical half-lives prior to study enrolment</w:t>
            </w:r>
            <w:r>
              <w:t xml:space="preserve">. </w:t>
            </w:r>
          </w:p>
          <w:p w14:paraId="5170536F" w14:textId="22DDBC09" w:rsidR="00E60F8D" w:rsidRPr="00A503FA" w:rsidRDefault="00E60F8D" w:rsidP="00E60F8D">
            <w:pPr>
              <w:pStyle w:val="ListParagraph"/>
              <w:numPr>
                <w:ilvl w:val="0"/>
                <w:numId w:val="2"/>
              </w:numPr>
              <w:tabs>
                <w:tab w:val="left" w:pos="1185"/>
              </w:tabs>
              <w:jc w:val="both"/>
            </w:pPr>
            <w:r w:rsidRPr="740C3A20">
              <w:t xml:space="preserve">Administration of chemotherapy, radiotherapy, or immunotherapy within 4 weeks prior to planned administration of </w:t>
            </w:r>
            <w:r>
              <w:rPr>
                <w:vertAlign w:val="superscript"/>
              </w:rPr>
              <w:t>89</w:t>
            </w:r>
            <w:r>
              <w:t xml:space="preserve">Zr-TLX250 </w:t>
            </w:r>
            <w:r w:rsidRPr="740C3A20">
              <w:t xml:space="preserve">or continuing adverse effects from such therapy </w:t>
            </w:r>
          </w:p>
          <w:p w14:paraId="5530370E" w14:textId="617F748D" w:rsidR="00E60F8D" w:rsidRPr="00A503FA" w:rsidRDefault="00E60F8D" w:rsidP="00E60F8D">
            <w:pPr>
              <w:pStyle w:val="ListParagraph"/>
              <w:numPr>
                <w:ilvl w:val="0"/>
                <w:numId w:val="2"/>
              </w:numPr>
              <w:tabs>
                <w:tab w:val="left" w:pos="1185"/>
              </w:tabs>
              <w:jc w:val="both"/>
            </w:pPr>
            <w:r w:rsidRPr="740C3A20">
              <w:rPr>
                <w:color w:val="000000"/>
                <w:shd w:val="clear" w:color="auto" w:fill="FFFFFF"/>
              </w:rPr>
              <w:lastRenderedPageBreak/>
              <w:t xml:space="preserve">Planned antineoplastic therapies for the period between administration of </w:t>
            </w:r>
            <w:r>
              <w:rPr>
                <w:vertAlign w:val="superscript"/>
              </w:rPr>
              <w:t>89</w:t>
            </w:r>
            <w:r>
              <w:t xml:space="preserve">Zr-TLX250 </w:t>
            </w:r>
            <w:r w:rsidRPr="740C3A20">
              <w:rPr>
                <w:color w:val="000000"/>
                <w:shd w:val="clear" w:color="auto" w:fill="FFFFFF"/>
              </w:rPr>
              <w:t>and imaging</w:t>
            </w:r>
          </w:p>
          <w:p w14:paraId="6A01EB66" w14:textId="77777777" w:rsidR="00E60F8D" w:rsidRPr="00A503FA" w:rsidRDefault="00E60F8D" w:rsidP="00E60F8D">
            <w:pPr>
              <w:pStyle w:val="ListParagraph"/>
              <w:numPr>
                <w:ilvl w:val="0"/>
                <w:numId w:val="2"/>
              </w:numPr>
              <w:tabs>
                <w:tab w:val="left" w:pos="1185"/>
              </w:tabs>
              <w:jc w:val="both"/>
            </w:pPr>
            <w:r w:rsidRPr="740C3A20">
              <w:t xml:space="preserve">Serious non-malignant disease that may interfere with the objectives of the study </w:t>
            </w:r>
          </w:p>
          <w:p w14:paraId="6BA24BA8" w14:textId="62B8F414" w:rsidR="00E60F8D" w:rsidRPr="00A503FA" w:rsidRDefault="00E60F8D" w:rsidP="00E60F8D">
            <w:pPr>
              <w:pStyle w:val="ListParagraph"/>
              <w:numPr>
                <w:ilvl w:val="0"/>
                <w:numId w:val="2"/>
              </w:numPr>
              <w:tabs>
                <w:tab w:val="left" w:pos="1185"/>
              </w:tabs>
              <w:jc w:val="both"/>
            </w:pPr>
            <w:r>
              <w:t>Renal insufficiency with glomerular filtration rate ≤45 mL/min/1.73m</w:t>
            </w:r>
            <w:r w:rsidRPr="740C3A20">
              <w:rPr>
                <w:vertAlign w:val="superscript"/>
              </w:rPr>
              <w:t>2</w:t>
            </w:r>
          </w:p>
          <w:p w14:paraId="05BE0C2D" w14:textId="77777777" w:rsidR="00E60F8D" w:rsidRPr="00CA5EC5" w:rsidRDefault="00E60F8D" w:rsidP="00E60F8D">
            <w:pPr>
              <w:pStyle w:val="ListParagraph"/>
              <w:numPr>
                <w:ilvl w:val="0"/>
                <w:numId w:val="2"/>
              </w:numPr>
              <w:tabs>
                <w:tab w:val="left" w:pos="1185"/>
              </w:tabs>
              <w:jc w:val="both"/>
            </w:pPr>
            <w:r w:rsidRPr="740C3A20">
              <w:t>Pregnancy or lactation</w:t>
            </w:r>
          </w:p>
          <w:p w14:paraId="0601820D" w14:textId="77777777" w:rsidR="00E60F8D" w:rsidRPr="00CA5EC5" w:rsidRDefault="00E60F8D" w:rsidP="00E60F8D">
            <w:pPr>
              <w:pStyle w:val="ListParagraph"/>
              <w:numPr>
                <w:ilvl w:val="0"/>
                <w:numId w:val="2"/>
              </w:numPr>
              <w:tabs>
                <w:tab w:val="left" w:pos="1185"/>
              </w:tabs>
              <w:jc w:val="both"/>
            </w:pPr>
            <w:r w:rsidRPr="740C3A20">
              <w:t>Exposure to murine or chimeric antibodies within the last 5 years</w:t>
            </w:r>
          </w:p>
          <w:p w14:paraId="204767BD" w14:textId="33C6097A" w:rsidR="00E60F8D" w:rsidRPr="00CA5EC5" w:rsidRDefault="00E60F8D" w:rsidP="00E60F8D">
            <w:pPr>
              <w:pStyle w:val="ListParagraph"/>
              <w:numPr>
                <w:ilvl w:val="0"/>
                <w:numId w:val="2"/>
              </w:numPr>
              <w:tabs>
                <w:tab w:val="left" w:pos="1185"/>
              </w:tabs>
              <w:jc w:val="both"/>
            </w:pPr>
            <w:r w:rsidRPr="5B433211">
              <w:t>Known hypersensitivity or human anti-chimeric antibodies against girentuximab</w:t>
            </w:r>
          </w:p>
          <w:p w14:paraId="6A7DCB8F" w14:textId="72217DD7" w:rsidR="00E60F8D" w:rsidRDefault="00E60F8D" w:rsidP="00E60F8D">
            <w:pPr>
              <w:pStyle w:val="ListParagraph"/>
              <w:numPr>
                <w:ilvl w:val="0"/>
                <w:numId w:val="2"/>
              </w:numPr>
              <w:tabs>
                <w:tab w:val="left" w:pos="1185"/>
              </w:tabs>
              <w:jc w:val="both"/>
            </w:pPr>
            <w:r w:rsidRPr="5B433211">
              <w:t xml:space="preserve">Exposure to any experimental diagnostic or therapeutic drug 30 days </w:t>
            </w:r>
            <w:r>
              <w:t>prior to</w:t>
            </w:r>
            <w:r w:rsidRPr="5B433211">
              <w:t xml:space="preserve"> the date of planned administration of </w:t>
            </w:r>
            <w:r>
              <w:rPr>
                <w:vertAlign w:val="superscript"/>
              </w:rPr>
              <w:t>89</w:t>
            </w:r>
            <w:r>
              <w:t xml:space="preserve">Zr-TLX250 </w:t>
            </w:r>
          </w:p>
          <w:p w14:paraId="7DB3BB3C" w14:textId="09E5A19C" w:rsidR="00E60F8D" w:rsidRPr="00CA5EC5" w:rsidRDefault="00E60F8D" w:rsidP="00E60F8D">
            <w:pPr>
              <w:pStyle w:val="ListParagraph"/>
              <w:numPr>
                <w:ilvl w:val="0"/>
                <w:numId w:val="2"/>
              </w:numPr>
              <w:tabs>
                <w:tab w:val="left" w:pos="1185"/>
              </w:tabs>
              <w:jc w:val="both"/>
            </w:pPr>
            <w:r>
              <w:t>Contraindications to FDG PET/CT</w:t>
            </w:r>
          </w:p>
        </w:tc>
      </w:tr>
      <w:tr w:rsidR="00E60F8D" w:rsidRPr="00CA5EC5" w14:paraId="54EF0058" w14:textId="77777777" w:rsidTr="166FC3F4">
        <w:tc>
          <w:tcPr>
            <w:tcW w:w="2405" w:type="dxa"/>
          </w:tcPr>
          <w:p w14:paraId="487C5F11" w14:textId="77777777" w:rsidR="00E60F8D" w:rsidRPr="000F5C29" w:rsidRDefault="00E60F8D" w:rsidP="00E60F8D">
            <w:pPr>
              <w:rPr>
                <w:rFonts w:cstheme="minorHAnsi"/>
                <w:b/>
              </w:rPr>
            </w:pPr>
            <w:r w:rsidRPr="000F5C29">
              <w:rPr>
                <w:rFonts w:cstheme="minorHAnsi"/>
                <w:b/>
              </w:rPr>
              <w:lastRenderedPageBreak/>
              <w:t>Endpoints</w:t>
            </w:r>
          </w:p>
        </w:tc>
        <w:tc>
          <w:tcPr>
            <w:tcW w:w="6611" w:type="dxa"/>
          </w:tcPr>
          <w:p w14:paraId="5F31710D" w14:textId="2631AC84" w:rsidR="00E60F8D" w:rsidRDefault="00E60F8D" w:rsidP="00E60F8D">
            <w:pPr>
              <w:tabs>
                <w:tab w:val="left" w:pos="1185"/>
              </w:tabs>
              <w:jc w:val="both"/>
            </w:pPr>
            <w:r w:rsidRPr="5B433211">
              <w:t xml:space="preserve">Primary </w:t>
            </w:r>
            <w:r>
              <w:t>endpoint</w:t>
            </w:r>
            <w:r w:rsidRPr="5B433211">
              <w:t xml:space="preserve">: </w:t>
            </w:r>
          </w:p>
          <w:p w14:paraId="23679784" w14:textId="2D143C90" w:rsidR="00E60F8D" w:rsidRDefault="00E60F8D" w:rsidP="00E60F8D">
            <w:pPr>
              <w:jc w:val="both"/>
            </w:pPr>
            <w:r w:rsidRPr="00632FB8">
              <w:rPr>
                <w:rFonts w:eastAsiaTheme="minorEastAsia"/>
              </w:rPr>
              <w:t xml:space="preserve">The feasibility of using </w:t>
            </w:r>
            <w:r>
              <w:rPr>
                <w:vertAlign w:val="superscript"/>
              </w:rPr>
              <w:t>89</w:t>
            </w:r>
            <w:r>
              <w:t xml:space="preserve">Zr-TLX250 PET/CT </w:t>
            </w:r>
            <w:r w:rsidRPr="004C4C6E">
              <w:rPr>
                <w:rFonts w:cstheme="minorHAnsi"/>
              </w:rPr>
              <w:t xml:space="preserve">as a diagnostic and staging tool in </w:t>
            </w:r>
            <w:r>
              <w:rPr>
                <w:rFonts w:cstheme="minorHAnsi"/>
              </w:rPr>
              <w:t xml:space="preserve">urothelial carcinoma and </w:t>
            </w:r>
            <w:r w:rsidRPr="004C4C6E">
              <w:rPr>
                <w:rFonts w:cstheme="minorHAnsi"/>
              </w:rPr>
              <w:t>bladder cancer will be</w:t>
            </w:r>
            <w:r w:rsidRPr="00632FB8">
              <w:rPr>
                <w:rFonts w:eastAsiaTheme="minorEastAsia"/>
              </w:rPr>
              <w:t xml:space="preserve"> defined by the ability to recruit to the target sample size within the study duration. This reflects a willingness of clinicians to refer patients for this study and a willingness of patients to undergo</w:t>
            </w:r>
            <w:r>
              <w:rPr>
                <w:rFonts w:eastAsiaTheme="minorEastAsia"/>
              </w:rPr>
              <w:t xml:space="preserve"> </w:t>
            </w:r>
            <w:r>
              <w:rPr>
                <w:vertAlign w:val="superscript"/>
              </w:rPr>
              <w:t>89</w:t>
            </w:r>
            <w:r>
              <w:t xml:space="preserve">Zr-TLX250 PET/CT </w:t>
            </w:r>
            <w:r w:rsidRPr="004C4C6E">
              <w:rPr>
                <w:rFonts w:cstheme="minorHAnsi"/>
              </w:rPr>
              <w:t>as for diagnosis or staging.</w:t>
            </w:r>
            <w:r w:rsidRPr="00632FB8">
              <w:rPr>
                <w:rFonts w:eastAsiaTheme="minorEastAsia"/>
              </w:rPr>
              <w:t xml:space="preserve"> </w:t>
            </w:r>
          </w:p>
          <w:p w14:paraId="1DB409B7" w14:textId="77777777" w:rsidR="00E60F8D" w:rsidRDefault="00E60F8D" w:rsidP="00E60F8D">
            <w:pPr>
              <w:pStyle w:val="ListParagraph"/>
              <w:tabs>
                <w:tab w:val="left" w:pos="1185"/>
              </w:tabs>
              <w:ind w:left="0"/>
              <w:jc w:val="both"/>
            </w:pPr>
          </w:p>
          <w:p w14:paraId="6FF3440F" w14:textId="6466CAC0" w:rsidR="00E60F8D" w:rsidRDefault="00E60F8D" w:rsidP="00E60F8D">
            <w:pPr>
              <w:pStyle w:val="ListParagraph"/>
              <w:tabs>
                <w:tab w:val="left" w:pos="1185"/>
              </w:tabs>
              <w:ind w:left="0"/>
              <w:jc w:val="both"/>
            </w:pPr>
            <w:r w:rsidRPr="5B433211">
              <w:t>Secondary</w:t>
            </w:r>
            <w:r>
              <w:t xml:space="preserve"> endpoints</w:t>
            </w:r>
            <w:r w:rsidRPr="5B433211">
              <w:t>:</w:t>
            </w:r>
          </w:p>
          <w:p w14:paraId="1ED8EC42" w14:textId="12206D16" w:rsidR="00E60F8D" w:rsidRPr="00632FB8" w:rsidRDefault="00E60F8D" w:rsidP="00E60F8D">
            <w:pPr>
              <w:pStyle w:val="ListParagraph"/>
              <w:numPr>
                <w:ilvl w:val="0"/>
                <w:numId w:val="48"/>
              </w:numPr>
              <w:tabs>
                <w:tab w:val="left" w:pos="1185"/>
              </w:tabs>
              <w:jc w:val="both"/>
              <w:rPr>
                <w:rFonts w:eastAsiaTheme="minorEastAsia"/>
              </w:rPr>
            </w:pPr>
            <w:r w:rsidRPr="00632FB8">
              <w:rPr>
                <w:rFonts w:eastAsiaTheme="minorEastAsia"/>
              </w:rPr>
              <w:t>Safety and tolerability</w:t>
            </w:r>
          </w:p>
          <w:p w14:paraId="02EC5448" w14:textId="06C2683B" w:rsidR="00E60F8D" w:rsidRPr="00806D1E" w:rsidRDefault="00E60F8D" w:rsidP="00E60F8D">
            <w:pPr>
              <w:pStyle w:val="ListParagraph"/>
              <w:numPr>
                <w:ilvl w:val="0"/>
                <w:numId w:val="19"/>
              </w:numPr>
              <w:tabs>
                <w:tab w:val="left" w:pos="1185"/>
              </w:tabs>
              <w:jc w:val="both"/>
              <w:rPr>
                <w:rFonts w:eastAsiaTheme="minorEastAsia"/>
              </w:rPr>
            </w:pPr>
            <w:r>
              <w:rPr>
                <w:rFonts w:eastAsiaTheme="minorEastAsia"/>
              </w:rPr>
              <w:t xml:space="preserve">Baseline safety evaluations will be made within 28 days prior to </w:t>
            </w:r>
            <w:r>
              <w:rPr>
                <w:vertAlign w:val="superscript"/>
              </w:rPr>
              <w:t>89</w:t>
            </w:r>
            <w:r>
              <w:t xml:space="preserve">Zr-TLX250 </w:t>
            </w:r>
            <w:r>
              <w:rPr>
                <w:rFonts w:eastAsiaTheme="minorEastAsia"/>
              </w:rPr>
              <w:t xml:space="preserve">administration. This would include vital signs, standard laboratory (full blood count, renal function, basic electrolytes and liver function test), 12-lead ECG and concomitant medication recording. </w:t>
            </w:r>
          </w:p>
          <w:p w14:paraId="3F69F964" w14:textId="12D35BD8" w:rsidR="00E60F8D" w:rsidRPr="00806D1E" w:rsidRDefault="00E60F8D" w:rsidP="00E60F8D">
            <w:pPr>
              <w:pStyle w:val="ListParagraph"/>
              <w:numPr>
                <w:ilvl w:val="0"/>
                <w:numId w:val="18"/>
              </w:numPr>
              <w:tabs>
                <w:tab w:val="left" w:pos="1185"/>
              </w:tabs>
              <w:jc w:val="both"/>
            </w:pPr>
            <w:r>
              <w:rPr>
                <w:rFonts w:eastAsiaTheme="minorEastAsia"/>
              </w:rPr>
              <w:t>Vital signs</w:t>
            </w:r>
            <w:r w:rsidRPr="00806D1E">
              <w:rPr>
                <w:rFonts w:eastAsiaTheme="minorEastAsia"/>
              </w:rPr>
              <w:t xml:space="preserve"> will be </w:t>
            </w:r>
            <w:r>
              <w:rPr>
                <w:rFonts w:eastAsiaTheme="minorEastAsia"/>
              </w:rPr>
              <w:t>recorded</w:t>
            </w:r>
            <w:r w:rsidRPr="00806D1E">
              <w:rPr>
                <w:rFonts w:eastAsiaTheme="minorEastAsia"/>
              </w:rPr>
              <w:t xml:space="preserve"> before and after administration of </w:t>
            </w:r>
            <w:r>
              <w:rPr>
                <w:vertAlign w:val="superscript"/>
              </w:rPr>
              <w:t>89</w:t>
            </w:r>
            <w:r>
              <w:t>Zr-TLX250</w:t>
            </w:r>
            <w:r w:rsidRPr="00806D1E">
              <w:rPr>
                <w:rFonts w:eastAsiaTheme="minorEastAsia"/>
              </w:rPr>
              <w:t>.</w:t>
            </w:r>
            <w:r>
              <w:rPr>
                <w:rFonts w:eastAsiaTheme="minorEastAsia"/>
              </w:rPr>
              <w:t xml:space="preserve"> 12-lead ECG and adverse event recording (</w:t>
            </w:r>
            <w:r>
              <w:t>NCI-CTC v 5.0)</w:t>
            </w:r>
            <w:r>
              <w:rPr>
                <w:rFonts w:eastAsiaTheme="minorEastAsia"/>
              </w:rPr>
              <w:t xml:space="preserve"> will be performed post administration. </w:t>
            </w:r>
            <w:r w:rsidRPr="00806D1E">
              <w:rPr>
                <w:rFonts w:eastAsiaTheme="minorEastAsia"/>
              </w:rPr>
              <w:t xml:space="preserve"> </w:t>
            </w:r>
          </w:p>
          <w:p w14:paraId="5F9143C0" w14:textId="46B6EDB0" w:rsidR="00E60F8D" w:rsidRPr="00806D1E" w:rsidRDefault="00E60F8D" w:rsidP="00E60F8D">
            <w:pPr>
              <w:pStyle w:val="ListParagraph"/>
              <w:numPr>
                <w:ilvl w:val="0"/>
                <w:numId w:val="18"/>
              </w:numPr>
              <w:tabs>
                <w:tab w:val="left" w:pos="1185"/>
              </w:tabs>
              <w:jc w:val="both"/>
            </w:pPr>
            <w:r w:rsidRPr="00806D1E">
              <w:rPr>
                <w:rFonts w:eastAsiaTheme="minorEastAsia"/>
              </w:rPr>
              <w:t xml:space="preserve">Safety evaluations will also be made at follow-up </w:t>
            </w:r>
            <w:r>
              <w:rPr>
                <w:rFonts w:eastAsiaTheme="minorEastAsia"/>
              </w:rPr>
              <w:t xml:space="preserve">phone consult </w:t>
            </w:r>
            <w:r w:rsidRPr="00806D1E">
              <w:rPr>
                <w:rFonts w:eastAsiaTheme="minorEastAsia"/>
              </w:rPr>
              <w:t>post PET</w:t>
            </w:r>
            <w:r>
              <w:rPr>
                <w:rFonts w:eastAsiaTheme="minorEastAsia"/>
              </w:rPr>
              <w:t xml:space="preserve">/CT 14 days (or prior to commencement of chemotherapy or surgery) post administration of </w:t>
            </w:r>
            <w:r>
              <w:rPr>
                <w:vertAlign w:val="superscript"/>
              </w:rPr>
              <w:t>89</w:t>
            </w:r>
            <w:r>
              <w:t xml:space="preserve">Zr-TLX250. </w:t>
            </w:r>
            <w:r>
              <w:rPr>
                <w:rFonts w:eastAsiaTheme="minorEastAsia"/>
              </w:rPr>
              <w:t>Safety evaluations would include enquiring about any current symptom, concomitant medication recording and adverse event recording (</w:t>
            </w:r>
            <w:r>
              <w:t>NCI-CTC v 5.0).</w:t>
            </w:r>
          </w:p>
          <w:p w14:paraId="672ACAF5" w14:textId="37541299" w:rsidR="00E60F8D" w:rsidRDefault="00E60F8D" w:rsidP="00E60F8D">
            <w:pPr>
              <w:pStyle w:val="ListParagraph"/>
              <w:numPr>
                <w:ilvl w:val="0"/>
                <w:numId w:val="48"/>
              </w:numPr>
              <w:tabs>
                <w:tab w:val="left" w:pos="1185"/>
              </w:tabs>
              <w:jc w:val="both"/>
              <w:rPr>
                <w:rFonts w:cstheme="minorHAnsi"/>
              </w:rPr>
            </w:pPr>
            <w:r>
              <w:t xml:space="preserve">Effectiveness of </w:t>
            </w:r>
            <w:r>
              <w:rPr>
                <w:vertAlign w:val="superscript"/>
              </w:rPr>
              <w:t>89</w:t>
            </w:r>
            <w:r>
              <w:t xml:space="preserve">Zr-TLX250 PET/CT </w:t>
            </w:r>
            <w:r>
              <w:rPr>
                <w:rFonts w:cstheme="minorHAnsi"/>
              </w:rPr>
              <w:t>vs FDG PET/CT in detecting metastatic or localized urothelial carcinoma and bladder cancer</w:t>
            </w:r>
          </w:p>
          <w:p w14:paraId="16BCCD03" w14:textId="003E1756" w:rsidR="00E60F8D" w:rsidRDefault="00E60F8D" w:rsidP="00E60F8D">
            <w:pPr>
              <w:pStyle w:val="ListParagraph"/>
              <w:numPr>
                <w:ilvl w:val="0"/>
                <w:numId w:val="21"/>
              </w:numPr>
              <w:tabs>
                <w:tab w:val="left" w:pos="1185"/>
              </w:tabs>
              <w:jc w:val="both"/>
              <w:rPr>
                <w:rFonts w:cstheme="minorHAnsi"/>
              </w:rPr>
            </w:pPr>
            <w:r>
              <w:rPr>
                <w:rFonts w:cstheme="minorHAnsi"/>
              </w:rPr>
              <w:t xml:space="preserve">Qualitative </w:t>
            </w:r>
            <w:r>
              <w:rPr>
                <w:vertAlign w:val="superscript"/>
              </w:rPr>
              <w:t>89</w:t>
            </w:r>
            <w:r>
              <w:t xml:space="preserve">Zr-TLX250 </w:t>
            </w:r>
            <w:r>
              <w:rPr>
                <w:rFonts w:cstheme="minorHAnsi"/>
              </w:rPr>
              <w:t>vs FDG tumour targeting</w:t>
            </w:r>
          </w:p>
          <w:p w14:paraId="10E6F69E" w14:textId="1EF5DAC2" w:rsidR="00E60F8D" w:rsidRDefault="00E60F8D" w:rsidP="00E60F8D">
            <w:pPr>
              <w:pStyle w:val="ListParagraph"/>
              <w:numPr>
                <w:ilvl w:val="1"/>
                <w:numId w:val="21"/>
              </w:numPr>
              <w:tabs>
                <w:tab w:val="left" w:pos="1185"/>
              </w:tabs>
              <w:jc w:val="both"/>
              <w:rPr>
                <w:rFonts w:cstheme="minorHAnsi"/>
              </w:rPr>
            </w:pPr>
            <w:r>
              <w:rPr>
                <w:vertAlign w:val="superscript"/>
              </w:rPr>
              <w:t>89</w:t>
            </w:r>
            <w:r>
              <w:t xml:space="preserve">Zr-TLX250 </w:t>
            </w:r>
            <w:r>
              <w:rPr>
                <w:rFonts w:cstheme="minorHAnsi"/>
              </w:rPr>
              <w:t xml:space="preserve">tumour uptake will be qualitatively assessed (yes/no), considering whether or not </w:t>
            </w:r>
            <w:r>
              <w:rPr>
                <w:vertAlign w:val="superscript"/>
              </w:rPr>
              <w:t>89</w:t>
            </w:r>
            <w:r>
              <w:t>Zr-TLX250</w:t>
            </w:r>
            <w:r>
              <w:rPr>
                <w:rFonts w:cstheme="minorHAnsi"/>
              </w:rPr>
              <w:t xml:space="preserve"> binding is seen in lymph nodes or distant visceral organs. </w:t>
            </w:r>
          </w:p>
          <w:p w14:paraId="7531E1B8" w14:textId="252E4AF3" w:rsidR="00E60F8D" w:rsidRDefault="00E60F8D" w:rsidP="00E60F8D">
            <w:pPr>
              <w:pStyle w:val="ListParagraph"/>
              <w:numPr>
                <w:ilvl w:val="1"/>
                <w:numId w:val="21"/>
              </w:numPr>
              <w:tabs>
                <w:tab w:val="left" w:pos="1185"/>
              </w:tabs>
              <w:jc w:val="both"/>
              <w:rPr>
                <w:rFonts w:cstheme="minorHAnsi"/>
              </w:rPr>
            </w:pPr>
            <w:r>
              <w:rPr>
                <w:rFonts w:cstheme="minorHAnsi"/>
              </w:rPr>
              <w:t>FDG tumour uptake will be qualitatively assessed (yes/no), considering whether or not FDG binding is seen in lymph nodes or distant visceral organs.</w:t>
            </w:r>
          </w:p>
          <w:p w14:paraId="089FD319" w14:textId="437E5F4C" w:rsidR="00E60F8D" w:rsidRDefault="00E60F8D" w:rsidP="00E60F8D">
            <w:pPr>
              <w:pStyle w:val="ListParagraph"/>
              <w:numPr>
                <w:ilvl w:val="0"/>
                <w:numId w:val="21"/>
              </w:numPr>
              <w:tabs>
                <w:tab w:val="left" w:pos="1185"/>
              </w:tabs>
              <w:jc w:val="both"/>
              <w:rPr>
                <w:rFonts w:cstheme="minorHAnsi"/>
              </w:rPr>
            </w:pPr>
            <w:r>
              <w:rPr>
                <w:rFonts w:cstheme="minorHAnsi"/>
              </w:rPr>
              <w:lastRenderedPageBreak/>
              <w:t xml:space="preserve">Quantitative </w:t>
            </w:r>
            <w:r>
              <w:rPr>
                <w:vertAlign w:val="superscript"/>
              </w:rPr>
              <w:t>89</w:t>
            </w:r>
            <w:r>
              <w:t xml:space="preserve">Zr-TLX250 </w:t>
            </w:r>
            <w:r>
              <w:rPr>
                <w:rFonts w:cstheme="minorHAnsi"/>
              </w:rPr>
              <w:t>vs FDG tumour targeting</w:t>
            </w:r>
          </w:p>
          <w:p w14:paraId="434EE3AD" w14:textId="192D0C2C" w:rsidR="00E60F8D" w:rsidRDefault="00E60F8D" w:rsidP="00E60F8D">
            <w:pPr>
              <w:pStyle w:val="ListParagraph"/>
              <w:tabs>
                <w:tab w:val="left" w:pos="1185"/>
              </w:tabs>
              <w:ind w:left="1440"/>
              <w:jc w:val="both"/>
              <w:rPr>
                <w:rFonts w:cstheme="minorHAnsi"/>
              </w:rPr>
            </w:pPr>
            <w:r>
              <w:rPr>
                <w:rFonts w:cstheme="minorHAnsi"/>
              </w:rPr>
              <w:t>T</w:t>
            </w:r>
            <w:r w:rsidRPr="00AE1360">
              <w:rPr>
                <w:rFonts w:cstheme="minorHAnsi"/>
              </w:rPr>
              <w:t>umour vs mediastinal uptake ratio</w:t>
            </w:r>
            <w:r>
              <w:rPr>
                <w:rFonts w:cstheme="minorHAnsi"/>
              </w:rPr>
              <w:t xml:space="preserve"> for </w:t>
            </w:r>
            <w:r>
              <w:rPr>
                <w:vertAlign w:val="superscript"/>
              </w:rPr>
              <w:t>89</w:t>
            </w:r>
            <w:r>
              <w:t>Zr-TLX250</w:t>
            </w:r>
            <w:r w:rsidRPr="00AE1360">
              <w:rPr>
                <w:rFonts w:cstheme="minorHAnsi"/>
              </w:rPr>
              <w:t xml:space="preserve"> PET</w:t>
            </w:r>
            <w:r>
              <w:rPr>
                <w:rFonts w:cstheme="minorHAnsi"/>
              </w:rPr>
              <w:t>/CT</w:t>
            </w:r>
            <w:r w:rsidRPr="00AE1360">
              <w:rPr>
                <w:rFonts w:cstheme="minorHAnsi"/>
              </w:rPr>
              <w:t xml:space="preserve"> </w:t>
            </w:r>
            <w:r>
              <w:rPr>
                <w:rFonts w:cstheme="minorHAnsi"/>
              </w:rPr>
              <w:t xml:space="preserve">and FDG PET/CT will be calculated and compared. </w:t>
            </w:r>
          </w:p>
          <w:p w14:paraId="18FA5F39" w14:textId="7ADE20BD" w:rsidR="00E60F8D" w:rsidRDefault="00E60F8D" w:rsidP="00E60F8D">
            <w:pPr>
              <w:pStyle w:val="ListParagraph"/>
              <w:numPr>
                <w:ilvl w:val="0"/>
                <w:numId w:val="48"/>
              </w:numPr>
              <w:tabs>
                <w:tab w:val="left" w:pos="1185"/>
              </w:tabs>
              <w:jc w:val="both"/>
            </w:pPr>
            <w:r>
              <w:t xml:space="preserve">Sensitivity and specificity of </w:t>
            </w:r>
            <w:r>
              <w:rPr>
                <w:vertAlign w:val="superscript"/>
              </w:rPr>
              <w:t>89</w:t>
            </w:r>
            <w:r>
              <w:t xml:space="preserve">Zr-TLX250 PET/CT vs FDG PET/CT in detecting lymph node metastases in urothelial carcinoma or bladder cancer. </w:t>
            </w:r>
          </w:p>
          <w:p w14:paraId="6E32BFB1" w14:textId="2B642DB4" w:rsidR="00E60F8D" w:rsidRPr="00F27F80" w:rsidRDefault="00E60F8D" w:rsidP="00E60F8D">
            <w:pPr>
              <w:pStyle w:val="ListParagraph"/>
              <w:numPr>
                <w:ilvl w:val="0"/>
                <w:numId w:val="23"/>
              </w:numPr>
              <w:tabs>
                <w:tab w:val="left" w:pos="1185"/>
              </w:tabs>
              <w:jc w:val="both"/>
              <w:rPr>
                <w:rFonts w:cstheme="minorHAnsi"/>
              </w:rPr>
            </w:pPr>
            <w:r>
              <w:t>PET/CT results will be correlated with pelvic lymphadenectomy histopathological findings in those undergoing radical cystectomy</w:t>
            </w:r>
          </w:p>
          <w:p w14:paraId="6FF4D70D" w14:textId="7315E66D" w:rsidR="00E60F8D" w:rsidRDefault="00E60F8D" w:rsidP="00E60F8D">
            <w:pPr>
              <w:pStyle w:val="ListParagraph"/>
              <w:numPr>
                <w:ilvl w:val="0"/>
                <w:numId w:val="4"/>
              </w:numPr>
              <w:tabs>
                <w:tab w:val="left" w:pos="1185"/>
              </w:tabs>
              <w:jc w:val="both"/>
            </w:pPr>
            <w:r>
              <w:t xml:space="preserve">Evidence for </w:t>
            </w:r>
            <w:r>
              <w:rPr>
                <w:vertAlign w:val="superscript"/>
              </w:rPr>
              <w:t>89</w:t>
            </w:r>
            <w:r>
              <w:t>Zr-TLX250 PET/CT vs FDG PET/CT in detecting primary bladder cancer</w:t>
            </w:r>
          </w:p>
          <w:p w14:paraId="6117564B" w14:textId="18B08E7A" w:rsidR="00E60F8D" w:rsidRDefault="00E60F8D" w:rsidP="00E60F8D">
            <w:pPr>
              <w:pStyle w:val="ListParagraph"/>
              <w:numPr>
                <w:ilvl w:val="0"/>
                <w:numId w:val="23"/>
              </w:numPr>
              <w:tabs>
                <w:tab w:val="left" w:pos="1185"/>
              </w:tabs>
              <w:jc w:val="both"/>
            </w:pPr>
            <w:r>
              <w:rPr>
                <w:vertAlign w:val="superscript"/>
              </w:rPr>
              <w:t>89</w:t>
            </w:r>
            <w:r>
              <w:t xml:space="preserve">Zr-TLX250 uptake in the bladder will be correlated to CT urogram/cystoscopy results. </w:t>
            </w:r>
            <w:r>
              <w:rPr>
                <w:vertAlign w:val="superscript"/>
              </w:rPr>
              <w:t>89</w:t>
            </w:r>
            <w:r>
              <w:t xml:space="preserve">Zr-TLX250 uptake in the bladder would be considered positive for those with residual bladder tumour. These would be in patients undergoing cystectomy. </w:t>
            </w:r>
          </w:p>
          <w:p w14:paraId="440F780A" w14:textId="4C2B0E93" w:rsidR="00E60F8D" w:rsidRPr="00632FB8" w:rsidRDefault="00E60F8D" w:rsidP="00E60F8D">
            <w:pPr>
              <w:pStyle w:val="ListParagraph"/>
              <w:numPr>
                <w:ilvl w:val="0"/>
                <w:numId w:val="4"/>
              </w:numPr>
              <w:tabs>
                <w:tab w:val="left" w:pos="1185"/>
              </w:tabs>
              <w:jc w:val="both"/>
            </w:pPr>
            <w:r w:rsidRPr="00556D59">
              <w:rPr>
                <w:rFonts w:cstheme="minorHAnsi"/>
              </w:rPr>
              <w:t>E</w:t>
            </w:r>
            <w:r>
              <w:t xml:space="preserve">vidence for </w:t>
            </w:r>
            <w:r>
              <w:rPr>
                <w:vertAlign w:val="superscript"/>
              </w:rPr>
              <w:t>89</w:t>
            </w:r>
            <w:r>
              <w:t>Zr-TLX250 PET/CT vs FDG PET/CT in detecting previously unrecognised upper tract urothelial carcinoma.</w:t>
            </w:r>
          </w:p>
          <w:p w14:paraId="6F887DBB" w14:textId="47A34411" w:rsidR="00E60F8D" w:rsidRPr="008D4C74" w:rsidRDefault="00E60F8D" w:rsidP="00E60F8D">
            <w:pPr>
              <w:pStyle w:val="ListParagraph"/>
              <w:numPr>
                <w:ilvl w:val="0"/>
                <w:numId w:val="23"/>
              </w:numPr>
              <w:tabs>
                <w:tab w:val="left" w:pos="1185"/>
              </w:tabs>
              <w:jc w:val="both"/>
              <w:rPr>
                <w:rFonts w:cstheme="minorHAnsi"/>
                <w:vertAlign w:val="superscript"/>
              </w:rPr>
            </w:pPr>
            <w:r w:rsidRPr="008D4C74">
              <w:rPr>
                <w:rFonts w:cstheme="minorHAnsi"/>
                <w:vertAlign w:val="superscript"/>
              </w:rPr>
              <w:t>89</w:t>
            </w:r>
            <w:r w:rsidRPr="00D016C3">
              <w:rPr>
                <w:rFonts w:cstheme="minorHAnsi"/>
              </w:rPr>
              <w:t>Zr-girentuxumab</w:t>
            </w:r>
            <w:r w:rsidRPr="00D825AA">
              <w:rPr>
                <w:rFonts w:cstheme="minorHAnsi"/>
              </w:rPr>
              <w:t xml:space="preserve"> uptake in the upper tracts </w:t>
            </w:r>
            <w:r w:rsidRPr="008D4C74">
              <w:rPr>
                <w:rFonts w:cstheme="minorHAnsi"/>
              </w:rPr>
              <w:t xml:space="preserve">will be correlated to CT urogram/ureteroscopy results to determine </w:t>
            </w:r>
            <w:r w:rsidRPr="008D4C74">
              <w:rPr>
                <w:vertAlign w:val="superscript"/>
              </w:rPr>
              <w:t>89</w:t>
            </w:r>
            <w:r>
              <w:t>Zr-girentuximab PET’s utility in detecting upper tract urothelial carcinoma.</w:t>
            </w:r>
          </w:p>
          <w:p w14:paraId="50FAB251" w14:textId="3616293F" w:rsidR="00E60F8D" w:rsidRPr="00E23946" w:rsidRDefault="00E60F8D" w:rsidP="00E60F8D">
            <w:pPr>
              <w:pStyle w:val="ListParagraph"/>
            </w:pPr>
          </w:p>
        </w:tc>
      </w:tr>
      <w:tr w:rsidR="00B362E3" w:rsidRPr="00CA5EC5" w14:paraId="5B406BE4" w14:textId="77777777" w:rsidTr="166FC3F4">
        <w:tc>
          <w:tcPr>
            <w:tcW w:w="2405" w:type="dxa"/>
          </w:tcPr>
          <w:p w14:paraId="2D04BB77" w14:textId="793582BB" w:rsidR="00B362E3" w:rsidRPr="000F5C29" w:rsidRDefault="00B362E3" w:rsidP="00E60F8D">
            <w:pPr>
              <w:rPr>
                <w:rFonts w:cstheme="minorHAnsi"/>
                <w:b/>
              </w:rPr>
            </w:pPr>
            <w:r w:rsidRPr="005D673D">
              <w:rPr>
                <w:rFonts w:ascii="GenesisCare Sans" w:hAnsi="GenesisCare Sans"/>
                <w:b/>
              </w:rPr>
              <w:lastRenderedPageBreak/>
              <w:t>Study Participation Duration</w:t>
            </w:r>
          </w:p>
        </w:tc>
        <w:tc>
          <w:tcPr>
            <w:tcW w:w="6611" w:type="dxa"/>
          </w:tcPr>
          <w:p w14:paraId="41E6CFDD" w14:textId="349AB135" w:rsidR="00B362E3" w:rsidRPr="005D673D" w:rsidRDefault="00B362E3" w:rsidP="00B362E3">
            <w:pPr>
              <w:pStyle w:val="TableParagraph"/>
              <w:numPr>
                <w:ilvl w:val="0"/>
                <w:numId w:val="60"/>
              </w:numPr>
              <w:tabs>
                <w:tab w:val="left" w:pos="405"/>
                <w:tab w:val="left" w:pos="406"/>
              </w:tabs>
              <w:adjustRightInd/>
              <w:spacing w:before="64" w:line="252" w:lineRule="auto"/>
              <w:rPr>
                <w:rFonts w:ascii="GenesisCare Sans" w:hAnsi="GenesisCare Sans" w:cstheme="minorHAnsi"/>
              </w:rPr>
            </w:pPr>
            <w:r w:rsidRPr="005D673D">
              <w:rPr>
                <w:rFonts w:ascii="GenesisCare Sans" w:hAnsi="GenesisCare Sans" w:cstheme="minorHAnsi"/>
              </w:rPr>
              <w:t xml:space="preserve">Screening period: </w:t>
            </w:r>
            <w:r w:rsidR="003B3CDD">
              <w:rPr>
                <w:rFonts w:ascii="GenesisCare Sans" w:hAnsi="GenesisCare Sans" w:cstheme="minorHAnsi"/>
              </w:rPr>
              <w:t>28</w:t>
            </w:r>
            <w:r w:rsidRPr="005D673D">
              <w:rPr>
                <w:rFonts w:ascii="GenesisCare Sans" w:hAnsi="GenesisCare Sans" w:cstheme="minorHAnsi"/>
              </w:rPr>
              <w:t xml:space="preserve"> days (Day -</w:t>
            </w:r>
            <w:r w:rsidR="003B3CDD">
              <w:rPr>
                <w:rFonts w:ascii="GenesisCare Sans" w:hAnsi="GenesisCare Sans" w:cstheme="minorHAnsi"/>
              </w:rPr>
              <w:t>28</w:t>
            </w:r>
            <w:r w:rsidRPr="005D673D">
              <w:rPr>
                <w:rFonts w:ascii="GenesisCare Sans" w:hAnsi="GenesisCare Sans" w:cstheme="minorHAnsi"/>
              </w:rPr>
              <w:t xml:space="preserve"> to Day</w:t>
            </w:r>
            <w:r w:rsidRPr="005D673D">
              <w:rPr>
                <w:rFonts w:ascii="GenesisCare Sans" w:hAnsi="GenesisCare Sans" w:cstheme="minorHAnsi"/>
                <w:spacing w:val="-12"/>
              </w:rPr>
              <w:t xml:space="preserve"> </w:t>
            </w:r>
            <w:r w:rsidRPr="005D673D">
              <w:rPr>
                <w:rFonts w:ascii="GenesisCare Sans" w:hAnsi="GenesisCare Sans" w:cstheme="minorHAnsi"/>
              </w:rPr>
              <w:t>-1)</w:t>
            </w:r>
          </w:p>
          <w:p w14:paraId="4EC1365D" w14:textId="77777777" w:rsidR="00B362E3" w:rsidRPr="005D673D" w:rsidRDefault="00B362E3" w:rsidP="00B362E3">
            <w:pPr>
              <w:pStyle w:val="TableParagraph"/>
              <w:numPr>
                <w:ilvl w:val="0"/>
                <w:numId w:val="60"/>
              </w:numPr>
              <w:tabs>
                <w:tab w:val="left" w:pos="405"/>
                <w:tab w:val="left" w:pos="406"/>
              </w:tabs>
              <w:adjustRightInd/>
              <w:spacing w:before="57" w:line="252" w:lineRule="auto"/>
              <w:rPr>
                <w:rFonts w:ascii="GenesisCare Sans" w:hAnsi="GenesisCare Sans" w:cstheme="minorHAnsi"/>
              </w:rPr>
            </w:pPr>
            <w:r w:rsidRPr="005D673D">
              <w:rPr>
                <w:rFonts w:ascii="GenesisCare Sans" w:hAnsi="GenesisCare Sans" w:cstheme="minorHAnsi"/>
              </w:rPr>
              <w:t>Study</w:t>
            </w:r>
            <w:r w:rsidRPr="005D673D">
              <w:rPr>
                <w:rFonts w:ascii="GenesisCare Sans" w:hAnsi="GenesisCare Sans" w:cstheme="minorHAnsi"/>
                <w:spacing w:val="-1"/>
              </w:rPr>
              <w:t xml:space="preserve"> </w:t>
            </w:r>
            <w:r w:rsidRPr="005D673D">
              <w:rPr>
                <w:rFonts w:ascii="GenesisCare Sans" w:hAnsi="GenesisCare Sans" w:cstheme="minorHAnsi"/>
              </w:rPr>
              <w:t>period:</w:t>
            </w:r>
          </w:p>
          <w:p w14:paraId="654F68E5" w14:textId="77777777" w:rsidR="00B362E3" w:rsidRPr="005D673D" w:rsidRDefault="00B362E3" w:rsidP="00B362E3">
            <w:pPr>
              <w:pStyle w:val="TableParagraph"/>
              <w:numPr>
                <w:ilvl w:val="1"/>
                <w:numId w:val="60"/>
              </w:numPr>
              <w:tabs>
                <w:tab w:val="left" w:pos="777"/>
                <w:tab w:val="left" w:pos="778"/>
              </w:tabs>
              <w:adjustRightInd/>
              <w:spacing w:before="57" w:line="252" w:lineRule="auto"/>
              <w:ind w:hanging="361"/>
              <w:rPr>
                <w:rFonts w:ascii="GenesisCare Sans" w:hAnsi="GenesisCare Sans" w:cstheme="minorHAnsi"/>
              </w:rPr>
            </w:pPr>
            <w:r w:rsidRPr="005D673D">
              <w:rPr>
                <w:rFonts w:ascii="GenesisCare Sans" w:hAnsi="GenesisCare Sans" w:cstheme="minorHAnsi"/>
              </w:rPr>
              <w:t>Treatment: IMP administered on Day</w:t>
            </w:r>
            <w:r w:rsidRPr="005D673D">
              <w:rPr>
                <w:rFonts w:ascii="GenesisCare Sans" w:hAnsi="GenesisCare Sans" w:cstheme="minorHAnsi"/>
                <w:spacing w:val="-7"/>
              </w:rPr>
              <w:t xml:space="preserve"> </w:t>
            </w:r>
            <w:r w:rsidRPr="005D673D">
              <w:rPr>
                <w:rFonts w:ascii="GenesisCare Sans" w:hAnsi="GenesisCare Sans" w:cstheme="minorHAnsi"/>
              </w:rPr>
              <w:t>0</w:t>
            </w:r>
          </w:p>
          <w:p w14:paraId="32781499" w14:textId="533A5051" w:rsidR="00B362E3" w:rsidRDefault="00B362E3" w:rsidP="00B362E3">
            <w:pPr>
              <w:pStyle w:val="TableParagraph"/>
              <w:numPr>
                <w:ilvl w:val="1"/>
                <w:numId w:val="60"/>
              </w:numPr>
              <w:tabs>
                <w:tab w:val="left" w:pos="777"/>
                <w:tab w:val="left" w:pos="778"/>
              </w:tabs>
              <w:adjustRightInd/>
              <w:spacing w:before="59" w:line="252" w:lineRule="auto"/>
              <w:ind w:hanging="361"/>
              <w:rPr>
                <w:rFonts w:ascii="GenesisCare Sans" w:hAnsi="GenesisCare Sans" w:cstheme="minorHAnsi"/>
              </w:rPr>
            </w:pPr>
            <w:r w:rsidRPr="00E67FA4">
              <w:rPr>
                <w:rFonts w:ascii="GenesisCare Sans" w:hAnsi="GenesisCare Sans" w:cstheme="minorHAnsi"/>
              </w:rPr>
              <w:t>Imaging</w:t>
            </w:r>
            <w:r w:rsidRPr="00E67FA4">
              <w:rPr>
                <w:rFonts w:ascii="GenesisCare Sans" w:hAnsi="GenesisCare Sans" w:cstheme="minorHAnsi"/>
                <w:spacing w:val="43"/>
              </w:rPr>
              <w:t xml:space="preserve"> </w:t>
            </w:r>
            <w:r w:rsidRPr="00E67FA4">
              <w:rPr>
                <w:rFonts w:ascii="GenesisCare Sans" w:hAnsi="GenesisCare Sans" w:cstheme="minorHAnsi"/>
              </w:rPr>
              <w:t>period:</w:t>
            </w:r>
            <w:r w:rsidRPr="00E67FA4">
              <w:rPr>
                <w:rFonts w:ascii="GenesisCare Sans" w:hAnsi="GenesisCare Sans" w:cstheme="minorHAnsi"/>
                <w:spacing w:val="42"/>
              </w:rPr>
              <w:t xml:space="preserve"> </w:t>
            </w:r>
            <w:r w:rsidRPr="00E67FA4">
              <w:rPr>
                <w:rFonts w:ascii="GenesisCare Sans" w:hAnsi="GenesisCare Sans" w:cstheme="minorHAnsi"/>
              </w:rPr>
              <w:t>Day</w:t>
            </w:r>
            <w:r w:rsidRPr="00E67FA4">
              <w:rPr>
                <w:rFonts w:ascii="GenesisCare Sans" w:hAnsi="GenesisCare Sans" w:cstheme="minorHAnsi"/>
                <w:spacing w:val="-2"/>
              </w:rPr>
              <w:t xml:space="preserve"> </w:t>
            </w:r>
            <w:r w:rsidR="003B3CDD">
              <w:rPr>
                <w:rFonts w:ascii="GenesisCare Sans" w:hAnsi="GenesisCare Sans" w:cstheme="minorHAnsi"/>
                <w:spacing w:val="-2"/>
              </w:rPr>
              <w:t xml:space="preserve">5 </w:t>
            </w:r>
            <w:r w:rsidR="003B3CDD" w:rsidRPr="00E67FA4">
              <w:rPr>
                <w:rFonts w:ascii="GenesisCare Sans" w:hAnsi="GenesisCare Sans" w:cstheme="minorHAnsi"/>
              </w:rPr>
              <w:t>±</w:t>
            </w:r>
            <w:r w:rsidR="003B3CDD">
              <w:rPr>
                <w:rFonts w:ascii="GenesisCare Sans" w:hAnsi="GenesisCare Sans" w:cstheme="minorHAnsi"/>
              </w:rPr>
              <w:t xml:space="preserve"> 2</w:t>
            </w:r>
            <w:r w:rsidRPr="00E67FA4">
              <w:rPr>
                <w:rFonts w:ascii="GenesisCare Sans" w:hAnsi="GenesisCare Sans" w:cstheme="minorHAnsi"/>
                <w:spacing w:val="43"/>
              </w:rPr>
              <w:t xml:space="preserve"> </w:t>
            </w:r>
          </w:p>
          <w:p w14:paraId="29988559" w14:textId="0A9272DE" w:rsidR="00B362E3" w:rsidRDefault="00B362E3" w:rsidP="00B362E3">
            <w:pPr>
              <w:tabs>
                <w:tab w:val="left" w:pos="1185"/>
              </w:tabs>
              <w:jc w:val="both"/>
            </w:pPr>
            <w:r w:rsidRPr="005D673D">
              <w:rPr>
                <w:rFonts w:ascii="GenesisCare Sans" w:hAnsi="GenesisCare Sans" w:cstheme="minorHAnsi"/>
              </w:rPr>
              <w:t xml:space="preserve">EOS: Day </w:t>
            </w:r>
            <w:r w:rsidR="003B3CDD">
              <w:rPr>
                <w:rFonts w:ascii="GenesisCare Sans" w:hAnsi="GenesisCare Sans" w:cstheme="minorHAnsi"/>
              </w:rPr>
              <w:t>14</w:t>
            </w:r>
            <w:r w:rsidRPr="005D673D">
              <w:rPr>
                <w:rFonts w:ascii="GenesisCare Sans" w:hAnsi="GenesisCare Sans" w:cstheme="minorHAnsi"/>
                <w:spacing w:val="-2"/>
              </w:rPr>
              <w:t xml:space="preserve"> </w:t>
            </w:r>
          </w:p>
        </w:tc>
      </w:tr>
      <w:tr w:rsidR="00E60F8D" w:rsidRPr="00CA5EC5" w14:paraId="7EEC8F14" w14:textId="77777777" w:rsidTr="166FC3F4">
        <w:tc>
          <w:tcPr>
            <w:tcW w:w="2405" w:type="dxa"/>
          </w:tcPr>
          <w:p w14:paraId="404E3174" w14:textId="77777777" w:rsidR="00E60F8D" w:rsidRPr="000F5C29" w:rsidRDefault="00E60F8D" w:rsidP="00E60F8D">
            <w:pPr>
              <w:rPr>
                <w:rFonts w:cstheme="minorHAnsi"/>
                <w:b/>
              </w:rPr>
            </w:pPr>
            <w:r w:rsidRPr="000F5C29">
              <w:rPr>
                <w:rFonts w:cstheme="minorHAnsi"/>
                <w:b/>
              </w:rPr>
              <w:t xml:space="preserve">Sample size determination </w:t>
            </w:r>
          </w:p>
        </w:tc>
        <w:tc>
          <w:tcPr>
            <w:tcW w:w="6611" w:type="dxa"/>
          </w:tcPr>
          <w:p w14:paraId="6C2CB9C4" w14:textId="55467D1E" w:rsidR="00E60F8D" w:rsidRPr="00CA5EC5" w:rsidRDefault="00B362E3" w:rsidP="00E60F8D">
            <w:pPr>
              <w:tabs>
                <w:tab w:val="left" w:pos="1185"/>
              </w:tabs>
              <w:jc w:val="both"/>
            </w:pPr>
            <w:r w:rsidRPr="005D673D">
              <w:rPr>
                <w:rFonts w:ascii="GenesisCare Sans" w:hAnsi="GenesisCare Sans" w:cstheme="minorHAnsi"/>
              </w:rPr>
              <w:t xml:space="preserve">It is planned to include </w:t>
            </w:r>
            <w:r>
              <w:rPr>
                <w:rFonts w:ascii="GenesisCare Sans" w:hAnsi="GenesisCare Sans" w:cstheme="minorHAnsi"/>
              </w:rPr>
              <w:t>20</w:t>
            </w:r>
            <w:r w:rsidRPr="005D673D">
              <w:rPr>
                <w:rFonts w:ascii="GenesisCare Sans" w:hAnsi="GenesisCare Sans" w:cstheme="minorHAnsi"/>
              </w:rPr>
              <w:t xml:space="preserve"> patients in the study. The total number of patients planned is not based on statistical sample size estimation</w:t>
            </w:r>
            <w:r>
              <w:rPr>
                <w:rFonts w:ascii="GenesisCare Sans" w:hAnsi="GenesisCare Sans" w:cstheme="minorHAnsi"/>
              </w:rPr>
              <w:t xml:space="preserve"> but has </w:t>
            </w:r>
            <w:r>
              <w:t>been chosen based on clinical context.</w:t>
            </w:r>
          </w:p>
        </w:tc>
      </w:tr>
    </w:tbl>
    <w:p w14:paraId="53128261" w14:textId="6849E8BC" w:rsidR="00CB379B" w:rsidRPr="00CA5EC5" w:rsidRDefault="00613F26" w:rsidP="00632FB8">
      <w:pPr>
        <w:tabs>
          <w:tab w:val="left" w:pos="6435"/>
        </w:tabs>
        <w:jc w:val="both"/>
        <w:rPr>
          <w:rFonts w:cstheme="minorHAnsi"/>
        </w:rPr>
      </w:pPr>
      <w:r>
        <w:rPr>
          <w:rFonts w:cstheme="minorHAnsi"/>
        </w:rPr>
        <w:tab/>
      </w:r>
    </w:p>
    <w:p w14:paraId="62486C05" w14:textId="77777777" w:rsidR="00D5612D" w:rsidRDefault="00D5612D"/>
    <w:p w14:paraId="6A308957" w14:textId="77777777" w:rsidR="00B362E3" w:rsidRDefault="00B362E3">
      <w:pPr>
        <w:sectPr w:rsidR="00B362E3">
          <w:footerReference w:type="default" r:id="rId11"/>
          <w:pgSz w:w="11906" w:h="16838"/>
          <w:pgMar w:top="1440" w:right="1440" w:bottom="1440" w:left="1440" w:header="708" w:footer="708" w:gutter="0"/>
          <w:cols w:space="708"/>
          <w:docGrid w:linePitch="360"/>
        </w:sectPr>
      </w:pPr>
    </w:p>
    <w:p w14:paraId="11D5C1D2" w14:textId="77777777" w:rsidR="00B362E3" w:rsidRPr="005D673D" w:rsidRDefault="00B362E3" w:rsidP="00B362E3">
      <w:pPr>
        <w:rPr>
          <w:rFonts w:ascii="GenesisCare Sans" w:hAnsi="GenesisCare Sans"/>
          <w:szCs w:val="20"/>
        </w:rPr>
      </w:pPr>
      <w:r w:rsidRPr="005D673D">
        <w:rPr>
          <w:rFonts w:ascii="GenesisCare Sans" w:hAnsi="GenesisCare Sans" w:cstheme="minorHAnsi"/>
          <w:b/>
          <w:bCs/>
          <w:sz w:val="24"/>
        </w:rPr>
        <w:lastRenderedPageBreak/>
        <w:t>Table 1.</w:t>
      </w:r>
      <w:r w:rsidRPr="005D673D">
        <w:rPr>
          <w:rFonts w:ascii="GenesisCare Sans" w:hAnsi="GenesisCare Sans" w:cstheme="minorHAnsi"/>
          <w:sz w:val="24"/>
        </w:rPr>
        <w:t xml:space="preserve"> </w:t>
      </w:r>
      <w:r w:rsidRPr="001F118E">
        <w:rPr>
          <w:rFonts w:ascii="GenesisCare Sans" w:hAnsi="GenesisCare Sans" w:cstheme="minorHAnsi"/>
          <w:b/>
          <w:bCs/>
          <w:sz w:val="24"/>
        </w:rPr>
        <w:t>Schedule of Assessments</w:t>
      </w:r>
    </w:p>
    <w:tbl>
      <w:tblPr>
        <w:tblStyle w:val="TableGrid"/>
        <w:tblW w:w="5126" w:type="pct"/>
        <w:tblLook w:val="04A0" w:firstRow="1" w:lastRow="0" w:firstColumn="1" w:lastColumn="0" w:noHBand="0" w:noVBand="1"/>
      </w:tblPr>
      <w:tblGrid>
        <w:gridCol w:w="4668"/>
        <w:gridCol w:w="2479"/>
        <w:gridCol w:w="2482"/>
        <w:gridCol w:w="2042"/>
        <w:gridCol w:w="2628"/>
      </w:tblGrid>
      <w:tr w:rsidR="00B362E3" w:rsidRPr="00C87850" w14:paraId="37EBDE0B" w14:textId="77777777" w:rsidTr="00885F55">
        <w:tc>
          <w:tcPr>
            <w:tcW w:w="1632" w:type="pct"/>
            <w:shd w:val="clear" w:color="auto" w:fill="D9D9D9" w:themeFill="background1" w:themeFillShade="D9"/>
          </w:tcPr>
          <w:p w14:paraId="50794ECB" w14:textId="77777777" w:rsidR="00B362E3" w:rsidRPr="00C87850" w:rsidRDefault="00B362E3" w:rsidP="00885F55">
            <w:pPr>
              <w:rPr>
                <w:rFonts w:cstheme="minorHAnsi"/>
                <w:b/>
                <w:bCs/>
              </w:rPr>
            </w:pPr>
            <w:r>
              <w:rPr>
                <w:rFonts w:cstheme="minorHAnsi"/>
                <w:b/>
                <w:bCs/>
              </w:rPr>
              <w:t>Visit Name</w:t>
            </w:r>
          </w:p>
        </w:tc>
        <w:tc>
          <w:tcPr>
            <w:tcW w:w="867" w:type="pct"/>
            <w:shd w:val="clear" w:color="auto" w:fill="D9D9D9" w:themeFill="background1" w:themeFillShade="D9"/>
          </w:tcPr>
          <w:p w14:paraId="58D0A776" w14:textId="77777777" w:rsidR="00B362E3" w:rsidRPr="00C87850" w:rsidRDefault="00B362E3" w:rsidP="00885F55">
            <w:pPr>
              <w:jc w:val="center"/>
              <w:rPr>
                <w:rFonts w:cstheme="minorHAnsi"/>
                <w:b/>
                <w:bCs/>
              </w:rPr>
            </w:pPr>
            <w:r>
              <w:rPr>
                <w:rFonts w:cstheme="minorHAnsi"/>
                <w:b/>
                <w:bCs/>
              </w:rPr>
              <w:t>Screening</w:t>
            </w:r>
          </w:p>
        </w:tc>
        <w:tc>
          <w:tcPr>
            <w:tcW w:w="868" w:type="pct"/>
            <w:shd w:val="clear" w:color="auto" w:fill="D9D9D9" w:themeFill="background1" w:themeFillShade="D9"/>
          </w:tcPr>
          <w:p w14:paraId="57B536A1" w14:textId="77777777" w:rsidR="00B362E3" w:rsidRDefault="00B362E3" w:rsidP="00885F55">
            <w:pPr>
              <w:jc w:val="center"/>
              <w:rPr>
                <w:rFonts w:cstheme="minorHAnsi"/>
                <w:b/>
                <w:bCs/>
              </w:rPr>
            </w:pPr>
            <w:r>
              <w:rPr>
                <w:rFonts w:cstheme="minorHAnsi"/>
                <w:b/>
                <w:bCs/>
              </w:rPr>
              <w:t>IMP Administration</w:t>
            </w:r>
          </w:p>
        </w:tc>
        <w:tc>
          <w:tcPr>
            <w:tcW w:w="714" w:type="pct"/>
            <w:shd w:val="clear" w:color="auto" w:fill="D9D9D9" w:themeFill="background1" w:themeFillShade="D9"/>
          </w:tcPr>
          <w:p w14:paraId="5DFD9361" w14:textId="77777777" w:rsidR="00B362E3" w:rsidRDefault="00B362E3" w:rsidP="00885F55">
            <w:pPr>
              <w:jc w:val="center"/>
              <w:rPr>
                <w:rFonts w:cstheme="minorHAnsi"/>
                <w:b/>
                <w:bCs/>
              </w:rPr>
            </w:pPr>
            <w:r>
              <w:rPr>
                <w:rFonts w:cstheme="minorHAnsi"/>
                <w:b/>
                <w:bCs/>
              </w:rPr>
              <w:t xml:space="preserve">Imaging </w:t>
            </w:r>
          </w:p>
        </w:tc>
        <w:tc>
          <w:tcPr>
            <w:tcW w:w="919" w:type="pct"/>
            <w:shd w:val="clear" w:color="auto" w:fill="D9D9D9" w:themeFill="background1" w:themeFillShade="D9"/>
          </w:tcPr>
          <w:p w14:paraId="640BE8B9" w14:textId="77777777" w:rsidR="00B362E3" w:rsidRDefault="00B362E3" w:rsidP="00885F55">
            <w:pPr>
              <w:jc w:val="center"/>
              <w:rPr>
                <w:rFonts w:cstheme="minorHAnsi"/>
                <w:b/>
                <w:bCs/>
              </w:rPr>
            </w:pPr>
            <w:r>
              <w:rPr>
                <w:rFonts w:cstheme="minorHAnsi"/>
                <w:b/>
                <w:bCs/>
              </w:rPr>
              <w:t>Follow up</w:t>
            </w:r>
          </w:p>
        </w:tc>
      </w:tr>
      <w:tr w:rsidR="00B362E3" w:rsidRPr="00C87850" w14:paraId="6BF5B5AE" w14:textId="77777777" w:rsidTr="00885F55">
        <w:tc>
          <w:tcPr>
            <w:tcW w:w="1632" w:type="pct"/>
            <w:shd w:val="clear" w:color="auto" w:fill="F2F2F2" w:themeFill="background1" w:themeFillShade="F2"/>
          </w:tcPr>
          <w:p w14:paraId="6EB227DB" w14:textId="77777777" w:rsidR="00B362E3" w:rsidRPr="00C87850" w:rsidRDefault="00B362E3" w:rsidP="00885F55">
            <w:pPr>
              <w:rPr>
                <w:rFonts w:cstheme="minorHAnsi"/>
                <w:b/>
                <w:bCs/>
              </w:rPr>
            </w:pPr>
            <w:r w:rsidRPr="00C87850">
              <w:rPr>
                <w:rFonts w:cstheme="minorHAnsi"/>
                <w:b/>
                <w:bCs/>
              </w:rPr>
              <w:t>Time point</w:t>
            </w:r>
          </w:p>
        </w:tc>
        <w:tc>
          <w:tcPr>
            <w:tcW w:w="867" w:type="pct"/>
            <w:shd w:val="clear" w:color="auto" w:fill="F2F2F2" w:themeFill="background1" w:themeFillShade="F2"/>
          </w:tcPr>
          <w:p w14:paraId="43AFF0EC" w14:textId="77777777" w:rsidR="00B362E3" w:rsidRPr="00C87850" w:rsidRDefault="00B362E3" w:rsidP="00885F55">
            <w:pPr>
              <w:jc w:val="center"/>
              <w:rPr>
                <w:rFonts w:cstheme="minorHAnsi"/>
                <w:b/>
                <w:bCs/>
              </w:rPr>
            </w:pPr>
            <w:r w:rsidRPr="00C87850">
              <w:rPr>
                <w:rFonts w:cstheme="minorHAnsi"/>
                <w:b/>
                <w:bCs/>
              </w:rPr>
              <w:t>Within 28 days of selection</w:t>
            </w:r>
          </w:p>
        </w:tc>
        <w:tc>
          <w:tcPr>
            <w:tcW w:w="868" w:type="pct"/>
            <w:shd w:val="clear" w:color="auto" w:fill="F2F2F2" w:themeFill="background1" w:themeFillShade="F2"/>
          </w:tcPr>
          <w:p w14:paraId="4FBA6B05" w14:textId="77777777" w:rsidR="00B362E3" w:rsidRPr="00C87850" w:rsidRDefault="00B362E3" w:rsidP="00885F55">
            <w:pPr>
              <w:jc w:val="center"/>
              <w:rPr>
                <w:rFonts w:cstheme="minorHAnsi"/>
                <w:b/>
                <w:bCs/>
              </w:rPr>
            </w:pPr>
            <w:r>
              <w:rPr>
                <w:rFonts w:cstheme="minorHAnsi"/>
                <w:b/>
                <w:bCs/>
              </w:rPr>
              <w:t>Day 0</w:t>
            </w:r>
          </w:p>
        </w:tc>
        <w:tc>
          <w:tcPr>
            <w:tcW w:w="714" w:type="pct"/>
            <w:shd w:val="clear" w:color="auto" w:fill="F2F2F2" w:themeFill="background1" w:themeFillShade="F2"/>
          </w:tcPr>
          <w:p w14:paraId="3DA87E20" w14:textId="77777777" w:rsidR="00B362E3" w:rsidRPr="00C87850" w:rsidRDefault="00B362E3" w:rsidP="00885F55">
            <w:pPr>
              <w:jc w:val="center"/>
              <w:rPr>
                <w:rFonts w:cstheme="minorHAnsi"/>
                <w:b/>
                <w:bCs/>
              </w:rPr>
            </w:pPr>
            <w:r>
              <w:rPr>
                <w:rFonts w:cstheme="minorHAnsi"/>
                <w:b/>
                <w:bCs/>
              </w:rPr>
              <w:t>Day 5 ± 2</w:t>
            </w:r>
          </w:p>
        </w:tc>
        <w:tc>
          <w:tcPr>
            <w:tcW w:w="919" w:type="pct"/>
            <w:shd w:val="clear" w:color="auto" w:fill="F2F2F2" w:themeFill="background1" w:themeFillShade="F2"/>
          </w:tcPr>
          <w:p w14:paraId="03FB6D44" w14:textId="77777777" w:rsidR="00B362E3" w:rsidRDefault="00B362E3" w:rsidP="00885F55">
            <w:pPr>
              <w:jc w:val="center"/>
              <w:rPr>
                <w:rFonts w:cstheme="minorHAnsi"/>
                <w:b/>
                <w:bCs/>
              </w:rPr>
            </w:pPr>
            <w:r>
              <w:rPr>
                <w:rFonts w:cstheme="minorHAnsi"/>
                <w:b/>
                <w:bCs/>
              </w:rPr>
              <w:t xml:space="preserve">Day 14 </w:t>
            </w:r>
          </w:p>
          <w:p w14:paraId="5F9B82CC" w14:textId="77777777" w:rsidR="00B362E3" w:rsidRPr="00C87850" w:rsidRDefault="00B362E3" w:rsidP="00885F55">
            <w:pPr>
              <w:jc w:val="center"/>
              <w:rPr>
                <w:rFonts w:cstheme="minorHAnsi"/>
                <w:b/>
                <w:bCs/>
              </w:rPr>
            </w:pPr>
            <w:r>
              <w:rPr>
                <w:rFonts w:cstheme="minorHAnsi"/>
                <w:b/>
                <w:bCs/>
              </w:rPr>
              <w:t>(or before starting chemotherapy or undergoing surgery)</w:t>
            </w:r>
          </w:p>
        </w:tc>
      </w:tr>
      <w:tr w:rsidR="00B362E3" w:rsidRPr="00C87850" w14:paraId="7C772131" w14:textId="77777777" w:rsidTr="00885F55">
        <w:tc>
          <w:tcPr>
            <w:tcW w:w="1632" w:type="pct"/>
          </w:tcPr>
          <w:p w14:paraId="4C47D1CA" w14:textId="77777777" w:rsidR="00B362E3" w:rsidRPr="00C87850" w:rsidRDefault="00B362E3" w:rsidP="00885F55">
            <w:pPr>
              <w:rPr>
                <w:rFonts w:cstheme="minorHAnsi"/>
                <w:b/>
                <w:bCs/>
              </w:rPr>
            </w:pPr>
            <w:r w:rsidRPr="00C87850">
              <w:rPr>
                <w:rFonts w:cstheme="minorHAnsi"/>
                <w:b/>
                <w:bCs/>
              </w:rPr>
              <w:t>Informed consent</w:t>
            </w:r>
          </w:p>
        </w:tc>
        <w:tc>
          <w:tcPr>
            <w:tcW w:w="867" w:type="pct"/>
          </w:tcPr>
          <w:p w14:paraId="7A481CB4"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3B821BEE" w14:textId="77777777" w:rsidR="00B362E3" w:rsidRPr="00C87850" w:rsidRDefault="00B362E3" w:rsidP="00885F55">
            <w:pPr>
              <w:jc w:val="center"/>
              <w:rPr>
                <w:rFonts w:cstheme="minorHAnsi"/>
                <w:b/>
                <w:bCs/>
              </w:rPr>
            </w:pPr>
          </w:p>
        </w:tc>
        <w:tc>
          <w:tcPr>
            <w:tcW w:w="714" w:type="pct"/>
          </w:tcPr>
          <w:p w14:paraId="09763ABA" w14:textId="77777777" w:rsidR="00B362E3" w:rsidRPr="00C87850" w:rsidRDefault="00B362E3" w:rsidP="00885F55">
            <w:pPr>
              <w:jc w:val="center"/>
              <w:rPr>
                <w:rFonts w:cstheme="minorHAnsi"/>
                <w:b/>
                <w:bCs/>
              </w:rPr>
            </w:pPr>
          </w:p>
        </w:tc>
        <w:tc>
          <w:tcPr>
            <w:tcW w:w="919" w:type="pct"/>
          </w:tcPr>
          <w:p w14:paraId="17B7AD11" w14:textId="77777777" w:rsidR="00B362E3" w:rsidRPr="00C87850" w:rsidRDefault="00B362E3" w:rsidP="00885F55">
            <w:pPr>
              <w:jc w:val="center"/>
              <w:rPr>
                <w:rFonts w:cstheme="minorHAnsi"/>
                <w:b/>
                <w:bCs/>
              </w:rPr>
            </w:pPr>
          </w:p>
        </w:tc>
      </w:tr>
      <w:tr w:rsidR="00B362E3" w:rsidRPr="00C87850" w14:paraId="3197BB2D" w14:textId="77777777" w:rsidTr="00885F55">
        <w:tc>
          <w:tcPr>
            <w:tcW w:w="1632" w:type="pct"/>
          </w:tcPr>
          <w:p w14:paraId="0141419A" w14:textId="77777777" w:rsidR="00B362E3" w:rsidRPr="00C87850" w:rsidRDefault="00B362E3" w:rsidP="00885F55">
            <w:pPr>
              <w:rPr>
                <w:rFonts w:cstheme="minorHAnsi"/>
                <w:b/>
                <w:bCs/>
              </w:rPr>
            </w:pPr>
            <w:r>
              <w:rPr>
                <w:rFonts w:cstheme="minorHAnsi"/>
                <w:b/>
                <w:bCs/>
              </w:rPr>
              <w:t>Eligibility criteria</w:t>
            </w:r>
          </w:p>
        </w:tc>
        <w:tc>
          <w:tcPr>
            <w:tcW w:w="867" w:type="pct"/>
          </w:tcPr>
          <w:p w14:paraId="3F7E5A88"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6D63E5FA" w14:textId="77777777" w:rsidR="00B362E3" w:rsidRPr="00C87850" w:rsidRDefault="00B362E3" w:rsidP="00885F55">
            <w:pPr>
              <w:jc w:val="center"/>
              <w:rPr>
                <w:rFonts w:cstheme="minorHAnsi"/>
                <w:b/>
                <w:bCs/>
              </w:rPr>
            </w:pPr>
          </w:p>
        </w:tc>
        <w:tc>
          <w:tcPr>
            <w:tcW w:w="714" w:type="pct"/>
          </w:tcPr>
          <w:p w14:paraId="2C7A9392" w14:textId="77777777" w:rsidR="00B362E3" w:rsidRPr="00C87850" w:rsidRDefault="00B362E3" w:rsidP="00885F55">
            <w:pPr>
              <w:jc w:val="center"/>
              <w:rPr>
                <w:rFonts w:cstheme="minorHAnsi"/>
                <w:b/>
                <w:bCs/>
              </w:rPr>
            </w:pPr>
          </w:p>
        </w:tc>
        <w:tc>
          <w:tcPr>
            <w:tcW w:w="919" w:type="pct"/>
          </w:tcPr>
          <w:p w14:paraId="757C034E" w14:textId="77777777" w:rsidR="00B362E3" w:rsidRPr="00C87850" w:rsidRDefault="00B362E3" w:rsidP="00885F55">
            <w:pPr>
              <w:jc w:val="center"/>
              <w:rPr>
                <w:rFonts w:cstheme="minorHAnsi"/>
                <w:b/>
                <w:bCs/>
              </w:rPr>
            </w:pPr>
          </w:p>
        </w:tc>
      </w:tr>
      <w:tr w:rsidR="00B362E3" w:rsidRPr="00C87850" w14:paraId="34E4510D" w14:textId="77777777" w:rsidTr="00885F55">
        <w:tc>
          <w:tcPr>
            <w:tcW w:w="1632" w:type="pct"/>
          </w:tcPr>
          <w:p w14:paraId="24F4804C" w14:textId="77777777" w:rsidR="00B362E3" w:rsidRPr="00581359" w:rsidRDefault="00B362E3" w:rsidP="00885F55">
            <w:pPr>
              <w:rPr>
                <w:rFonts w:cstheme="minorHAnsi"/>
                <w:b/>
                <w:bCs/>
              </w:rPr>
            </w:pPr>
            <w:r w:rsidRPr="00581359">
              <w:rPr>
                <w:b/>
                <w:bCs/>
                <w:vertAlign w:val="superscript"/>
              </w:rPr>
              <w:t>18</w:t>
            </w:r>
            <w:r w:rsidRPr="00581359">
              <w:rPr>
                <w:b/>
                <w:bCs/>
              </w:rPr>
              <w:t>F-FDG-PET</w:t>
            </w:r>
            <w:r>
              <w:rPr>
                <w:b/>
                <w:bCs/>
              </w:rPr>
              <w:t>/CT</w:t>
            </w:r>
          </w:p>
        </w:tc>
        <w:tc>
          <w:tcPr>
            <w:tcW w:w="867" w:type="pct"/>
          </w:tcPr>
          <w:p w14:paraId="52EA9A02"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0D2313A0" w14:textId="77777777" w:rsidR="00B362E3" w:rsidRPr="00C87850" w:rsidRDefault="00B362E3" w:rsidP="00885F55">
            <w:pPr>
              <w:jc w:val="center"/>
              <w:rPr>
                <w:rFonts w:cstheme="minorHAnsi"/>
                <w:b/>
                <w:bCs/>
              </w:rPr>
            </w:pPr>
          </w:p>
        </w:tc>
        <w:tc>
          <w:tcPr>
            <w:tcW w:w="714" w:type="pct"/>
          </w:tcPr>
          <w:p w14:paraId="15B48CE3" w14:textId="77777777" w:rsidR="00B362E3" w:rsidRPr="00C87850" w:rsidRDefault="00B362E3" w:rsidP="00885F55">
            <w:pPr>
              <w:jc w:val="center"/>
              <w:rPr>
                <w:rFonts w:cstheme="minorHAnsi"/>
                <w:b/>
                <w:bCs/>
              </w:rPr>
            </w:pPr>
          </w:p>
        </w:tc>
        <w:tc>
          <w:tcPr>
            <w:tcW w:w="919" w:type="pct"/>
          </w:tcPr>
          <w:p w14:paraId="4A8D96F0" w14:textId="77777777" w:rsidR="00B362E3" w:rsidRPr="00C87850" w:rsidRDefault="00B362E3" w:rsidP="00885F55">
            <w:pPr>
              <w:jc w:val="center"/>
              <w:rPr>
                <w:rFonts w:cstheme="minorHAnsi"/>
                <w:b/>
                <w:bCs/>
              </w:rPr>
            </w:pPr>
          </w:p>
        </w:tc>
      </w:tr>
      <w:tr w:rsidR="00B362E3" w:rsidRPr="00C87850" w14:paraId="7427B419" w14:textId="77777777" w:rsidTr="00885F55">
        <w:tc>
          <w:tcPr>
            <w:tcW w:w="1632" w:type="pct"/>
          </w:tcPr>
          <w:p w14:paraId="36062DB9" w14:textId="77777777" w:rsidR="00B362E3" w:rsidRPr="00C87850" w:rsidRDefault="00B362E3" w:rsidP="00885F55">
            <w:pPr>
              <w:rPr>
                <w:rFonts w:cstheme="minorHAnsi"/>
                <w:b/>
                <w:bCs/>
                <w:vertAlign w:val="superscript"/>
              </w:rPr>
            </w:pPr>
            <w:r w:rsidRPr="00C87850">
              <w:rPr>
                <w:rFonts w:cstheme="minorHAnsi"/>
                <w:b/>
                <w:bCs/>
              </w:rPr>
              <w:t>Physical exam</w:t>
            </w:r>
          </w:p>
        </w:tc>
        <w:tc>
          <w:tcPr>
            <w:tcW w:w="867" w:type="pct"/>
          </w:tcPr>
          <w:p w14:paraId="2614EF6B"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0C31B437" w14:textId="77777777" w:rsidR="00B362E3" w:rsidRPr="00C87850" w:rsidRDefault="00B362E3" w:rsidP="00885F55">
            <w:pPr>
              <w:jc w:val="center"/>
              <w:rPr>
                <w:rFonts w:cstheme="minorHAnsi"/>
                <w:b/>
                <w:bCs/>
              </w:rPr>
            </w:pPr>
          </w:p>
        </w:tc>
        <w:tc>
          <w:tcPr>
            <w:tcW w:w="714" w:type="pct"/>
          </w:tcPr>
          <w:p w14:paraId="69DB5B60" w14:textId="77777777" w:rsidR="00B362E3" w:rsidRPr="00C87850" w:rsidRDefault="00B362E3" w:rsidP="00885F55">
            <w:pPr>
              <w:jc w:val="center"/>
              <w:rPr>
                <w:rFonts w:cstheme="minorHAnsi"/>
                <w:b/>
                <w:bCs/>
              </w:rPr>
            </w:pPr>
          </w:p>
        </w:tc>
        <w:tc>
          <w:tcPr>
            <w:tcW w:w="919" w:type="pct"/>
          </w:tcPr>
          <w:p w14:paraId="1F4D50F6" w14:textId="77777777" w:rsidR="00B362E3" w:rsidRPr="00C87850" w:rsidRDefault="00B362E3" w:rsidP="00885F55">
            <w:pPr>
              <w:jc w:val="center"/>
              <w:rPr>
                <w:rFonts w:cstheme="minorHAnsi"/>
                <w:b/>
                <w:bCs/>
              </w:rPr>
            </w:pPr>
          </w:p>
        </w:tc>
      </w:tr>
      <w:tr w:rsidR="00B362E3" w:rsidRPr="00C87850" w14:paraId="7D0EFC66" w14:textId="77777777" w:rsidTr="00885F55">
        <w:tc>
          <w:tcPr>
            <w:tcW w:w="1632" w:type="pct"/>
          </w:tcPr>
          <w:p w14:paraId="32350EE8" w14:textId="77777777" w:rsidR="00B362E3" w:rsidRPr="00C87850" w:rsidRDefault="00B362E3" w:rsidP="00885F55">
            <w:pPr>
              <w:rPr>
                <w:rFonts w:cstheme="minorHAnsi"/>
                <w:b/>
                <w:bCs/>
              </w:rPr>
            </w:pPr>
            <w:r w:rsidRPr="00C87850">
              <w:rPr>
                <w:rFonts w:cstheme="minorHAnsi"/>
                <w:b/>
                <w:bCs/>
              </w:rPr>
              <w:t>ECOG status</w:t>
            </w:r>
          </w:p>
        </w:tc>
        <w:tc>
          <w:tcPr>
            <w:tcW w:w="867" w:type="pct"/>
          </w:tcPr>
          <w:p w14:paraId="38899C72"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124383CE" w14:textId="77777777" w:rsidR="00B362E3" w:rsidRPr="00C87850" w:rsidRDefault="00B362E3" w:rsidP="00885F55">
            <w:pPr>
              <w:jc w:val="center"/>
              <w:rPr>
                <w:rFonts w:cstheme="minorHAnsi"/>
                <w:b/>
                <w:bCs/>
              </w:rPr>
            </w:pPr>
          </w:p>
        </w:tc>
        <w:tc>
          <w:tcPr>
            <w:tcW w:w="714" w:type="pct"/>
          </w:tcPr>
          <w:p w14:paraId="432426C4" w14:textId="77777777" w:rsidR="00B362E3" w:rsidRPr="00C87850" w:rsidRDefault="00B362E3" w:rsidP="00885F55">
            <w:pPr>
              <w:jc w:val="center"/>
              <w:rPr>
                <w:rFonts w:cstheme="minorHAnsi"/>
                <w:b/>
                <w:bCs/>
              </w:rPr>
            </w:pPr>
          </w:p>
        </w:tc>
        <w:tc>
          <w:tcPr>
            <w:tcW w:w="919" w:type="pct"/>
          </w:tcPr>
          <w:p w14:paraId="5CEFF821" w14:textId="77777777" w:rsidR="00B362E3" w:rsidRPr="00C87850" w:rsidRDefault="00B362E3" w:rsidP="00885F55">
            <w:pPr>
              <w:jc w:val="center"/>
              <w:rPr>
                <w:rFonts w:cstheme="minorHAnsi"/>
                <w:b/>
                <w:bCs/>
              </w:rPr>
            </w:pPr>
          </w:p>
        </w:tc>
      </w:tr>
      <w:tr w:rsidR="00B362E3" w:rsidRPr="00C87850" w14:paraId="3FC8897D" w14:textId="77777777" w:rsidTr="00885F55">
        <w:tc>
          <w:tcPr>
            <w:tcW w:w="1632" w:type="pct"/>
          </w:tcPr>
          <w:p w14:paraId="42F5E345" w14:textId="77777777" w:rsidR="00B362E3" w:rsidRPr="00C87850" w:rsidRDefault="00B362E3" w:rsidP="00885F55">
            <w:pPr>
              <w:rPr>
                <w:rFonts w:cstheme="minorHAnsi"/>
                <w:b/>
                <w:bCs/>
              </w:rPr>
            </w:pPr>
            <w:r w:rsidRPr="00C87850">
              <w:rPr>
                <w:rFonts w:cstheme="minorHAnsi"/>
                <w:b/>
                <w:bCs/>
              </w:rPr>
              <w:t>Vital signs</w:t>
            </w:r>
          </w:p>
        </w:tc>
        <w:tc>
          <w:tcPr>
            <w:tcW w:w="867" w:type="pct"/>
          </w:tcPr>
          <w:p w14:paraId="6E1C9E9D" w14:textId="77777777" w:rsidR="00B362E3" w:rsidRDefault="00B362E3" w:rsidP="00885F55">
            <w:pPr>
              <w:jc w:val="center"/>
              <w:rPr>
                <w:rFonts w:cstheme="minorHAnsi"/>
                <w:b/>
                <w:bCs/>
              </w:rPr>
            </w:pPr>
            <w:r w:rsidRPr="00C87850">
              <w:rPr>
                <w:rFonts w:cstheme="minorHAnsi"/>
                <w:b/>
                <w:bCs/>
              </w:rPr>
              <w:t>X</w:t>
            </w:r>
          </w:p>
          <w:p w14:paraId="5AFDD0FD" w14:textId="77777777" w:rsidR="00B362E3" w:rsidRPr="00C87850" w:rsidRDefault="00B362E3" w:rsidP="00885F55">
            <w:pPr>
              <w:jc w:val="center"/>
              <w:rPr>
                <w:rFonts w:cstheme="minorHAnsi"/>
                <w:b/>
                <w:bCs/>
              </w:rPr>
            </w:pPr>
          </w:p>
        </w:tc>
        <w:tc>
          <w:tcPr>
            <w:tcW w:w="868" w:type="pct"/>
          </w:tcPr>
          <w:p w14:paraId="56475FBD" w14:textId="77777777" w:rsidR="00B362E3" w:rsidRDefault="00B362E3" w:rsidP="00885F55">
            <w:pPr>
              <w:jc w:val="center"/>
              <w:rPr>
                <w:rFonts w:cstheme="minorHAnsi"/>
                <w:b/>
                <w:bCs/>
              </w:rPr>
            </w:pPr>
            <w:r w:rsidRPr="00C87850">
              <w:rPr>
                <w:rFonts w:cstheme="minorHAnsi"/>
                <w:b/>
                <w:bCs/>
              </w:rPr>
              <w:t>X</w:t>
            </w:r>
          </w:p>
          <w:p w14:paraId="0B30A9BC" w14:textId="77777777" w:rsidR="00B362E3" w:rsidRPr="00C87850" w:rsidRDefault="00B362E3" w:rsidP="00885F55">
            <w:pPr>
              <w:jc w:val="center"/>
              <w:rPr>
                <w:rFonts w:cstheme="minorHAnsi"/>
                <w:b/>
                <w:bCs/>
              </w:rPr>
            </w:pPr>
            <w:r>
              <w:rPr>
                <w:rFonts w:cstheme="minorHAnsi"/>
                <w:b/>
                <w:bCs/>
              </w:rPr>
              <w:t>Pre and post injection</w:t>
            </w:r>
          </w:p>
        </w:tc>
        <w:tc>
          <w:tcPr>
            <w:tcW w:w="714" w:type="pct"/>
          </w:tcPr>
          <w:p w14:paraId="64EC3D21" w14:textId="77777777" w:rsidR="00B362E3" w:rsidRPr="00C87850" w:rsidRDefault="00B362E3" w:rsidP="00885F55">
            <w:pPr>
              <w:jc w:val="center"/>
              <w:rPr>
                <w:rFonts w:cstheme="minorHAnsi"/>
                <w:b/>
                <w:bCs/>
              </w:rPr>
            </w:pPr>
            <w:r w:rsidRPr="00C87850">
              <w:rPr>
                <w:rFonts w:cstheme="minorHAnsi"/>
                <w:b/>
                <w:bCs/>
              </w:rPr>
              <w:t>X</w:t>
            </w:r>
          </w:p>
        </w:tc>
        <w:tc>
          <w:tcPr>
            <w:tcW w:w="919" w:type="pct"/>
          </w:tcPr>
          <w:p w14:paraId="55F1FECB" w14:textId="77777777" w:rsidR="00B362E3" w:rsidRPr="00C87850" w:rsidRDefault="00B362E3" w:rsidP="00885F55">
            <w:pPr>
              <w:jc w:val="center"/>
              <w:rPr>
                <w:rFonts w:cstheme="minorHAnsi"/>
                <w:b/>
                <w:bCs/>
              </w:rPr>
            </w:pPr>
          </w:p>
        </w:tc>
      </w:tr>
      <w:tr w:rsidR="00B362E3" w:rsidRPr="00C87850" w14:paraId="02094AA1" w14:textId="77777777" w:rsidTr="00885F55">
        <w:tc>
          <w:tcPr>
            <w:tcW w:w="1632" w:type="pct"/>
          </w:tcPr>
          <w:p w14:paraId="0B4F4ECA" w14:textId="77777777" w:rsidR="00B362E3" w:rsidRPr="00C87850" w:rsidRDefault="00B362E3" w:rsidP="00885F55">
            <w:pPr>
              <w:rPr>
                <w:rFonts w:cstheme="minorHAnsi"/>
                <w:b/>
                <w:bCs/>
              </w:rPr>
            </w:pPr>
            <w:r>
              <w:rPr>
                <w:rFonts w:cstheme="minorHAnsi"/>
                <w:b/>
                <w:bCs/>
              </w:rPr>
              <w:t>12 lead ECG</w:t>
            </w:r>
          </w:p>
        </w:tc>
        <w:tc>
          <w:tcPr>
            <w:tcW w:w="867" w:type="pct"/>
          </w:tcPr>
          <w:p w14:paraId="7C8E4EB5" w14:textId="77777777" w:rsidR="00B362E3" w:rsidRPr="00C87850" w:rsidRDefault="00B362E3" w:rsidP="00885F55">
            <w:pPr>
              <w:jc w:val="center"/>
              <w:rPr>
                <w:rFonts w:cstheme="minorHAnsi"/>
                <w:b/>
                <w:bCs/>
              </w:rPr>
            </w:pPr>
            <w:r>
              <w:rPr>
                <w:rFonts w:cstheme="minorHAnsi"/>
                <w:b/>
                <w:bCs/>
              </w:rPr>
              <w:t>X</w:t>
            </w:r>
          </w:p>
        </w:tc>
        <w:tc>
          <w:tcPr>
            <w:tcW w:w="868" w:type="pct"/>
          </w:tcPr>
          <w:p w14:paraId="7A6E5FD9" w14:textId="77777777" w:rsidR="00B362E3" w:rsidRDefault="00B362E3" w:rsidP="00885F55">
            <w:pPr>
              <w:jc w:val="center"/>
              <w:rPr>
                <w:rFonts w:cstheme="minorHAnsi"/>
                <w:b/>
                <w:bCs/>
              </w:rPr>
            </w:pPr>
            <w:r w:rsidRPr="00C87850">
              <w:rPr>
                <w:rFonts w:cstheme="minorHAnsi"/>
                <w:b/>
                <w:bCs/>
              </w:rPr>
              <w:t>X</w:t>
            </w:r>
          </w:p>
          <w:p w14:paraId="77600FD3" w14:textId="77777777" w:rsidR="00B362E3" w:rsidRPr="00C87850" w:rsidRDefault="00B362E3" w:rsidP="00885F55">
            <w:pPr>
              <w:jc w:val="center"/>
              <w:rPr>
                <w:rFonts w:cstheme="minorHAnsi"/>
                <w:b/>
                <w:bCs/>
              </w:rPr>
            </w:pPr>
            <w:r>
              <w:rPr>
                <w:rFonts w:cstheme="minorHAnsi"/>
                <w:b/>
                <w:bCs/>
              </w:rPr>
              <w:t>Post injection</w:t>
            </w:r>
          </w:p>
        </w:tc>
        <w:tc>
          <w:tcPr>
            <w:tcW w:w="714" w:type="pct"/>
          </w:tcPr>
          <w:p w14:paraId="3B4C0591" w14:textId="77777777" w:rsidR="00B362E3" w:rsidRPr="00C87850" w:rsidRDefault="00B362E3" w:rsidP="00885F55">
            <w:pPr>
              <w:jc w:val="center"/>
              <w:rPr>
                <w:rFonts w:cstheme="minorHAnsi"/>
                <w:b/>
                <w:bCs/>
              </w:rPr>
            </w:pPr>
          </w:p>
        </w:tc>
        <w:tc>
          <w:tcPr>
            <w:tcW w:w="919" w:type="pct"/>
          </w:tcPr>
          <w:p w14:paraId="6E7E6583" w14:textId="77777777" w:rsidR="00B362E3" w:rsidRPr="00C87850" w:rsidRDefault="00B362E3" w:rsidP="00885F55">
            <w:pPr>
              <w:jc w:val="center"/>
              <w:rPr>
                <w:rFonts w:cstheme="minorHAnsi"/>
                <w:b/>
                <w:bCs/>
              </w:rPr>
            </w:pPr>
          </w:p>
        </w:tc>
      </w:tr>
      <w:tr w:rsidR="00B362E3" w:rsidRPr="00C87850" w14:paraId="556F51CB" w14:textId="77777777" w:rsidTr="00885F55">
        <w:tc>
          <w:tcPr>
            <w:tcW w:w="1632" w:type="pct"/>
          </w:tcPr>
          <w:p w14:paraId="3980B5AA" w14:textId="77777777" w:rsidR="00B362E3" w:rsidRPr="00C87850" w:rsidRDefault="00B362E3" w:rsidP="00885F55">
            <w:pPr>
              <w:rPr>
                <w:rFonts w:cstheme="minorHAnsi"/>
                <w:b/>
                <w:bCs/>
              </w:rPr>
            </w:pPr>
            <w:r w:rsidRPr="00C87850">
              <w:rPr>
                <w:rFonts w:cstheme="minorHAnsi"/>
                <w:b/>
                <w:bCs/>
              </w:rPr>
              <w:t xml:space="preserve">Haematology </w:t>
            </w:r>
          </w:p>
          <w:p w14:paraId="19C616ED" w14:textId="77777777" w:rsidR="00B362E3" w:rsidRPr="00C87850" w:rsidRDefault="00B362E3" w:rsidP="00885F55">
            <w:pPr>
              <w:rPr>
                <w:rFonts w:cstheme="minorHAnsi"/>
                <w:b/>
                <w:bCs/>
              </w:rPr>
            </w:pPr>
            <w:r w:rsidRPr="00C87850">
              <w:rPr>
                <w:rFonts w:cstheme="minorHAnsi"/>
                <w:b/>
                <w:bCs/>
              </w:rPr>
              <w:t xml:space="preserve">Biochemistry </w:t>
            </w:r>
          </w:p>
        </w:tc>
        <w:tc>
          <w:tcPr>
            <w:tcW w:w="867" w:type="pct"/>
          </w:tcPr>
          <w:p w14:paraId="5F6A363F" w14:textId="77777777" w:rsidR="00B362E3" w:rsidRPr="00C87850" w:rsidRDefault="00B362E3" w:rsidP="00885F55">
            <w:pPr>
              <w:jc w:val="center"/>
              <w:rPr>
                <w:rFonts w:cstheme="minorHAnsi"/>
                <w:b/>
                <w:bCs/>
              </w:rPr>
            </w:pPr>
          </w:p>
          <w:p w14:paraId="08AFF8EA"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61ECDD4E" w14:textId="77777777" w:rsidR="00B362E3" w:rsidRPr="00C87850" w:rsidRDefault="00B362E3" w:rsidP="00885F55">
            <w:pPr>
              <w:jc w:val="center"/>
              <w:rPr>
                <w:rFonts w:cstheme="minorHAnsi"/>
                <w:b/>
                <w:bCs/>
              </w:rPr>
            </w:pPr>
          </w:p>
          <w:p w14:paraId="56F2F14C" w14:textId="77777777" w:rsidR="00B362E3" w:rsidRPr="00C87850" w:rsidRDefault="00B362E3" w:rsidP="00885F55">
            <w:pPr>
              <w:jc w:val="center"/>
              <w:rPr>
                <w:rFonts w:cstheme="minorHAnsi"/>
                <w:b/>
                <w:bCs/>
              </w:rPr>
            </w:pPr>
          </w:p>
        </w:tc>
        <w:tc>
          <w:tcPr>
            <w:tcW w:w="714" w:type="pct"/>
          </w:tcPr>
          <w:p w14:paraId="411FC308" w14:textId="77777777" w:rsidR="00B362E3" w:rsidRPr="00C87850" w:rsidRDefault="00B362E3" w:rsidP="00885F55">
            <w:pPr>
              <w:jc w:val="center"/>
              <w:rPr>
                <w:rFonts w:cstheme="minorHAnsi"/>
                <w:b/>
                <w:bCs/>
              </w:rPr>
            </w:pPr>
          </w:p>
          <w:p w14:paraId="7A89DC40" w14:textId="77777777" w:rsidR="00B362E3" w:rsidRPr="00C87850" w:rsidRDefault="00B362E3" w:rsidP="00885F55">
            <w:pPr>
              <w:jc w:val="center"/>
              <w:rPr>
                <w:rFonts w:cstheme="minorHAnsi"/>
                <w:b/>
                <w:bCs/>
              </w:rPr>
            </w:pPr>
          </w:p>
        </w:tc>
        <w:tc>
          <w:tcPr>
            <w:tcW w:w="919" w:type="pct"/>
          </w:tcPr>
          <w:p w14:paraId="15D374FE" w14:textId="77777777" w:rsidR="00B362E3" w:rsidRPr="00C87850" w:rsidRDefault="00B362E3" w:rsidP="00885F55">
            <w:pPr>
              <w:jc w:val="center"/>
              <w:rPr>
                <w:rFonts w:cstheme="minorHAnsi"/>
                <w:b/>
                <w:bCs/>
              </w:rPr>
            </w:pPr>
          </w:p>
          <w:p w14:paraId="6C3C03EB" w14:textId="77777777" w:rsidR="00B362E3" w:rsidRPr="00C87850" w:rsidRDefault="00B362E3" w:rsidP="00885F55">
            <w:pPr>
              <w:jc w:val="center"/>
              <w:rPr>
                <w:rFonts w:cstheme="minorHAnsi"/>
                <w:b/>
                <w:bCs/>
              </w:rPr>
            </w:pPr>
          </w:p>
        </w:tc>
      </w:tr>
      <w:tr w:rsidR="00B362E3" w:rsidRPr="00C87850" w14:paraId="2730F10F" w14:textId="77777777" w:rsidTr="00885F55">
        <w:tc>
          <w:tcPr>
            <w:tcW w:w="1632" w:type="pct"/>
          </w:tcPr>
          <w:p w14:paraId="2AA1C9AA" w14:textId="77777777" w:rsidR="00B362E3" w:rsidRPr="00C87850" w:rsidRDefault="00B362E3" w:rsidP="00885F55">
            <w:pPr>
              <w:rPr>
                <w:rFonts w:cstheme="minorHAnsi"/>
                <w:b/>
                <w:bCs/>
              </w:rPr>
            </w:pPr>
            <w:r>
              <w:rPr>
                <w:rFonts w:cstheme="minorHAnsi"/>
                <w:b/>
                <w:bCs/>
              </w:rPr>
              <w:t>Liver function tests</w:t>
            </w:r>
          </w:p>
        </w:tc>
        <w:tc>
          <w:tcPr>
            <w:tcW w:w="867" w:type="pct"/>
          </w:tcPr>
          <w:p w14:paraId="1BC24E56"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0843E8FA" w14:textId="77777777" w:rsidR="00B362E3" w:rsidRPr="00C87850" w:rsidRDefault="00B362E3" w:rsidP="00885F55">
            <w:pPr>
              <w:jc w:val="center"/>
              <w:rPr>
                <w:rFonts w:cstheme="minorHAnsi"/>
                <w:b/>
                <w:bCs/>
              </w:rPr>
            </w:pPr>
          </w:p>
        </w:tc>
        <w:tc>
          <w:tcPr>
            <w:tcW w:w="714" w:type="pct"/>
          </w:tcPr>
          <w:p w14:paraId="304D66FC" w14:textId="77777777" w:rsidR="00B362E3" w:rsidRPr="00C87850" w:rsidRDefault="00B362E3" w:rsidP="00885F55">
            <w:pPr>
              <w:jc w:val="center"/>
              <w:rPr>
                <w:rFonts w:cstheme="minorHAnsi"/>
                <w:b/>
                <w:bCs/>
              </w:rPr>
            </w:pPr>
          </w:p>
        </w:tc>
        <w:tc>
          <w:tcPr>
            <w:tcW w:w="919" w:type="pct"/>
          </w:tcPr>
          <w:p w14:paraId="247492D0" w14:textId="77777777" w:rsidR="00B362E3" w:rsidRPr="00C87850" w:rsidRDefault="00B362E3" w:rsidP="00885F55">
            <w:pPr>
              <w:jc w:val="center"/>
              <w:rPr>
                <w:rFonts w:cstheme="minorHAnsi"/>
                <w:b/>
                <w:bCs/>
              </w:rPr>
            </w:pPr>
          </w:p>
        </w:tc>
      </w:tr>
      <w:tr w:rsidR="00B362E3" w:rsidRPr="00C87850" w14:paraId="38D03AC0" w14:textId="77777777" w:rsidTr="00885F55">
        <w:tc>
          <w:tcPr>
            <w:tcW w:w="1632" w:type="pct"/>
          </w:tcPr>
          <w:p w14:paraId="1B9C8878" w14:textId="77777777" w:rsidR="00B362E3" w:rsidRPr="00C87850" w:rsidRDefault="00B362E3" w:rsidP="00885F55">
            <w:pPr>
              <w:rPr>
                <w:rFonts w:cstheme="minorHAnsi"/>
                <w:b/>
                <w:bCs/>
              </w:rPr>
            </w:pPr>
            <w:r>
              <w:rPr>
                <w:rFonts w:cstheme="minorHAnsi"/>
                <w:b/>
                <w:bCs/>
              </w:rPr>
              <w:t>Serum β-HCG</w:t>
            </w:r>
          </w:p>
        </w:tc>
        <w:tc>
          <w:tcPr>
            <w:tcW w:w="867" w:type="pct"/>
          </w:tcPr>
          <w:p w14:paraId="5F2C2A06"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3C551E7E" w14:textId="77777777" w:rsidR="00B362E3" w:rsidRPr="00C87850" w:rsidRDefault="00B362E3" w:rsidP="00885F55">
            <w:pPr>
              <w:jc w:val="center"/>
              <w:rPr>
                <w:rFonts w:cstheme="minorHAnsi"/>
                <w:b/>
                <w:bCs/>
              </w:rPr>
            </w:pPr>
          </w:p>
        </w:tc>
        <w:tc>
          <w:tcPr>
            <w:tcW w:w="714" w:type="pct"/>
          </w:tcPr>
          <w:p w14:paraId="287F9A59" w14:textId="77777777" w:rsidR="00B362E3" w:rsidRPr="00C87850" w:rsidRDefault="00B362E3" w:rsidP="00885F55">
            <w:pPr>
              <w:jc w:val="center"/>
              <w:rPr>
                <w:rFonts w:cstheme="minorHAnsi"/>
                <w:b/>
                <w:bCs/>
              </w:rPr>
            </w:pPr>
          </w:p>
        </w:tc>
        <w:tc>
          <w:tcPr>
            <w:tcW w:w="919" w:type="pct"/>
          </w:tcPr>
          <w:p w14:paraId="42510240" w14:textId="77777777" w:rsidR="00B362E3" w:rsidRPr="00C87850" w:rsidRDefault="00B362E3" w:rsidP="00885F55">
            <w:pPr>
              <w:jc w:val="center"/>
              <w:rPr>
                <w:rFonts w:cstheme="minorHAnsi"/>
                <w:b/>
                <w:bCs/>
              </w:rPr>
            </w:pPr>
          </w:p>
        </w:tc>
      </w:tr>
      <w:tr w:rsidR="00B362E3" w:rsidRPr="00C87850" w14:paraId="0E0DCDC7" w14:textId="77777777" w:rsidTr="00885F55">
        <w:tc>
          <w:tcPr>
            <w:tcW w:w="1632" w:type="pct"/>
          </w:tcPr>
          <w:p w14:paraId="276AA800" w14:textId="77777777" w:rsidR="00B362E3" w:rsidRPr="00C87850" w:rsidRDefault="00B362E3" w:rsidP="00885F55">
            <w:pPr>
              <w:rPr>
                <w:rFonts w:cstheme="minorHAnsi"/>
                <w:b/>
                <w:bCs/>
              </w:rPr>
            </w:pPr>
            <w:r>
              <w:rPr>
                <w:rFonts w:cstheme="minorHAnsi"/>
                <w:b/>
                <w:bCs/>
              </w:rPr>
              <w:t>Urine analysis</w:t>
            </w:r>
          </w:p>
        </w:tc>
        <w:tc>
          <w:tcPr>
            <w:tcW w:w="867" w:type="pct"/>
          </w:tcPr>
          <w:p w14:paraId="41BBD015"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5D2A856D" w14:textId="77777777" w:rsidR="00B362E3" w:rsidRPr="00C87850" w:rsidRDefault="00B362E3" w:rsidP="00885F55">
            <w:pPr>
              <w:jc w:val="center"/>
              <w:rPr>
                <w:rFonts w:cstheme="minorHAnsi"/>
                <w:b/>
                <w:bCs/>
              </w:rPr>
            </w:pPr>
          </w:p>
        </w:tc>
        <w:tc>
          <w:tcPr>
            <w:tcW w:w="714" w:type="pct"/>
          </w:tcPr>
          <w:p w14:paraId="434D9198" w14:textId="77777777" w:rsidR="00B362E3" w:rsidRPr="00C87850" w:rsidRDefault="00B362E3" w:rsidP="00885F55">
            <w:pPr>
              <w:jc w:val="center"/>
              <w:rPr>
                <w:rFonts w:cstheme="minorHAnsi"/>
                <w:b/>
                <w:bCs/>
              </w:rPr>
            </w:pPr>
          </w:p>
        </w:tc>
        <w:tc>
          <w:tcPr>
            <w:tcW w:w="919" w:type="pct"/>
          </w:tcPr>
          <w:p w14:paraId="11D75CBF" w14:textId="77777777" w:rsidR="00B362E3" w:rsidRPr="00C87850" w:rsidRDefault="00B362E3" w:rsidP="00885F55">
            <w:pPr>
              <w:jc w:val="center"/>
              <w:rPr>
                <w:rFonts w:cstheme="minorHAnsi"/>
                <w:b/>
                <w:bCs/>
              </w:rPr>
            </w:pPr>
          </w:p>
        </w:tc>
      </w:tr>
      <w:tr w:rsidR="00B362E3" w:rsidRPr="00C87850" w14:paraId="16770475" w14:textId="77777777" w:rsidTr="00885F55">
        <w:tc>
          <w:tcPr>
            <w:tcW w:w="1632" w:type="pct"/>
          </w:tcPr>
          <w:p w14:paraId="429BFC39" w14:textId="77777777" w:rsidR="00B362E3" w:rsidRDefault="00B362E3" w:rsidP="00885F55">
            <w:pPr>
              <w:rPr>
                <w:rFonts w:cstheme="minorHAnsi"/>
                <w:b/>
                <w:bCs/>
              </w:rPr>
            </w:pPr>
            <w:r>
              <w:rPr>
                <w:rFonts w:cstheme="minorHAnsi"/>
                <w:b/>
                <w:bCs/>
              </w:rPr>
              <w:t>Urine pregnancy test</w:t>
            </w:r>
          </w:p>
        </w:tc>
        <w:tc>
          <w:tcPr>
            <w:tcW w:w="867" w:type="pct"/>
          </w:tcPr>
          <w:p w14:paraId="7527E1A2" w14:textId="77777777" w:rsidR="00B362E3" w:rsidRPr="00C87850" w:rsidRDefault="00B362E3" w:rsidP="00885F55">
            <w:pPr>
              <w:jc w:val="center"/>
              <w:rPr>
                <w:rFonts w:cstheme="minorHAnsi"/>
                <w:b/>
                <w:bCs/>
              </w:rPr>
            </w:pPr>
          </w:p>
        </w:tc>
        <w:tc>
          <w:tcPr>
            <w:tcW w:w="868" w:type="pct"/>
          </w:tcPr>
          <w:p w14:paraId="1607F645" w14:textId="77777777" w:rsidR="00B362E3" w:rsidRPr="00C87850" w:rsidRDefault="00B362E3" w:rsidP="00885F55">
            <w:pPr>
              <w:jc w:val="center"/>
              <w:rPr>
                <w:rFonts w:cstheme="minorHAnsi"/>
                <w:b/>
                <w:bCs/>
              </w:rPr>
            </w:pPr>
            <w:r w:rsidRPr="00C87850">
              <w:rPr>
                <w:rFonts w:cstheme="minorHAnsi"/>
                <w:b/>
                <w:bCs/>
              </w:rPr>
              <w:t>X</w:t>
            </w:r>
          </w:p>
        </w:tc>
        <w:tc>
          <w:tcPr>
            <w:tcW w:w="714" w:type="pct"/>
          </w:tcPr>
          <w:p w14:paraId="4A7F76A1" w14:textId="77777777" w:rsidR="00B362E3" w:rsidRPr="00C87850" w:rsidRDefault="00B362E3" w:rsidP="00885F55">
            <w:pPr>
              <w:jc w:val="center"/>
              <w:rPr>
                <w:rFonts w:cstheme="minorHAnsi"/>
                <w:b/>
                <w:bCs/>
              </w:rPr>
            </w:pPr>
          </w:p>
        </w:tc>
        <w:tc>
          <w:tcPr>
            <w:tcW w:w="919" w:type="pct"/>
          </w:tcPr>
          <w:p w14:paraId="16F6D5DC" w14:textId="77777777" w:rsidR="00B362E3" w:rsidRPr="00C87850" w:rsidRDefault="00B362E3" w:rsidP="00885F55">
            <w:pPr>
              <w:jc w:val="center"/>
              <w:rPr>
                <w:rFonts w:cstheme="minorHAnsi"/>
                <w:b/>
                <w:bCs/>
              </w:rPr>
            </w:pPr>
          </w:p>
        </w:tc>
      </w:tr>
      <w:tr w:rsidR="00B362E3" w:rsidRPr="00C87850" w14:paraId="4B7F4814" w14:textId="77777777" w:rsidTr="00885F55">
        <w:tc>
          <w:tcPr>
            <w:tcW w:w="1632" w:type="pct"/>
          </w:tcPr>
          <w:p w14:paraId="6EF2C46F" w14:textId="77777777" w:rsidR="00B362E3" w:rsidRPr="00C87850" w:rsidRDefault="00B362E3" w:rsidP="00885F55">
            <w:pPr>
              <w:rPr>
                <w:rFonts w:cstheme="minorHAnsi"/>
                <w:b/>
                <w:bCs/>
              </w:rPr>
            </w:pPr>
            <w:r w:rsidRPr="00C87850">
              <w:rPr>
                <w:rFonts w:cstheme="minorHAnsi"/>
                <w:b/>
                <w:bCs/>
              </w:rPr>
              <w:t>PET/CT</w:t>
            </w:r>
          </w:p>
        </w:tc>
        <w:tc>
          <w:tcPr>
            <w:tcW w:w="867" w:type="pct"/>
          </w:tcPr>
          <w:p w14:paraId="7266BE8C" w14:textId="77777777" w:rsidR="00B362E3" w:rsidRPr="00C87850" w:rsidRDefault="00B362E3" w:rsidP="00885F55">
            <w:pPr>
              <w:jc w:val="center"/>
              <w:rPr>
                <w:rFonts w:cstheme="minorHAnsi"/>
                <w:b/>
                <w:bCs/>
              </w:rPr>
            </w:pPr>
          </w:p>
        </w:tc>
        <w:tc>
          <w:tcPr>
            <w:tcW w:w="868" w:type="pct"/>
          </w:tcPr>
          <w:p w14:paraId="6AA8F42C" w14:textId="77777777" w:rsidR="00B362E3" w:rsidRPr="00C87850" w:rsidRDefault="00B362E3" w:rsidP="00885F55">
            <w:pPr>
              <w:jc w:val="center"/>
              <w:rPr>
                <w:rFonts w:cstheme="minorHAnsi"/>
                <w:b/>
                <w:bCs/>
              </w:rPr>
            </w:pPr>
          </w:p>
        </w:tc>
        <w:tc>
          <w:tcPr>
            <w:tcW w:w="714" w:type="pct"/>
          </w:tcPr>
          <w:p w14:paraId="6EAC2ACD" w14:textId="77777777" w:rsidR="00B362E3" w:rsidRPr="00C87850" w:rsidRDefault="00B362E3" w:rsidP="00885F55">
            <w:pPr>
              <w:jc w:val="center"/>
              <w:rPr>
                <w:rFonts w:cstheme="minorHAnsi"/>
                <w:b/>
                <w:bCs/>
              </w:rPr>
            </w:pPr>
            <w:r w:rsidRPr="00C87850">
              <w:rPr>
                <w:rFonts w:cstheme="minorHAnsi"/>
                <w:b/>
                <w:bCs/>
              </w:rPr>
              <w:t>X</w:t>
            </w:r>
          </w:p>
        </w:tc>
        <w:tc>
          <w:tcPr>
            <w:tcW w:w="919" w:type="pct"/>
          </w:tcPr>
          <w:p w14:paraId="5DF2ED1D" w14:textId="77777777" w:rsidR="00B362E3" w:rsidRPr="00C87850" w:rsidRDefault="00B362E3" w:rsidP="00885F55">
            <w:pPr>
              <w:jc w:val="center"/>
              <w:rPr>
                <w:rFonts w:cstheme="minorHAnsi"/>
                <w:b/>
                <w:bCs/>
              </w:rPr>
            </w:pPr>
          </w:p>
        </w:tc>
      </w:tr>
      <w:tr w:rsidR="00B362E3" w:rsidRPr="00C87850" w14:paraId="7D1AAE19" w14:textId="77777777" w:rsidTr="00885F55">
        <w:tc>
          <w:tcPr>
            <w:tcW w:w="1632" w:type="pct"/>
          </w:tcPr>
          <w:p w14:paraId="6CFCF93C" w14:textId="77777777" w:rsidR="00B362E3" w:rsidRPr="00C87850" w:rsidRDefault="00B362E3" w:rsidP="00885F55">
            <w:pPr>
              <w:rPr>
                <w:rFonts w:cstheme="minorHAnsi"/>
                <w:b/>
                <w:bCs/>
              </w:rPr>
            </w:pPr>
            <w:r w:rsidRPr="00C87850">
              <w:rPr>
                <w:rFonts w:cstheme="minorHAnsi"/>
                <w:b/>
                <w:bCs/>
              </w:rPr>
              <w:t>Adverse events</w:t>
            </w:r>
          </w:p>
        </w:tc>
        <w:tc>
          <w:tcPr>
            <w:tcW w:w="867" w:type="pct"/>
          </w:tcPr>
          <w:p w14:paraId="3FF2680F" w14:textId="77777777" w:rsidR="00B362E3" w:rsidRPr="00C87850" w:rsidRDefault="00B362E3" w:rsidP="00885F55">
            <w:pPr>
              <w:jc w:val="center"/>
              <w:rPr>
                <w:rFonts w:cstheme="minorHAnsi"/>
                <w:b/>
                <w:bCs/>
              </w:rPr>
            </w:pPr>
          </w:p>
        </w:tc>
        <w:tc>
          <w:tcPr>
            <w:tcW w:w="868" w:type="pct"/>
          </w:tcPr>
          <w:p w14:paraId="518EEBA1" w14:textId="77777777" w:rsidR="00B362E3" w:rsidRPr="00C87850" w:rsidRDefault="00B362E3" w:rsidP="00885F55">
            <w:pPr>
              <w:jc w:val="center"/>
              <w:rPr>
                <w:rFonts w:cstheme="minorHAnsi"/>
                <w:b/>
                <w:bCs/>
              </w:rPr>
            </w:pPr>
            <w:r w:rsidRPr="00C87850">
              <w:rPr>
                <w:rFonts w:cstheme="minorHAnsi"/>
                <w:b/>
                <w:bCs/>
              </w:rPr>
              <w:t>X</w:t>
            </w:r>
          </w:p>
        </w:tc>
        <w:tc>
          <w:tcPr>
            <w:tcW w:w="714" w:type="pct"/>
          </w:tcPr>
          <w:p w14:paraId="72F253B4" w14:textId="77777777" w:rsidR="00B362E3" w:rsidRPr="00C87850" w:rsidRDefault="00B362E3" w:rsidP="00885F55">
            <w:pPr>
              <w:jc w:val="center"/>
              <w:rPr>
                <w:rFonts w:cstheme="minorHAnsi"/>
                <w:b/>
                <w:bCs/>
              </w:rPr>
            </w:pPr>
            <w:r w:rsidRPr="00C87850">
              <w:rPr>
                <w:rFonts w:cstheme="minorHAnsi"/>
                <w:b/>
                <w:bCs/>
              </w:rPr>
              <w:t>X</w:t>
            </w:r>
          </w:p>
        </w:tc>
        <w:tc>
          <w:tcPr>
            <w:tcW w:w="919" w:type="pct"/>
          </w:tcPr>
          <w:p w14:paraId="558226E3" w14:textId="77777777" w:rsidR="00B362E3" w:rsidRPr="00C87850" w:rsidRDefault="00B362E3" w:rsidP="00885F55">
            <w:pPr>
              <w:jc w:val="center"/>
              <w:rPr>
                <w:rFonts w:cstheme="minorHAnsi"/>
                <w:b/>
                <w:bCs/>
              </w:rPr>
            </w:pPr>
            <w:r w:rsidRPr="00C87850">
              <w:rPr>
                <w:rFonts w:cstheme="minorHAnsi"/>
                <w:b/>
                <w:bCs/>
              </w:rPr>
              <w:t>X</w:t>
            </w:r>
          </w:p>
        </w:tc>
      </w:tr>
      <w:tr w:rsidR="00B362E3" w:rsidRPr="00C87850" w14:paraId="5326EE4F" w14:textId="77777777" w:rsidTr="00885F55">
        <w:tc>
          <w:tcPr>
            <w:tcW w:w="1632" w:type="pct"/>
          </w:tcPr>
          <w:p w14:paraId="0395FAE8" w14:textId="77777777" w:rsidR="00B362E3" w:rsidRPr="00C87850" w:rsidRDefault="00B362E3" w:rsidP="00885F55">
            <w:pPr>
              <w:rPr>
                <w:rFonts w:cstheme="minorHAnsi"/>
                <w:b/>
                <w:bCs/>
              </w:rPr>
            </w:pPr>
            <w:r w:rsidRPr="00C87850">
              <w:rPr>
                <w:rFonts w:cstheme="minorHAnsi"/>
                <w:b/>
                <w:bCs/>
              </w:rPr>
              <w:t>Concomitant Medications</w:t>
            </w:r>
          </w:p>
        </w:tc>
        <w:tc>
          <w:tcPr>
            <w:tcW w:w="867" w:type="pct"/>
          </w:tcPr>
          <w:p w14:paraId="2BC759A5" w14:textId="77777777" w:rsidR="00B362E3" w:rsidRPr="00C87850" w:rsidRDefault="00B362E3" w:rsidP="00885F55">
            <w:pPr>
              <w:jc w:val="center"/>
              <w:rPr>
                <w:rFonts w:cstheme="minorHAnsi"/>
                <w:b/>
                <w:bCs/>
              </w:rPr>
            </w:pPr>
            <w:r w:rsidRPr="00C87850">
              <w:rPr>
                <w:rFonts w:cstheme="minorHAnsi"/>
                <w:b/>
                <w:bCs/>
              </w:rPr>
              <w:t>X</w:t>
            </w:r>
          </w:p>
        </w:tc>
        <w:tc>
          <w:tcPr>
            <w:tcW w:w="868" w:type="pct"/>
          </w:tcPr>
          <w:p w14:paraId="19C6CDBC" w14:textId="77777777" w:rsidR="00B362E3" w:rsidRPr="00C87850" w:rsidRDefault="00B362E3" w:rsidP="00885F55">
            <w:pPr>
              <w:jc w:val="center"/>
              <w:rPr>
                <w:rFonts w:cstheme="minorHAnsi"/>
                <w:b/>
                <w:bCs/>
              </w:rPr>
            </w:pPr>
            <w:r w:rsidRPr="00C87850">
              <w:rPr>
                <w:rFonts w:cstheme="minorHAnsi"/>
                <w:b/>
                <w:bCs/>
              </w:rPr>
              <w:t>X</w:t>
            </w:r>
          </w:p>
        </w:tc>
        <w:tc>
          <w:tcPr>
            <w:tcW w:w="714" w:type="pct"/>
          </w:tcPr>
          <w:p w14:paraId="7ACF6103" w14:textId="77777777" w:rsidR="00B362E3" w:rsidRPr="00C87850" w:rsidRDefault="00B362E3" w:rsidP="00885F55">
            <w:pPr>
              <w:jc w:val="center"/>
              <w:rPr>
                <w:rFonts w:cstheme="minorHAnsi"/>
                <w:b/>
                <w:bCs/>
              </w:rPr>
            </w:pPr>
            <w:r w:rsidRPr="00C87850">
              <w:rPr>
                <w:rFonts w:cstheme="minorHAnsi"/>
                <w:b/>
                <w:bCs/>
              </w:rPr>
              <w:t>X</w:t>
            </w:r>
          </w:p>
        </w:tc>
        <w:tc>
          <w:tcPr>
            <w:tcW w:w="919" w:type="pct"/>
          </w:tcPr>
          <w:p w14:paraId="00C9A761" w14:textId="77777777" w:rsidR="00B362E3" w:rsidRPr="00C87850" w:rsidRDefault="00B362E3" w:rsidP="00885F55">
            <w:pPr>
              <w:jc w:val="center"/>
              <w:rPr>
                <w:rFonts w:cstheme="minorHAnsi"/>
                <w:b/>
                <w:bCs/>
              </w:rPr>
            </w:pPr>
            <w:r w:rsidRPr="00C87850">
              <w:rPr>
                <w:rFonts w:cstheme="minorHAnsi"/>
                <w:b/>
                <w:bCs/>
              </w:rPr>
              <w:t>X</w:t>
            </w:r>
          </w:p>
        </w:tc>
      </w:tr>
    </w:tbl>
    <w:p w14:paraId="176FA7E2" w14:textId="45CB19F6" w:rsidR="00B362E3" w:rsidRDefault="00B362E3">
      <w:pPr>
        <w:sectPr w:rsidR="00B362E3" w:rsidSect="00B362E3">
          <w:pgSz w:w="16838" w:h="11906" w:orient="landscape"/>
          <w:pgMar w:top="1440" w:right="1440" w:bottom="1440" w:left="1440" w:header="708" w:footer="708" w:gutter="0"/>
          <w:cols w:space="708"/>
          <w:docGrid w:linePitch="360"/>
        </w:sectPr>
      </w:pPr>
    </w:p>
    <w:p w14:paraId="4B99056E" w14:textId="77777777" w:rsidR="00D5612D" w:rsidRDefault="00D5612D"/>
    <w:p w14:paraId="15298BEB" w14:textId="77777777" w:rsidR="00CA0F60" w:rsidRPr="00DC40F3" w:rsidRDefault="00CA0F60" w:rsidP="00CA0F60">
      <w:pPr>
        <w:rPr>
          <w:b/>
        </w:rPr>
      </w:pPr>
      <w:r w:rsidRPr="00DC40F3">
        <w:rPr>
          <w:b/>
        </w:rPr>
        <w:t xml:space="preserve">Table of 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6"/>
        <w:gridCol w:w="1160"/>
      </w:tblGrid>
      <w:tr w:rsidR="00CA0F60" w14:paraId="0B6E5918" w14:textId="77777777" w:rsidTr="000C0275">
        <w:tc>
          <w:tcPr>
            <w:tcW w:w="7866" w:type="dxa"/>
          </w:tcPr>
          <w:p w14:paraId="644B9F8E" w14:textId="77777777" w:rsidR="00CA0F60" w:rsidRDefault="00CA0F60">
            <w:pPr>
              <w:rPr>
                <w:b/>
                <w:bCs/>
              </w:rPr>
            </w:pPr>
            <w:r w:rsidRPr="00632FB8">
              <w:rPr>
                <w:b/>
                <w:bCs/>
              </w:rPr>
              <w:t xml:space="preserve">Synopsis </w:t>
            </w:r>
          </w:p>
          <w:p w14:paraId="39B0A0B4" w14:textId="20768EB2" w:rsidR="006E7DAB" w:rsidRPr="00632FB8" w:rsidRDefault="006E7DAB">
            <w:pPr>
              <w:rPr>
                <w:b/>
                <w:bCs/>
              </w:rPr>
            </w:pPr>
            <w:r>
              <w:rPr>
                <w:b/>
                <w:bCs/>
              </w:rPr>
              <w:t>Table 1: Schedule of assessments</w:t>
            </w:r>
          </w:p>
        </w:tc>
        <w:tc>
          <w:tcPr>
            <w:tcW w:w="1160" w:type="dxa"/>
          </w:tcPr>
          <w:p w14:paraId="38930467" w14:textId="0BC9ACEE" w:rsidR="006E7DAB" w:rsidRDefault="006E7DAB" w:rsidP="00F63B60">
            <w:pPr>
              <w:jc w:val="right"/>
            </w:pPr>
            <w:r>
              <w:t>2</w:t>
            </w:r>
          </w:p>
          <w:p w14:paraId="18F999B5" w14:textId="1BAFC70A" w:rsidR="00CA0F60" w:rsidRDefault="006E7DAB" w:rsidP="00F63B60">
            <w:pPr>
              <w:jc w:val="right"/>
            </w:pPr>
            <w:r>
              <w:t>6</w:t>
            </w:r>
          </w:p>
        </w:tc>
      </w:tr>
      <w:tr w:rsidR="000C0275" w14:paraId="2FD53061" w14:textId="77777777" w:rsidTr="000C0275">
        <w:tc>
          <w:tcPr>
            <w:tcW w:w="7866" w:type="dxa"/>
          </w:tcPr>
          <w:p w14:paraId="2E0A6F91" w14:textId="2CBD7AAC" w:rsidR="000C0275" w:rsidRPr="00632FB8" w:rsidRDefault="000C0275" w:rsidP="00632FB8">
            <w:pPr>
              <w:pStyle w:val="ListParagraph"/>
              <w:ind w:left="0"/>
              <w:rPr>
                <w:b/>
                <w:bCs/>
              </w:rPr>
            </w:pPr>
            <w:r w:rsidRPr="00632FB8">
              <w:rPr>
                <w:b/>
                <w:bCs/>
              </w:rPr>
              <w:t>1. Background</w:t>
            </w:r>
          </w:p>
        </w:tc>
        <w:tc>
          <w:tcPr>
            <w:tcW w:w="1160" w:type="dxa"/>
          </w:tcPr>
          <w:p w14:paraId="78941E47" w14:textId="417387D9" w:rsidR="000C0275" w:rsidRDefault="006E7DAB" w:rsidP="000C0275">
            <w:pPr>
              <w:jc w:val="right"/>
            </w:pPr>
            <w:r>
              <w:t>10</w:t>
            </w:r>
          </w:p>
        </w:tc>
      </w:tr>
      <w:tr w:rsidR="000C0275" w14:paraId="5E1B76AC" w14:textId="77777777" w:rsidTr="000C0275">
        <w:tc>
          <w:tcPr>
            <w:tcW w:w="7866" w:type="dxa"/>
          </w:tcPr>
          <w:p w14:paraId="51BEA9EE" w14:textId="3DF1A93D" w:rsidR="000C0275" w:rsidRDefault="000C0275" w:rsidP="00632FB8">
            <w:pPr>
              <w:pStyle w:val="ListParagraph"/>
              <w:ind w:left="0"/>
            </w:pPr>
            <w:r w:rsidRPr="00787AC0">
              <w:t>1.1 Bladder cancer and predictive biomarkers</w:t>
            </w:r>
          </w:p>
        </w:tc>
        <w:tc>
          <w:tcPr>
            <w:tcW w:w="1160" w:type="dxa"/>
          </w:tcPr>
          <w:p w14:paraId="44240AAE" w14:textId="082F7909" w:rsidR="000C0275" w:rsidRDefault="006E7DAB" w:rsidP="000C0275">
            <w:pPr>
              <w:jc w:val="right"/>
            </w:pPr>
            <w:r>
              <w:t>10</w:t>
            </w:r>
          </w:p>
        </w:tc>
      </w:tr>
      <w:tr w:rsidR="000C0275" w14:paraId="7AC425E2" w14:textId="77777777" w:rsidTr="000C0275">
        <w:tc>
          <w:tcPr>
            <w:tcW w:w="7866" w:type="dxa"/>
          </w:tcPr>
          <w:p w14:paraId="496DD89E" w14:textId="58551347" w:rsidR="000C0275" w:rsidRDefault="000C0275" w:rsidP="00632FB8">
            <w:pPr>
              <w:pStyle w:val="ListParagraph"/>
              <w:ind w:left="0"/>
            </w:pPr>
            <w:r w:rsidRPr="00787AC0">
              <w:t>1.2 Carbonic anhydrase IX (CAIX)</w:t>
            </w:r>
          </w:p>
        </w:tc>
        <w:tc>
          <w:tcPr>
            <w:tcW w:w="1160" w:type="dxa"/>
          </w:tcPr>
          <w:p w14:paraId="76DB90EB" w14:textId="204302A6" w:rsidR="000C0275" w:rsidRDefault="006E7DAB" w:rsidP="000C0275">
            <w:pPr>
              <w:jc w:val="right"/>
            </w:pPr>
            <w:r>
              <w:t>10</w:t>
            </w:r>
          </w:p>
        </w:tc>
      </w:tr>
      <w:tr w:rsidR="000C0275" w14:paraId="1014CC15" w14:textId="77777777" w:rsidTr="000C0275">
        <w:tc>
          <w:tcPr>
            <w:tcW w:w="7866" w:type="dxa"/>
          </w:tcPr>
          <w:p w14:paraId="5BCF7959" w14:textId="44E379F9" w:rsidR="000C0275" w:rsidRDefault="000C0275" w:rsidP="00632FB8">
            <w:pPr>
              <w:pStyle w:val="ListParagraph"/>
              <w:ind w:left="0"/>
            </w:pPr>
            <w:r w:rsidRPr="00787AC0">
              <w:t>1.3 Immuno-Positron Emission Tomography / Computed Tomography (PET/CT) and Zirconium-89-girentuximab (</w:t>
            </w:r>
            <w:r w:rsidRPr="00787AC0">
              <w:rPr>
                <w:rFonts w:cstheme="minorHAnsi"/>
                <w:bCs/>
                <w:vertAlign w:val="superscript"/>
              </w:rPr>
              <w:t>89</w:t>
            </w:r>
            <w:r w:rsidRPr="00787AC0">
              <w:rPr>
                <w:rFonts w:cstheme="minorHAnsi"/>
                <w:bCs/>
              </w:rPr>
              <w:t>Zr-TLX250)</w:t>
            </w:r>
          </w:p>
        </w:tc>
        <w:tc>
          <w:tcPr>
            <w:tcW w:w="1160" w:type="dxa"/>
          </w:tcPr>
          <w:p w14:paraId="729DE7E4" w14:textId="45C94C82" w:rsidR="000C0275" w:rsidRDefault="006E7DAB" w:rsidP="000C0275">
            <w:pPr>
              <w:jc w:val="right"/>
            </w:pPr>
            <w:r>
              <w:t>10</w:t>
            </w:r>
          </w:p>
        </w:tc>
      </w:tr>
      <w:tr w:rsidR="000C0275" w14:paraId="0CBAE9EA" w14:textId="77777777" w:rsidTr="000C0275">
        <w:tc>
          <w:tcPr>
            <w:tcW w:w="7866" w:type="dxa"/>
          </w:tcPr>
          <w:p w14:paraId="304A56B5" w14:textId="3D682DAD" w:rsidR="000C0275" w:rsidRPr="00632FB8" w:rsidRDefault="000C0275" w:rsidP="00632FB8">
            <w:pPr>
              <w:pStyle w:val="ListParagraph"/>
              <w:ind w:left="0"/>
              <w:rPr>
                <w:b/>
              </w:rPr>
            </w:pPr>
            <w:r w:rsidRPr="00632FB8">
              <w:rPr>
                <w:rFonts w:cstheme="minorHAnsi"/>
                <w:b/>
              </w:rPr>
              <w:t>2. Aims and objectives</w:t>
            </w:r>
          </w:p>
        </w:tc>
        <w:tc>
          <w:tcPr>
            <w:tcW w:w="1160" w:type="dxa"/>
          </w:tcPr>
          <w:p w14:paraId="29B4EA11" w14:textId="5688E587" w:rsidR="000C0275" w:rsidRDefault="00372C51" w:rsidP="000C0275">
            <w:pPr>
              <w:jc w:val="right"/>
            </w:pPr>
            <w:r>
              <w:t>11</w:t>
            </w:r>
          </w:p>
        </w:tc>
      </w:tr>
      <w:tr w:rsidR="000C0275" w14:paraId="5E2CEE0C" w14:textId="77777777" w:rsidTr="000C0275">
        <w:tc>
          <w:tcPr>
            <w:tcW w:w="7866" w:type="dxa"/>
          </w:tcPr>
          <w:p w14:paraId="0AE9B9C5" w14:textId="6DADE8B5" w:rsidR="000C0275" w:rsidRPr="00632FB8" w:rsidRDefault="000C0275" w:rsidP="00632FB8">
            <w:pPr>
              <w:pStyle w:val="ListParagraph"/>
              <w:ind w:left="0"/>
              <w:rPr>
                <w:b/>
              </w:rPr>
            </w:pPr>
            <w:r w:rsidRPr="00632FB8">
              <w:rPr>
                <w:rFonts w:cstheme="minorHAnsi"/>
                <w:b/>
              </w:rPr>
              <w:t>3. Overview of Methodology and Design</w:t>
            </w:r>
          </w:p>
        </w:tc>
        <w:tc>
          <w:tcPr>
            <w:tcW w:w="1160" w:type="dxa"/>
          </w:tcPr>
          <w:p w14:paraId="1B87E3DE" w14:textId="5CDA3EC3" w:rsidR="000C0275" w:rsidRDefault="00372C51" w:rsidP="000C0275">
            <w:pPr>
              <w:jc w:val="right"/>
            </w:pPr>
            <w:r>
              <w:t>12</w:t>
            </w:r>
          </w:p>
        </w:tc>
      </w:tr>
      <w:tr w:rsidR="000C0275" w14:paraId="507B449F" w14:textId="77777777" w:rsidTr="000C0275">
        <w:tc>
          <w:tcPr>
            <w:tcW w:w="7866" w:type="dxa"/>
          </w:tcPr>
          <w:p w14:paraId="33390D01" w14:textId="07CD2CC5" w:rsidR="000C0275" w:rsidRDefault="000C0275" w:rsidP="00632FB8">
            <w:pPr>
              <w:pStyle w:val="ListParagraph"/>
              <w:ind w:left="0"/>
            </w:pPr>
            <w:r w:rsidRPr="009B5604">
              <w:rPr>
                <w:rFonts w:cstheme="minorHAnsi"/>
                <w:bCs/>
              </w:rPr>
              <w:t>3.1 Study design</w:t>
            </w:r>
          </w:p>
        </w:tc>
        <w:tc>
          <w:tcPr>
            <w:tcW w:w="1160" w:type="dxa"/>
          </w:tcPr>
          <w:p w14:paraId="1946A7AE" w14:textId="3BA6AD0F" w:rsidR="000C0275" w:rsidRDefault="00372C51" w:rsidP="000C0275">
            <w:pPr>
              <w:jc w:val="right"/>
            </w:pPr>
            <w:r>
              <w:t>12</w:t>
            </w:r>
          </w:p>
        </w:tc>
      </w:tr>
      <w:tr w:rsidR="000C0275" w14:paraId="2A85E31A" w14:textId="77777777" w:rsidTr="000C0275">
        <w:tc>
          <w:tcPr>
            <w:tcW w:w="7866" w:type="dxa"/>
          </w:tcPr>
          <w:p w14:paraId="5A0B1097" w14:textId="2D8E003A" w:rsidR="000C0275" w:rsidRDefault="000C0275" w:rsidP="00632FB8">
            <w:pPr>
              <w:pStyle w:val="ListParagraph"/>
              <w:ind w:left="0"/>
            </w:pPr>
            <w:r w:rsidRPr="009B5604">
              <w:rPr>
                <w:rFonts w:cstheme="minorHAnsi"/>
                <w:bCs/>
              </w:rPr>
              <w:t>3.2 Study conduct</w:t>
            </w:r>
          </w:p>
        </w:tc>
        <w:tc>
          <w:tcPr>
            <w:tcW w:w="1160" w:type="dxa"/>
          </w:tcPr>
          <w:p w14:paraId="6DDB914C" w14:textId="0449F9B6" w:rsidR="000C0275" w:rsidRDefault="00372C51" w:rsidP="000C0275">
            <w:pPr>
              <w:jc w:val="right"/>
            </w:pPr>
            <w:r>
              <w:t>12</w:t>
            </w:r>
          </w:p>
        </w:tc>
      </w:tr>
      <w:tr w:rsidR="000C0275" w14:paraId="42F8CD9E" w14:textId="77777777" w:rsidTr="000C0275">
        <w:tc>
          <w:tcPr>
            <w:tcW w:w="7866" w:type="dxa"/>
          </w:tcPr>
          <w:p w14:paraId="3A2B28A4" w14:textId="3D2E1323" w:rsidR="000C0275" w:rsidRDefault="000C0275" w:rsidP="00632FB8">
            <w:pPr>
              <w:pStyle w:val="ListParagraph"/>
              <w:ind w:left="0"/>
              <w:rPr>
                <w:rFonts w:cstheme="minorHAnsi"/>
                <w:bCs/>
              </w:rPr>
            </w:pPr>
            <w:r w:rsidRPr="009B5604">
              <w:rPr>
                <w:rFonts w:cstheme="minorHAnsi"/>
                <w:bCs/>
              </w:rPr>
              <w:t>3.3 Endpoints</w:t>
            </w:r>
          </w:p>
          <w:p w14:paraId="24C300F5" w14:textId="77777777" w:rsidR="000C0275" w:rsidRDefault="000C0275">
            <w:pPr>
              <w:rPr>
                <w:rFonts w:cstheme="minorHAnsi"/>
                <w:bCs/>
              </w:rPr>
            </w:pPr>
            <w:r>
              <w:rPr>
                <w:rFonts w:cstheme="minorHAnsi"/>
                <w:bCs/>
              </w:rPr>
              <w:t>3.3.1 Primary endpoint</w:t>
            </w:r>
          </w:p>
          <w:p w14:paraId="680887A0" w14:textId="2CA9C57E" w:rsidR="000C0275" w:rsidRDefault="000C0275" w:rsidP="000C0275">
            <w:pPr>
              <w:rPr>
                <w:rFonts w:cstheme="minorHAnsi"/>
                <w:bCs/>
              </w:rPr>
            </w:pPr>
            <w:r>
              <w:rPr>
                <w:rFonts w:cstheme="minorHAnsi"/>
                <w:bCs/>
              </w:rPr>
              <w:t>3.3.2 Secondary endpoints</w:t>
            </w:r>
          </w:p>
          <w:p w14:paraId="44D5AB8F" w14:textId="77777777" w:rsidR="000C0275" w:rsidRPr="00632FB8" w:rsidRDefault="000C0275" w:rsidP="000C0275">
            <w:pPr>
              <w:rPr>
                <w:rFonts w:cstheme="minorHAnsi"/>
                <w:b/>
              </w:rPr>
            </w:pPr>
            <w:r w:rsidRPr="00632FB8">
              <w:rPr>
                <w:rFonts w:cstheme="minorHAnsi"/>
                <w:b/>
              </w:rPr>
              <w:t>4. Study population</w:t>
            </w:r>
          </w:p>
          <w:p w14:paraId="2C5B63C2" w14:textId="76AF6801" w:rsidR="00885F55" w:rsidRDefault="00885F55" w:rsidP="000C0275">
            <w:pPr>
              <w:rPr>
                <w:rFonts w:cstheme="minorHAnsi"/>
                <w:bCs/>
              </w:rPr>
            </w:pPr>
            <w:r>
              <w:rPr>
                <w:rFonts w:cstheme="minorHAnsi"/>
                <w:bCs/>
              </w:rPr>
              <w:t>4.1 Target population</w:t>
            </w:r>
          </w:p>
          <w:p w14:paraId="54237732" w14:textId="07F064E5" w:rsidR="000C0275" w:rsidRDefault="000C0275" w:rsidP="000C0275">
            <w:pPr>
              <w:rPr>
                <w:rFonts w:cstheme="minorHAnsi"/>
                <w:bCs/>
              </w:rPr>
            </w:pPr>
            <w:r>
              <w:rPr>
                <w:rFonts w:cstheme="minorHAnsi"/>
                <w:bCs/>
              </w:rPr>
              <w:t>4.2 Eligibility</w:t>
            </w:r>
          </w:p>
          <w:p w14:paraId="6FA0A8BB" w14:textId="77777777" w:rsidR="000C0275" w:rsidRDefault="000C0275" w:rsidP="000C0275">
            <w:pPr>
              <w:rPr>
                <w:rFonts w:cstheme="minorHAnsi"/>
                <w:bCs/>
              </w:rPr>
            </w:pPr>
            <w:r>
              <w:rPr>
                <w:rFonts w:cstheme="minorHAnsi"/>
                <w:bCs/>
              </w:rPr>
              <w:t>4.2.1 Inclusion criteria</w:t>
            </w:r>
          </w:p>
          <w:p w14:paraId="0175F989" w14:textId="77777777" w:rsidR="000C0275" w:rsidRDefault="000C0275" w:rsidP="000C0275">
            <w:pPr>
              <w:rPr>
                <w:rFonts w:cstheme="minorHAnsi"/>
                <w:bCs/>
              </w:rPr>
            </w:pPr>
            <w:r>
              <w:rPr>
                <w:rFonts w:cstheme="minorHAnsi"/>
                <w:bCs/>
              </w:rPr>
              <w:t>4.2.2 Exclusion criteria</w:t>
            </w:r>
          </w:p>
          <w:p w14:paraId="25F2A9F4" w14:textId="77777777" w:rsidR="000C0275" w:rsidRDefault="000C0275" w:rsidP="000C0275">
            <w:pPr>
              <w:rPr>
                <w:rFonts w:cstheme="minorHAnsi"/>
                <w:bCs/>
              </w:rPr>
            </w:pPr>
            <w:r>
              <w:rPr>
                <w:rFonts w:cstheme="minorHAnsi"/>
                <w:bCs/>
              </w:rPr>
              <w:t xml:space="preserve">4.2.3 Recruitment </w:t>
            </w:r>
          </w:p>
          <w:p w14:paraId="696EBD6C" w14:textId="77777777" w:rsidR="000C0275" w:rsidRDefault="000C0275" w:rsidP="000C0275">
            <w:pPr>
              <w:rPr>
                <w:rFonts w:cstheme="minorHAnsi"/>
                <w:bCs/>
              </w:rPr>
            </w:pPr>
            <w:r>
              <w:rPr>
                <w:rFonts w:cstheme="minorHAnsi"/>
                <w:bCs/>
              </w:rPr>
              <w:t>4.3 Withdrawal of Patients from Study Participation or Medication</w:t>
            </w:r>
          </w:p>
          <w:p w14:paraId="5865BE06" w14:textId="77777777" w:rsidR="000C0275" w:rsidRDefault="000C0275" w:rsidP="000C0275">
            <w:pPr>
              <w:rPr>
                <w:rFonts w:cstheme="minorHAnsi"/>
                <w:bCs/>
              </w:rPr>
            </w:pPr>
            <w:r>
              <w:rPr>
                <w:rFonts w:cstheme="minorHAnsi"/>
                <w:bCs/>
              </w:rPr>
              <w:t xml:space="preserve">4.3.1 Withdrawal </w:t>
            </w:r>
          </w:p>
          <w:p w14:paraId="5237CFFC" w14:textId="77777777" w:rsidR="000C0275" w:rsidRDefault="000C0275" w:rsidP="000C0275">
            <w:pPr>
              <w:rPr>
                <w:rFonts w:cstheme="minorHAnsi"/>
                <w:bCs/>
              </w:rPr>
            </w:pPr>
            <w:r>
              <w:rPr>
                <w:rFonts w:cstheme="minorHAnsi"/>
                <w:bCs/>
              </w:rPr>
              <w:t>4.3.2 Replacement</w:t>
            </w:r>
          </w:p>
          <w:p w14:paraId="4232CE4A" w14:textId="77777777" w:rsidR="000C0275" w:rsidRDefault="000C0275" w:rsidP="000C0275">
            <w:pPr>
              <w:rPr>
                <w:rFonts w:cstheme="minorHAnsi"/>
                <w:bCs/>
              </w:rPr>
            </w:pPr>
            <w:r>
              <w:rPr>
                <w:rFonts w:cstheme="minorHAnsi"/>
                <w:bCs/>
              </w:rPr>
              <w:t>4.4 Patient identification</w:t>
            </w:r>
          </w:p>
          <w:p w14:paraId="3220BB42" w14:textId="77777777" w:rsidR="000C0275" w:rsidRDefault="000C0275" w:rsidP="000C0275">
            <w:pPr>
              <w:rPr>
                <w:rFonts w:cstheme="minorHAnsi"/>
                <w:bCs/>
              </w:rPr>
            </w:pPr>
            <w:r>
              <w:rPr>
                <w:rFonts w:cstheme="minorHAnsi"/>
                <w:bCs/>
              </w:rPr>
              <w:t>5</w:t>
            </w:r>
            <w:r w:rsidRPr="00632FB8">
              <w:rPr>
                <w:rFonts w:cstheme="minorHAnsi"/>
                <w:b/>
              </w:rPr>
              <w:t>. Study Treatment</w:t>
            </w:r>
          </w:p>
          <w:p w14:paraId="2CBCACAB" w14:textId="77777777" w:rsidR="000C0275" w:rsidRDefault="000C0275" w:rsidP="000C0275">
            <w:pPr>
              <w:rPr>
                <w:rFonts w:cstheme="minorHAnsi"/>
                <w:bCs/>
              </w:rPr>
            </w:pPr>
            <w:r>
              <w:rPr>
                <w:rFonts w:cstheme="minorHAnsi"/>
                <w:bCs/>
              </w:rPr>
              <w:t xml:space="preserve">5.1 Study drug </w:t>
            </w:r>
            <w:r w:rsidRPr="009D2267">
              <w:rPr>
                <w:rFonts w:cstheme="minorHAnsi"/>
                <w:bCs/>
                <w:vertAlign w:val="superscript"/>
              </w:rPr>
              <w:t>89</w:t>
            </w:r>
            <w:r w:rsidRPr="009D2267">
              <w:rPr>
                <w:rFonts w:cstheme="minorHAnsi"/>
                <w:bCs/>
              </w:rPr>
              <w:t>Zr-TLX250</w:t>
            </w:r>
            <w:r>
              <w:rPr>
                <w:rFonts w:cstheme="minorHAnsi"/>
                <w:bCs/>
              </w:rPr>
              <w:t xml:space="preserve"> </w:t>
            </w:r>
          </w:p>
          <w:p w14:paraId="5D38DFDB" w14:textId="77777777" w:rsidR="000C0275" w:rsidRDefault="000C0275" w:rsidP="000C0275">
            <w:pPr>
              <w:rPr>
                <w:rFonts w:cstheme="minorHAnsi"/>
                <w:bCs/>
              </w:rPr>
            </w:pPr>
            <w:r>
              <w:rPr>
                <w:rFonts w:cstheme="minorHAnsi"/>
                <w:bCs/>
              </w:rPr>
              <w:t>5.1.1 Chemical properties</w:t>
            </w:r>
          </w:p>
          <w:p w14:paraId="69F0B630" w14:textId="77777777" w:rsidR="000C0275" w:rsidRDefault="000C0275" w:rsidP="000C0275">
            <w:pPr>
              <w:rPr>
                <w:rFonts w:cstheme="minorHAnsi"/>
                <w:bCs/>
              </w:rPr>
            </w:pPr>
            <w:r>
              <w:rPr>
                <w:rFonts w:cstheme="minorHAnsi"/>
                <w:bCs/>
              </w:rPr>
              <w:t>5.1.2 Pharmaceutical Properties</w:t>
            </w:r>
          </w:p>
          <w:p w14:paraId="528A4347" w14:textId="77777777" w:rsidR="000C0275" w:rsidRDefault="000C0275" w:rsidP="000C0275">
            <w:pPr>
              <w:rPr>
                <w:rFonts w:cstheme="minorHAnsi"/>
                <w:bCs/>
              </w:rPr>
            </w:pPr>
            <w:r>
              <w:rPr>
                <w:rFonts w:cstheme="minorHAnsi"/>
                <w:bCs/>
              </w:rPr>
              <w:t>5.1.3 Storage and Handling</w:t>
            </w:r>
          </w:p>
          <w:p w14:paraId="1D43CD97" w14:textId="77777777" w:rsidR="000C0275" w:rsidRDefault="000C0275" w:rsidP="000C0275">
            <w:pPr>
              <w:rPr>
                <w:rFonts w:cstheme="minorHAnsi"/>
                <w:bCs/>
              </w:rPr>
            </w:pPr>
            <w:r>
              <w:rPr>
                <w:rFonts w:cstheme="minorHAnsi"/>
                <w:bCs/>
              </w:rPr>
              <w:t>5.1.4 Dosage and Administration</w:t>
            </w:r>
          </w:p>
          <w:p w14:paraId="4D32E8AE" w14:textId="77777777" w:rsidR="000C0275" w:rsidRDefault="000C0275" w:rsidP="000C0275">
            <w:pPr>
              <w:rPr>
                <w:rFonts w:cstheme="minorHAnsi"/>
                <w:bCs/>
              </w:rPr>
            </w:pPr>
            <w:r>
              <w:rPr>
                <w:rFonts w:cstheme="minorHAnsi"/>
                <w:bCs/>
              </w:rPr>
              <w:t>5.1.5 Packaging and Labelling</w:t>
            </w:r>
          </w:p>
          <w:p w14:paraId="35153859" w14:textId="77777777" w:rsidR="000C0275" w:rsidRDefault="000C0275" w:rsidP="000C0275">
            <w:pPr>
              <w:rPr>
                <w:rFonts w:cstheme="minorHAnsi"/>
                <w:bCs/>
              </w:rPr>
            </w:pPr>
            <w:r>
              <w:rPr>
                <w:rFonts w:cstheme="minorHAnsi"/>
                <w:bCs/>
              </w:rPr>
              <w:t>5.1.5.1 Medication Numbering</w:t>
            </w:r>
          </w:p>
          <w:p w14:paraId="0A1F7FB5" w14:textId="77777777" w:rsidR="000C0275" w:rsidRDefault="000C0275" w:rsidP="000C0275">
            <w:pPr>
              <w:rPr>
                <w:rFonts w:cstheme="minorHAnsi"/>
                <w:bCs/>
              </w:rPr>
            </w:pPr>
            <w:r>
              <w:rPr>
                <w:rFonts w:cstheme="minorHAnsi"/>
                <w:bCs/>
              </w:rPr>
              <w:t>5.1.6 Drug Logistics and Accountability</w:t>
            </w:r>
          </w:p>
          <w:p w14:paraId="75730044" w14:textId="77777777" w:rsidR="000C0275" w:rsidRDefault="000C0275" w:rsidP="000C0275">
            <w:pPr>
              <w:rPr>
                <w:rFonts w:cstheme="minorHAnsi"/>
                <w:bCs/>
              </w:rPr>
            </w:pPr>
            <w:r>
              <w:rPr>
                <w:rFonts w:cstheme="minorHAnsi"/>
                <w:bCs/>
              </w:rPr>
              <w:t>5.1.6.1 Supply, Storage, Dispensation and Return</w:t>
            </w:r>
          </w:p>
          <w:p w14:paraId="57DE35C6" w14:textId="77777777" w:rsidR="000C0275" w:rsidRDefault="000C0275" w:rsidP="000C0275">
            <w:pPr>
              <w:rPr>
                <w:rFonts w:cstheme="minorHAnsi"/>
                <w:bCs/>
              </w:rPr>
            </w:pPr>
            <w:r>
              <w:rPr>
                <w:rFonts w:cstheme="minorHAnsi"/>
                <w:bCs/>
              </w:rPr>
              <w:t>5.1.6.2 Drug Accountability</w:t>
            </w:r>
          </w:p>
          <w:p w14:paraId="02C1DD8D" w14:textId="77777777" w:rsidR="000C0275" w:rsidRDefault="000C0275" w:rsidP="000C0275">
            <w:pPr>
              <w:rPr>
                <w:rFonts w:cstheme="minorHAnsi"/>
                <w:bCs/>
              </w:rPr>
            </w:pPr>
            <w:r>
              <w:rPr>
                <w:rFonts w:cstheme="minorHAnsi"/>
                <w:bCs/>
              </w:rPr>
              <w:t>5.2 Treatment Assignment</w:t>
            </w:r>
          </w:p>
          <w:p w14:paraId="625D1DEC" w14:textId="77777777" w:rsidR="000C0275" w:rsidRDefault="000C0275" w:rsidP="000C0275">
            <w:pPr>
              <w:rPr>
                <w:rFonts w:cstheme="minorHAnsi"/>
                <w:bCs/>
              </w:rPr>
            </w:pPr>
            <w:r>
              <w:rPr>
                <w:rFonts w:cstheme="minorHAnsi"/>
                <w:bCs/>
              </w:rPr>
              <w:t>5.3 Treatment Compliance</w:t>
            </w:r>
          </w:p>
          <w:p w14:paraId="2951CD51" w14:textId="77777777" w:rsidR="000C0275" w:rsidRDefault="000C0275" w:rsidP="000C0275">
            <w:pPr>
              <w:rPr>
                <w:rFonts w:cstheme="minorHAnsi"/>
                <w:bCs/>
              </w:rPr>
            </w:pPr>
            <w:r>
              <w:rPr>
                <w:rFonts w:cstheme="minorHAnsi"/>
                <w:bCs/>
              </w:rPr>
              <w:t>5.4 Treatment of Overdose</w:t>
            </w:r>
          </w:p>
          <w:p w14:paraId="423E5A18" w14:textId="77777777" w:rsidR="000C0275" w:rsidRDefault="000C0275" w:rsidP="000C0275">
            <w:pPr>
              <w:rPr>
                <w:rFonts w:cstheme="minorHAnsi"/>
                <w:bCs/>
              </w:rPr>
            </w:pPr>
            <w:r>
              <w:rPr>
                <w:rFonts w:cstheme="minorHAnsi"/>
                <w:bCs/>
              </w:rPr>
              <w:t>5.5 Radiation Precautions</w:t>
            </w:r>
          </w:p>
          <w:p w14:paraId="6D131100" w14:textId="77777777" w:rsidR="000C0275" w:rsidRPr="00632FB8" w:rsidRDefault="000C0275" w:rsidP="000C0275">
            <w:pPr>
              <w:rPr>
                <w:rFonts w:cstheme="minorHAnsi"/>
                <w:b/>
              </w:rPr>
            </w:pPr>
            <w:r w:rsidRPr="00632FB8">
              <w:rPr>
                <w:rFonts w:cstheme="minorHAnsi"/>
                <w:b/>
              </w:rPr>
              <w:t>6. Therapies other than Study Treatment</w:t>
            </w:r>
          </w:p>
          <w:p w14:paraId="0F801561" w14:textId="77777777" w:rsidR="000C0275" w:rsidRDefault="000C0275" w:rsidP="000C0275">
            <w:pPr>
              <w:rPr>
                <w:rFonts w:cstheme="minorHAnsi"/>
                <w:bCs/>
              </w:rPr>
            </w:pPr>
            <w:r>
              <w:rPr>
                <w:rFonts w:cstheme="minorHAnsi"/>
                <w:bCs/>
              </w:rPr>
              <w:t xml:space="preserve">6.1 Prior and Concomitant Therapy </w:t>
            </w:r>
            <w:r>
              <w:rPr>
                <w:rFonts w:cstheme="minorHAnsi"/>
                <w:bCs/>
              </w:rPr>
              <w:br/>
              <w:t>6.1.1 Prohibited Medication</w:t>
            </w:r>
          </w:p>
          <w:p w14:paraId="3FC0DEC3" w14:textId="77777777" w:rsidR="000C0275" w:rsidRDefault="000C0275" w:rsidP="000C0275">
            <w:pPr>
              <w:rPr>
                <w:rFonts w:cstheme="minorHAnsi"/>
                <w:bCs/>
              </w:rPr>
            </w:pPr>
            <w:r>
              <w:rPr>
                <w:rFonts w:cstheme="minorHAnsi"/>
                <w:bCs/>
              </w:rPr>
              <w:t>6.1.2 Permitted Concomitant Medication</w:t>
            </w:r>
          </w:p>
          <w:p w14:paraId="652EC557" w14:textId="77777777" w:rsidR="000C0275" w:rsidRDefault="000C0275" w:rsidP="000C0275">
            <w:pPr>
              <w:rPr>
                <w:rFonts w:cstheme="minorHAnsi"/>
                <w:bCs/>
              </w:rPr>
            </w:pPr>
            <w:r>
              <w:rPr>
                <w:rFonts w:cstheme="minorHAnsi"/>
                <w:bCs/>
              </w:rPr>
              <w:t>6.1.3 Post-Study Therapy</w:t>
            </w:r>
          </w:p>
          <w:p w14:paraId="4E558707" w14:textId="77777777" w:rsidR="000C0275" w:rsidRPr="00632FB8" w:rsidRDefault="000C0275" w:rsidP="000C0275">
            <w:pPr>
              <w:rPr>
                <w:rFonts w:cstheme="minorHAnsi"/>
                <w:b/>
              </w:rPr>
            </w:pPr>
            <w:r w:rsidRPr="00632FB8">
              <w:rPr>
                <w:rFonts w:cstheme="minorHAnsi"/>
                <w:b/>
              </w:rPr>
              <w:t>7. Schedule of Evaluations and Visit Descriptions</w:t>
            </w:r>
          </w:p>
          <w:p w14:paraId="4229EB03" w14:textId="77777777" w:rsidR="000C0275" w:rsidRDefault="000C0275" w:rsidP="000C0275">
            <w:pPr>
              <w:rPr>
                <w:rFonts w:cstheme="minorHAnsi"/>
                <w:bCs/>
              </w:rPr>
            </w:pPr>
            <w:r>
              <w:rPr>
                <w:rFonts w:cstheme="minorHAnsi"/>
                <w:bCs/>
              </w:rPr>
              <w:lastRenderedPageBreak/>
              <w:t>7.1 Schedule of Evaluations</w:t>
            </w:r>
          </w:p>
          <w:p w14:paraId="5D29B944" w14:textId="77777777" w:rsidR="000C0275" w:rsidRDefault="000C0275" w:rsidP="000C0275">
            <w:pPr>
              <w:rPr>
                <w:rFonts w:cstheme="minorHAnsi"/>
                <w:bCs/>
              </w:rPr>
            </w:pPr>
            <w:r>
              <w:rPr>
                <w:rFonts w:cstheme="minorHAnsi"/>
                <w:bCs/>
              </w:rPr>
              <w:t>7.2 Screening and FDG PET/CT</w:t>
            </w:r>
          </w:p>
          <w:p w14:paraId="24B5441D" w14:textId="77777777" w:rsidR="000C0275" w:rsidRDefault="000C0275" w:rsidP="000C0275">
            <w:pPr>
              <w:rPr>
                <w:rFonts w:cstheme="minorHAnsi"/>
                <w:bCs/>
              </w:rPr>
            </w:pPr>
            <w:r>
              <w:rPr>
                <w:rFonts w:cstheme="minorHAnsi"/>
                <w:bCs/>
              </w:rPr>
              <w:t>7.3 Treatment (Day 0)</w:t>
            </w:r>
          </w:p>
          <w:p w14:paraId="5902E147" w14:textId="77777777" w:rsidR="000C0275" w:rsidRDefault="000C0275" w:rsidP="000C0275">
            <w:pPr>
              <w:rPr>
                <w:rFonts w:cstheme="minorHAnsi"/>
                <w:bCs/>
              </w:rPr>
            </w:pPr>
            <w:r>
              <w:rPr>
                <w:rFonts w:cstheme="minorHAnsi"/>
                <w:bCs/>
              </w:rPr>
              <w:t xml:space="preserve">7.4 Imaging (Day </w:t>
            </w:r>
            <w:r w:rsidRPr="00216F09">
              <w:rPr>
                <w:rFonts w:cstheme="minorHAnsi"/>
                <w:bCs/>
              </w:rPr>
              <w:t>5 +/- 2 Days, but no sooner than 72 hours post administration</w:t>
            </w:r>
            <w:r>
              <w:rPr>
                <w:rFonts w:cstheme="minorHAnsi"/>
                <w:bCs/>
              </w:rPr>
              <w:t>)</w:t>
            </w:r>
          </w:p>
          <w:p w14:paraId="5E894B57" w14:textId="77777777" w:rsidR="000C0275" w:rsidRDefault="000C0275" w:rsidP="000C0275">
            <w:pPr>
              <w:rPr>
                <w:rFonts w:cstheme="minorHAnsi"/>
                <w:bCs/>
              </w:rPr>
            </w:pPr>
            <w:r>
              <w:rPr>
                <w:rFonts w:cstheme="minorHAnsi"/>
                <w:bCs/>
              </w:rPr>
              <w:t>7.5 Surgery</w:t>
            </w:r>
          </w:p>
          <w:p w14:paraId="2610AF40" w14:textId="77777777" w:rsidR="000C0275" w:rsidRDefault="000C0275" w:rsidP="000C0275">
            <w:pPr>
              <w:rPr>
                <w:rFonts w:cstheme="minorHAnsi"/>
                <w:bCs/>
              </w:rPr>
            </w:pPr>
            <w:r w:rsidRPr="00216F09">
              <w:rPr>
                <w:rFonts w:cstheme="minorHAnsi"/>
                <w:bCs/>
              </w:rPr>
              <w:t>7.6 Follow-up phone consult (Day 14 or before commencement of chemotherapy or surgery) / Final visit</w:t>
            </w:r>
          </w:p>
          <w:p w14:paraId="691FE79D" w14:textId="77777777" w:rsidR="000C0275" w:rsidRPr="00632FB8" w:rsidRDefault="000C0275" w:rsidP="000C0275">
            <w:pPr>
              <w:rPr>
                <w:rFonts w:cstheme="minorHAnsi"/>
                <w:b/>
              </w:rPr>
            </w:pPr>
            <w:r w:rsidRPr="00632FB8">
              <w:rPr>
                <w:rFonts w:cstheme="minorHAnsi"/>
                <w:b/>
              </w:rPr>
              <w:t>8. Procedures and Variables</w:t>
            </w:r>
          </w:p>
          <w:p w14:paraId="0805692D" w14:textId="77777777" w:rsidR="000C0275" w:rsidRDefault="000C0275" w:rsidP="000C0275">
            <w:pPr>
              <w:rPr>
                <w:rFonts w:cstheme="minorHAnsi"/>
                <w:bCs/>
              </w:rPr>
            </w:pPr>
            <w:r>
              <w:rPr>
                <w:rFonts w:cstheme="minorHAnsi"/>
                <w:bCs/>
              </w:rPr>
              <w:t>8.1 Baseline Characteristics</w:t>
            </w:r>
          </w:p>
          <w:p w14:paraId="52A08F7B" w14:textId="77777777" w:rsidR="000C0275" w:rsidRDefault="000C0275" w:rsidP="000C0275">
            <w:pPr>
              <w:rPr>
                <w:rFonts w:cstheme="minorHAnsi"/>
                <w:bCs/>
              </w:rPr>
            </w:pPr>
            <w:r>
              <w:rPr>
                <w:rFonts w:cstheme="minorHAnsi"/>
                <w:bCs/>
              </w:rPr>
              <w:t>8.1.1 Demographic Characteristics</w:t>
            </w:r>
          </w:p>
          <w:p w14:paraId="74AD3AFF" w14:textId="77777777" w:rsidR="000C0275" w:rsidRDefault="000C0275" w:rsidP="000C0275">
            <w:pPr>
              <w:rPr>
                <w:rFonts w:cstheme="minorHAnsi"/>
                <w:bCs/>
              </w:rPr>
            </w:pPr>
            <w:r>
              <w:rPr>
                <w:rFonts w:cstheme="minorHAnsi"/>
                <w:bCs/>
              </w:rPr>
              <w:t>8.1.2 Medical and Surgical History, Baseline Findings</w:t>
            </w:r>
          </w:p>
          <w:p w14:paraId="34BD3642" w14:textId="77777777" w:rsidR="000C0275" w:rsidRDefault="000C0275" w:rsidP="000C0275">
            <w:pPr>
              <w:rPr>
                <w:rFonts w:cstheme="minorHAnsi"/>
                <w:bCs/>
              </w:rPr>
            </w:pPr>
            <w:r>
              <w:rPr>
                <w:rFonts w:cstheme="minorHAnsi"/>
                <w:bCs/>
              </w:rPr>
              <w:t xml:space="preserve">8.1.3 Prior and Concomitant Medication </w:t>
            </w:r>
          </w:p>
          <w:p w14:paraId="59D751EC" w14:textId="77777777" w:rsidR="000C0275" w:rsidRDefault="000C0275" w:rsidP="000C0275">
            <w:pPr>
              <w:rPr>
                <w:rFonts w:cstheme="minorHAnsi"/>
                <w:bCs/>
              </w:rPr>
            </w:pPr>
            <w:r>
              <w:rPr>
                <w:rFonts w:cstheme="minorHAnsi"/>
                <w:bCs/>
              </w:rPr>
              <w:t>8.1.4 Pre-baseline Morphological Imaging</w:t>
            </w:r>
          </w:p>
          <w:p w14:paraId="346EC3AB" w14:textId="77777777" w:rsidR="000C0275" w:rsidRDefault="000C0275" w:rsidP="000C0275">
            <w:pPr>
              <w:rPr>
                <w:rFonts w:cstheme="minorHAnsi"/>
                <w:bCs/>
              </w:rPr>
            </w:pPr>
            <w:r>
              <w:rPr>
                <w:rFonts w:cstheme="minorHAnsi"/>
                <w:bCs/>
              </w:rPr>
              <w:t>8.1.5 Tumour Histology</w:t>
            </w:r>
          </w:p>
          <w:p w14:paraId="18555768" w14:textId="77777777" w:rsidR="000C0275" w:rsidRDefault="000C0275" w:rsidP="000C0275">
            <w:pPr>
              <w:rPr>
                <w:rFonts w:cstheme="minorHAnsi"/>
                <w:bCs/>
              </w:rPr>
            </w:pPr>
            <w:r>
              <w:rPr>
                <w:rFonts w:cstheme="minorHAnsi"/>
                <w:bCs/>
              </w:rPr>
              <w:t>8.1.6 Pregnancy Tests and Assessment of Postmenopausal Status</w:t>
            </w:r>
          </w:p>
          <w:p w14:paraId="1D06F3EB" w14:textId="77777777" w:rsidR="000C0275" w:rsidRDefault="000C0275" w:rsidP="000C0275">
            <w:pPr>
              <w:rPr>
                <w:rFonts w:cstheme="minorHAnsi"/>
                <w:bCs/>
              </w:rPr>
            </w:pPr>
            <w:r>
              <w:rPr>
                <w:rFonts w:cstheme="minorHAnsi"/>
                <w:bCs/>
              </w:rPr>
              <w:t>8.2 Imaging during the Study</w:t>
            </w:r>
          </w:p>
          <w:p w14:paraId="2EC84E9F" w14:textId="77777777" w:rsidR="000C0275" w:rsidRDefault="000C0275" w:rsidP="000C0275">
            <w:pPr>
              <w:rPr>
                <w:rFonts w:cstheme="minorHAnsi"/>
                <w:bCs/>
              </w:rPr>
            </w:pPr>
            <w:r>
              <w:rPr>
                <w:rFonts w:cstheme="minorHAnsi"/>
                <w:bCs/>
              </w:rPr>
              <w:t>8.2.1 FDG PET/CT Imaging</w:t>
            </w:r>
          </w:p>
          <w:p w14:paraId="557CF1D7" w14:textId="77777777" w:rsidR="000C0275" w:rsidRDefault="000C0275" w:rsidP="000C0275">
            <w:pPr>
              <w:rPr>
                <w:rFonts w:cstheme="minorHAnsi"/>
              </w:rPr>
            </w:pPr>
            <w:r w:rsidRPr="00216F09">
              <w:rPr>
                <w:rFonts w:cstheme="minorHAnsi"/>
              </w:rPr>
              <w:t xml:space="preserve">8.2.2 </w:t>
            </w:r>
            <w:r w:rsidRPr="00216F09">
              <w:rPr>
                <w:rFonts w:cstheme="minorHAnsi"/>
                <w:vertAlign w:val="superscript"/>
              </w:rPr>
              <w:t>89</w:t>
            </w:r>
            <w:r w:rsidRPr="00216F09">
              <w:rPr>
                <w:rFonts w:cstheme="minorHAnsi"/>
              </w:rPr>
              <w:t xml:space="preserve">Zr-TLX250 PET / CT Imaging </w:t>
            </w:r>
          </w:p>
          <w:p w14:paraId="3556BB45" w14:textId="77777777" w:rsidR="000C0275" w:rsidRDefault="000C0275" w:rsidP="000C0275">
            <w:pPr>
              <w:rPr>
                <w:rFonts w:cstheme="minorHAnsi"/>
              </w:rPr>
            </w:pPr>
            <w:r>
              <w:rPr>
                <w:rFonts w:cstheme="minorHAnsi"/>
              </w:rPr>
              <w:t>8.2.3 Imaging Analysis</w:t>
            </w:r>
          </w:p>
          <w:p w14:paraId="5B5B0AB3" w14:textId="77777777" w:rsidR="000C0275" w:rsidRPr="004437BB" w:rsidRDefault="000C0275" w:rsidP="000C0275">
            <w:pPr>
              <w:rPr>
                <w:rFonts w:cstheme="minorHAnsi"/>
              </w:rPr>
            </w:pPr>
            <w:r>
              <w:rPr>
                <w:rFonts w:cstheme="minorHAnsi"/>
              </w:rPr>
              <w:t xml:space="preserve">8.2.3.1 </w:t>
            </w:r>
            <w:r w:rsidRPr="004437BB">
              <w:rPr>
                <w:rFonts w:cstheme="minorHAnsi"/>
              </w:rPr>
              <w:t xml:space="preserve">Qualitative </w:t>
            </w:r>
            <w:r w:rsidRPr="004437BB">
              <w:rPr>
                <w:rFonts w:cstheme="minorHAnsi"/>
                <w:vertAlign w:val="superscript"/>
              </w:rPr>
              <w:t>89</w:t>
            </w:r>
            <w:r w:rsidRPr="004437BB">
              <w:rPr>
                <w:rFonts w:cstheme="minorHAnsi"/>
              </w:rPr>
              <w:t>Zr-TLX250 Tumour Targeting</w:t>
            </w:r>
          </w:p>
          <w:p w14:paraId="4EB65D8D" w14:textId="77777777" w:rsidR="000C0275" w:rsidRPr="004437BB" w:rsidRDefault="000C0275" w:rsidP="000C0275">
            <w:pPr>
              <w:rPr>
                <w:rFonts w:cstheme="minorHAnsi"/>
              </w:rPr>
            </w:pPr>
            <w:r w:rsidRPr="004437BB">
              <w:rPr>
                <w:rFonts w:cstheme="minorHAnsi"/>
              </w:rPr>
              <w:t xml:space="preserve">8.2.3.2 Quantitative </w:t>
            </w:r>
            <w:r w:rsidRPr="004437BB">
              <w:rPr>
                <w:rFonts w:cstheme="minorHAnsi"/>
                <w:vertAlign w:val="superscript"/>
              </w:rPr>
              <w:t>89</w:t>
            </w:r>
            <w:r w:rsidRPr="004437BB">
              <w:rPr>
                <w:rFonts w:cstheme="minorHAnsi"/>
              </w:rPr>
              <w:t>Zr-TLX250 Tumour Targeting</w:t>
            </w:r>
          </w:p>
          <w:p w14:paraId="452FD2F9" w14:textId="77777777" w:rsidR="000C0275" w:rsidRPr="004437BB" w:rsidRDefault="000C0275" w:rsidP="000C0275">
            <w:pPr>
              <w:rPr>
                <w:rFonts w:cstheme="minorHAnsi"/>
              </w:rPr>
            </w:pPr>
            <w:r w:rsidRPr="004437BB">
              <w:rPr>
                <w:rFonts w:cstheme="minorHAnsi"/>
              </w:rPr>
              <w:t>8.2.3.3 Qualitative FDG Tumour Targeting</w:t>
            </w:r>
          </w:p>
          <w:p w14:paraId="56BD71BF" w14:textId="77777777" w:rsidR="000C0275" w:rsidRDefault="000C0275" w:rsidP="000C0275">
            <w:pPr>
              <w:rPr>
                <w:rFonts w:cstheme="minorHAnsi"/>
              </w:rPr>
            </w:pPr>
            <w:r w:rsidRPr="004437BB">
              <w:rPr>
                <w:rFonts w:cstheme="minorHAnsi"/>
              </w:rPr>
              <w:t>8.2.2.4 Quantitative FDG Tumour Targeting</w:t>
            </w:r>
          </w:p>
          <w:p w14:paraId="3CC19DAE" w14:textId="77777777" w:rsidR="000C0275" w:rsidRDefault="000C0275" w:rsidP="000C0275">
            <w:pPr>
              <w:rPr>
                <w:rFonts w:cstheme="minorHAnsi"/>
              </w:rPr>
            </w:pPr>
            <w:r>
              <w:rPr>
                <w:rFonts w:cstheme="minorHAnsi"/>
              </w:rPr>
              <w:t>8.3 Determination of Histological Standard of Truth</w:t>
            </w:r>
          </w:p>
          <w:p w14:paraId="6ACAE843" w14:textId="77777777" w:rsidR="000C0275" w:rsidRDefault="000C0275" w:rsidP="000C0275">
            <w:pPr>
              <w:rPr>
                <w:rFonts w:cstheme="minorHAnsi"/>
              </w:rPr>
            </w:pPr>
            <w:r>
              <w:rPr>
                <w:rFonts w:cstheme="minorHAnsi"/>
              </w:rPr>
              <w:t>8.3.1 Pathology Assessment</w:t>
            </w:r>
          </w:p>
          <w:p w14:paraId="053D3A32" w14:textId="77777777" w:rsidR="000C0275" w:rsidRDefault="000C0275" w:rsidP="000C0275">
            <w:pPr>
              <w:rPr>
                <w:rFonts w:cstheme="minorHAnsi"/>
              </w:rPr>
            </w:pPr>
            <w:r>
              <w:rPr>
                <w:rFonts w:cstheme="minorHAnsi"/>
              </w:rPr>
              <w:t>8.4 Diagnostic Performance</w:t>
            </w:r>
          </w:p>
          <w:p w14:paraId="18EE3A5A" w14:textId="77777777" w:rsidR="000C0275" w:rsidRDefault="000C0275" w:rsidP="000C0275">
            <w:pPr>
              <w:rPr>
                <w:rFonts w:cstheme="minorHAnsi"/>
              </w:rPr>
            </w:pPr>
            <w:r>
              <w:rPr>
                <w:rFonts w:cstheme="minorHAnsi"/>
              </w:rPr>
              <w:t>8.5 Safety Evaluation</w:t>
            </w:r>
          </w:p>
          <w:p w14:paraId="06414C4A" w14:textId="77777777" w:rsidR="000C0275" w:rsidRDefault="000C0275" w:rsidP="000C0275">
            <w:pPr>
              <w:rPr>
                <w:rFonts w:cstheme="minorHAnsi"/>
              </w:rPr>
            </w:pPr>
            <w:r>
              <w:rPr>
                <w:rFonts w:cstheme="minorHAnsi"/>
              </w:rPr>
              <w:t>8.6 Sample Shipment</w:t>
            </w:r>
          </w:p>
          <w:p w14:paraId="12187233" w14:textId="77777777" w:rsidR="000C0275" w:rsidRDefault="000C0275" w:rsidP="000C0275">
            <w:pPr>
              <w:rPr>
                <w:rFonts w:cstheme="minorHAnsi"/>
              </w:rPr>
            </w:pPr>
            <w:r>
              <w:rPr>
                <w:rFonts w:cstheme="minorHAnsi"/>
              </w:rPr>
              <w:t>8.7 Sample Retention / Destruction</w:t>
            </w:r>
          </w:p>
          <w:p w14:paraId="4EE1D4A9" w14:textId="77777777" w:rsidR="000C0275" w:rsidRDefault="000C0275" w:rsidP="000C0275">
            <w:pPr>
              <w:rPr>
                <w:rFonts w:cstheme="minorHAnsi"/>
              </w:rPr>
            </w:pPr>
            <w:r>
              <w:rPr>
                <w:rFonts w:cstheme="minorHAnsi"/>
              </w:rPr>
              <w:t>8.8 Safety</w:t>
            </w:r>
          </w:p>
          <w:p w14:paraId="48A831D5" w14:textId="77777777" w:rsidR="000C0275" w:rsidRDefault="000C0275" w:rsidP="000C0275">
            <w:pPr>
              <w:rPr>
                <w:rFonts w:cstheme="minorHAnsi"/>
              </w:rPr>
            </w:pPr>
            <w:r>
              <w:rPr>
                <w:rFonts w:cstheme="minorHAnsi"/>
              </w:rPr>
              <w:t>8.8.1 Baseline Findings</w:t>
            </w:r>
          </w:p>
          <w:p w14:paraId="778C9B6E" w14:textId="77777777" w:rsidR="000C0275" w:rsidRDefault="000C0275" w:rsidP="000C0275">
            <w:pPr>
              <w:rPr>
                <w:rFonts w:cstheme="minorHAnsi"/>
              </w:rPr>
            </w:pPr>
            <w:r>
              <w:rPr>
                <w:rFonts w:cstheme="minorHAnsi"/>
              </w:rPr>
              <w:t>8.8.1.1 Definition of Baseline Finding</w:t>
            </w:r>
          </w:p>
          <w:p w14:paraId="6833D01B" w14:textId="77777777" w:rsidR="000C0275" w:rsidRDefault="000C0275" w:rsidP="000C0275">
            <w:pPr>
              <w:rPr>
                <w:rFonts w:cstheme="minorHAnsi"/>
              </w:rPr>
            </w:pPr>
            <w:r>
              <w:rPr>
                <w:rFonts w:cstheme="minorHAnsi"/>
              </w:rPr>
              <w:t>8.8.1.2 Serious Baseline Findings</w:t>
            </w:r>
          </w:p>
          <w:p w14:paraId="26C39379" w14:textId="77777777" w:rsidR="000C0275" w:rsidRDefault="000C0275" w:rsidP="000C0275">
            <w:pPr>
              <w:rPr>
                <w:rFonts w:cstheme="minorHAnsi"/>
              </w:rPr>
            </w:pPr>
            <w:r>
              <w:rPr>
                <w:rFonts w:cstheme="minorHAnsi"/>
              </w:rPr>
              <w:t>8.8.2 Adverse Events</w:t>
            </w:r>
          </w:p>
          <w:p w14:paraId="37FD3F81" w14:textId="77777777" w:rsidR="000C0275" w:rsidRDefault="000C0275" w:rsidP="000C0275">
            <w:pPr>
              <w:rPr>
                <w:rFonts w:cstheme="minorHAnsi"/>
              </w:rPr>
            </w:pPr>
            <w:r>
              <w:rPr>
                <w:rFonts w:cstheme="minorHAnsi"/>
              </w:rPr>
              <w:t>8.8.2.1 Definition of Adverse Event</w:t>
            </w:r>
          </w:p>
          <w:p w14:paraId="097A1AB3" w14:textId="77777777" w:rsidR="000C0275" w:rsidRDefault="000C0275" w:rsidP="000C0275">
            <w:pPr>
              <w:rPr>
                <w:rFonts w:cstheme="minorHAnsi"/>
              </w:rPr>
            </w:pPr>
            <w:r>
              <w:rPr>
                <w:rFonts w:cstheme="minorHAnsi"/>
              </w:rPr>
              <w:t>8.8.2.2 Categories of Adverse Event Assessment</w:t>
            </w:r>
          </w:p>
          <w:p w14:paraId="2C5EE88B" w14:textId="77777777" w:rsidR="000C0275" w:rsidRDefault="000C0275" w:rsidP="000C0275">
            <w:pPr>
              <w:rPr>
                <w:rFonts w:cstheme="minorHAnsi"/>
              </w:rPr>
            </w:pPr>
            <w:r>
              <w:rPr>
                <w:rFonts w:cstheme="minorHAnsi"/>
              </w:rPr>
              <w:t>8.8.2.3 Assessment and Documentation of Adverse Events</w:t>
            </w:r>
          </w:p>
          <w:p w14:paraId="500BFA15" w14:textId="77777777" w:rsidR="000C0275" w:rsidRDefault="000C0275" w:rsidP="000C0275">
            <w:pPr>
              <w:rPr>
                <w:rFonts w:cstheme="minorHAnsi"/>
              </w:rPr>
            </w:pPr>
            <w:r>
              <w:rPr>
                <w:rFonts w:cstheme="minorHAnsi"/>
              </w:rPr>
              <w:t>8.8.2.4 Expected Adverse Events</w:t>
            </w:r>
          </w:p>
          <w:p w14:paraId="7685CC72" w14:textId="77777777" w:rsidR="000C0275" w:rsidRDefault="000C0275" w:rsidP="000C0275">
            <w:pPr>
              <w:rPr>
                <w:rFonts w:cstheme="minorHAnsi"/>
              </w:rPr>
            </w:pPr>
            <w:r>
              <w:rPr>
                <w:rFonts w:cstheme="minorHAnsi"/>
              </w:rPr>
              <w:t>8.8.2.5 Serious Adverse Events</w:t>
            </w:r>
          </w:p>
          <w:p w14:paraId="060122EF" w14:textId="77777777" w:rsidR="000C0275" w:rsidRDefault="000C0275" w:rsidP="000C0275">
            <w:pPr>
              <w:rPr>
                <w:rFonts w:cstheme="minorHAnsi"/>
              </w:rPr>
            </w:pPr>
            <w:r>
              <w:rPr>
                <w:rFonts w:cstheme="minorHAnsi"/>
              </w:rPr>
              <w:t>8.8.2.6 Other Relevant Safety Information</w:t>
            </w:r>
          </w:p>
          <w:p w14:paraId="74A5E57D" w14:textId="77777777" w:rsidR="000C0275" w:rsidRDefault="000C0275" w:rsidP="000C0275">
            <w:pPr>
              <w:rPr>
                <w:rFonts w:cstheme="minorHAnsi"/>
              </w:rPr>
            </w:pPr>
            <w:r>
              <w:rPr>
                <w:rFonts w:cstheme="minorHAnsi"/>
              </w:rPr>
              <w:t>8.8.3 Clinical Laboratory Tests</w:t>
            </w:r>
          </w:p>
          <w:p w14:paraId="1B61F53B" w14:textId="77777777" w:rsidR="000C0275" w:rsidRDefault="000C0275" w:rsidP="000C0275">
            <w:pPr>
              <w:rPr>
                <w:rFonts w:cstheme="minorHAnsi"/>
              </w:rPr>
            </w:pPr>
            <w:r>
              <w:rPr>
                <w:rFonts w:cstheme="minorHAnsi"/>
              </w:rPr>
              <w:t>8.8.4 Vital signs</w:t>
            </w:r>
          </w:p>
          <w:p w14:paraId="1809A5FD" w14:textId="77777777" w:rsidR="000C0275" w:rsidRDefault="000C0275" w:rsidP="000C0275">
            <w:pPr>
              <w:rPr>
                <w:rFonts w:cstheme="minorHAnsi"/>
              </w:rPr>
            </w:pPr>
            <w:r>
              <w:rPr>
                <w:rFonts w:cstheme="minorHAnsi"/>
              </w:rPr>
              <w:t>8.8.5 12-Lead ECG</w:t>
            </w:r>
          </w:p>
          <w:p w14:paraId="45318E50" w14:textId="77777777" w:rsidR="000C0275" w:rsidRDefault="000C0275" w:rsidP="000C0275">
            <w:pPr>
              <w:rPr>
                <w:rFonts w:cstheme="minorHAnsi"/>
              </w:rPr>
            </w:pPr>
            <w:r>
              <w:rPr>
                <w:rFonts w:cstheme="minorHAnsi"/>
              </w:rPr>
              <w:t>8.8.6 Physical Examination</w:t>
            </w:r>
          </w:p>
          <w:p w14:paraId="192D5DC5" w14:textId="77777777" w:rsidR="000C0275" w:rsidRDefault="000C0275" w:rsidP="000C0275">
            <w:pPr>
              <w:rPr>
                <w:rFonts w:cstheme="minorHAnsi"/>
              </w:rPr>
            </w:pPr>
            <w:r>
              <w:rPr>
                <w:rFonts w:cstheme="minorHAnsi"/>
              </w:rPr>
              <w:t>8.9 Total Radiation Exposure</w:t>
            </w:r>
          </w:p>
          <w:p w14:paraId="7C7305B6" w14:textId="77777777" w:rsidR="000C0275" w:rsidRPr="00632FB8" w:rsidRDefault="000C0275" w:rsidP="000C0275">
            <w:pPr>
              <w:rPr>
                <w:rFonts w:cstheme="minorHAnsi"/>
                <w:b/>
                <w:bCs/>
              </w:rPr>
            </w:pPr>
            <w:r w:rsidRPr="00632FB8">
              <w:rPr>
                <w:rFonts w:cstheme="minorHAnsi"/>
                <w:b/>
                <w:bCs/>
              </w:rPr>
              <w:t>9. Determination of sample size and statistical methods</w:t>
            </w:r>
          </w:p>
          <w:p w14:paraId="63AF0B54" w14:textId="77777777" w:rsidR="000C0275" w:rsidRPr="00632FB8" w:rsidRDefault="000C0275" w:rsidP="000C0275">
            <w:pPr>
              <w:rPr>
                <w:rFonts w:cstheme="minorHAnsi"/>
                <w:b/>
                <w:bCs/>
              </w:rPr>
            </w:pPr>
            <w:r w:rsidRPr="00632FB8">
              <w:rPr>
                <w:rFonts w:cstheme="minorHAnsi"/>
                <w:b/>
                <w:bCs/>
              </w:rPr>
              <w:t>10. Data Handling and Quality Assurance</w:t>
            </w:r>
          </w:p>
          <w:p w14:paraId="4D528B3A" w14:textId="77777777" w:rsidR="000C0275" w:rsidRDefault="000C0275" w:rsidP="000C0275">
            <w:pPr>
              <w:rPr>
                <w:rFonts w:cstheme="minorHAnsi"/>
              </w:rPr>
            </w:pPr>
            <w:r>
              <w:rPr>
                <w:rFonts w:cstheme="minorHAnsi"/>
              </w:rPr>
              <w:t>10.1 Data Recording</w:t>
            </w:r>
          </w:p>
          <w:p w14:paraId="72B4179E" w14:textId="77777777" w:rsidR="000C0275" w:rsidRDefault="000C0275" w:rsidP="000C0275">
            <w:pPr>
              <w:rPr>
                <w:rFonts w:cstheme="minorHAnsi"/>
              </w:rPr>
            </w:pPr>
            <w:r>
              <w:rPr>
                <w:rFonts w:cstheme="minorHAnsi"/>
              </w:rPr>
              <w:t>10.1.1 Source Data and Records</w:t>
            </w:r>
          </w:p>
          <w:p w14:paraId="01FB09A7" w14:textId="77777777" w:rsidR="000C0275" w:rsidRDefault="000C0275" w:rsidP="000C0275">
            <w:pPr>
              <w:rPr>
                <w:rFonts w:cstheme="minorHAnsi"/>
              </w:rPr>
            </w:pPr>
            <w:r>
              <w:rPr>
                <w:rFonts w:cstheme="minorHAnsi"/>
              </w:rPr>
              <w:t>10.1.2 Case Report Form (CRF)</w:t>
            </w:r>
          </w:p>
          <w:p w14:paraId="16AE0BE2" w14:textId="77777777" w:rsidR="000C0275" w:rsidRDefault="000C0275" w:rsidP="000C0275">
            <w:pPr>
              <w:rPr>
                <w:rFonts w:cstheme="minorHAnsi"/>
              </w:rPr>
            </w:pPr>
            <w:r>
              <w:rPr>
                <w:rFonts w:cstheme="minorHAnsi"/>
              </w:rPr>
              <w:t>10.1.3 Missing Data</w:t>
            </w:r>
          </w:p>
          <w:p w14:paraId="2E0AAA22" w14:textId="77777777" w:rsidR="000C0275" w:rsidRDefault="000C0275" w:rsidP="000C0275">
            <w:pPr>
              <w:rPr>
                <w:rFonts w:cstheme="minorHAnsi"/>
              </w:rPr>
            </w:pPr>
            <w:r>
              <w:rPr>
                <w:rFonts w:cstheme="minorHAnsi"/>
              </w:rPr>
              <w:lastRenderedPageBreak/>
              <w:t>10.1.4 Storage of Study Records</w:t>
            </w:r>
          </w:p>
          <w:p w14:paraId="6A2D9A57" w14:textId="77777777" w:rsidR="000C0275" w:rsidRDefault="000C0275" w:rsidP="000C0275">
            <w:pPr>
              <w:rPr>
                <w:rFonts w:cstheme="minorHAnsi"/>
              </w:rPr>
            </w:pPr>
            <w:r>
              <w:rPr>
                <w:rFonts w:cstheme="minorHAnsi"/>
              </w:rPr>
              <w:t>10.2 Monitoring</w:t>
            </w:r>
          </w:p>
          <w:p w14:paraId="7286DA16" w14:textId="77777777" w:rsidR="000C0275" w:rsidRDefault="000C0275" w:rsidP="000C0275">
            <w:pPr>
              <w:rPr>
                <w:rFonts w:cstheme="minorHAnsi"/>
              </w:rPr>
            </w:pPr>
            <w:r>
              <w:rPr>
                <w:rFonts w:cstheme="minorHAnsi"/>
              </w:rPr>
              <w:t>10.3 Data Management</w:t>
            </w:r>
          </w:p>
          <w:p w14:paraId="3A698012" w14:textId="77777777" w:rsidR="000C0275" w:rsidRDefault="000C0275" w:rsidP="000C0275">
            <w:pPr>
              <w:rPr>
                <w:rFonts w:cstheme="minorHAnsi"/>
              </w:rPr>
            </w:pPr>
            <w:r>
              <w:rPr>
                <w:rFonts w:cstheme="minorHAnsi"/>
              </w:rPr>
              <w:t>10.4 Data Confidentiality</w:t>
            </w:r>
          </w:p>
          <w:p w14:paraId="7C62F299" w14:textId="77777777" w:rsidR="000C0275" w:rsidRDefault="000C0275" w:rsidP="000C0275">
            <w:pPr>
              <w:rPr>
                <w:rFonts w:cstheme="minorHAnsi"/>
              </w:rPr>
            </w:pPr>
            <w:r>
              <w:rPr>
                <w:rFonts w:cstheme="minorHAnsi"/>
              </w:rPr>
              <w:t xml:space="preserve">10.4.1 Documentation of Patient’s Participation </w:t>
            </w:r>
          </w:p>
          <w:p w14:paraId="7B01E365" w14:textId="77777777" w:rsidR="000C0275" w:rsidRDefault="000C0275" w:rsidP="000C0275">
            <w:pPr>
              <w:rPr>
                <w:rFonts w:cstheme="minorHAnsi"/>
              </w:rPr>
            </w:pPr>
            <w:r>
              <w:rPr>
                <w:rFonts w:cstheme="minorHAnsi"/>
              </w:rPr>
              <w:t>10.4.2 Data Protection</w:t>
            </w:r>
          </w:p>
          <w:p w14:paraId="127D97CD" w14:textId="77777777" w:rsidR="000C0275" w:rsidRDefault="000C0275" w:rsidP="000C0275">
            <w:pPr>
              <w:rPr>
                <w:rFonts w:cstheme="minorHAnsi"/>
              </w:rPr>
            </w:pPr>
            <w:r>
              <w:rPr>
                <w:rFonts w:cstheme="minorHAnsi"/>
              </w:rPr>
              <w:t>10.5 Archiving</w:t>
            </w:r>
          </w:p>
          <w:p w14:paraId="77353B8E" w14:textId="77777777" w:rsidR="000C0275" w:rsidRPr="00632FB8" w:rsidRDefault="000C0275" w:rsidP="000C0275">
            <w:pPr>
              <w:rPr>
                <w:rFonts w:cstheme="minorHAnsi"/>
                <w:b/>
                <w:bCs/>
              </w:rPr>
            </w:pPr>
            <w:r w:rsidRPr="00632FB8">
              <w:rPr>
                <w:rFonts w:cstheme="minorHAnsi"/>
                <w:b/>
                <w:bCs/>
              </w:rPr>
              <w:t>11. Ethical and Regulatory requirements</w:t>
            </w:r>
          </w:p>
          <w:p w14:paraId="503ABD9B" w14:textId="77777777" w:rsidR="000C0275" w:rsidRDefault="000C0275" w:rsidP="000C0275">
            <w:pPr>
              <w:rPr>
                <w:rFonts w:cstheme="minorHAnsi"/>
              </w:rPr>
            </w:pPr>
            <w:r>
              <w:rPr>
                <w:rFonts w:cstheme="minorHAnsi"/>
              </w:rPr>
              <w:t>11.1 Ethical conduct of the study</w:t>
            </w:r>
          </w:p>
          <w:p w14:paraId="7888C96F" w14:textId="77777777" w:rsidR="000C0275" w:rsidRDefault="000C0275" w:rsidP="000C0275">
            <w:pPr>
              <w:rPr>
                <w:rFonts w:cstheme="minorHAnsi"/>
              </w:rPr>
            </w:pPr>
            <w:r>
              <w:rPr>
                <w:rFonts w:cstheme="minorHAnsi"/>
              </w:rPr>
              <w:t>11.2 Ethics and regulatory review</w:t>
            </w:r>
          </w:p>
          <w:p w14:paraId="32A49745" w14:textId="77777777" w:rsidR="000C0275" w:rsidRDefault="000C0275" w:rsidP="000C0275">
            <w:pPr>
              <w:rPr>
                <w:rFonts w:cstheme="minorHAnsi"/>
              </w:rPr>
            </w:pPr>
            <w:r>
              <w:rPr>
                <w:rFonts w:cstheme="minorHAnsi"/>
              </w:rPr>
              <w:t>11.3 Protocol amendments</w:t>
            </w:r>
          </w:p>
          <w:p w14:paraId="6F4BF3ED" w14:textId="4F00908C" w:rsidR="000C0275" w:rsidRDefault="000C0275" w:rsidP="000C0275">
            <w:pPr>
              <w:rPr>
                <w:rFonts w:cstheme="minorHAnsi"/>
              </w:rPr>
            </w:pPr>
            <w:r>
              <w:rPr>
                <w:rFonts w:cstheme="minorHAnsi"/>
              </w:rPr>
              <w:t>11.4 Informed consent</w:t>
            </w:r>
          </w:p>
          <w:p w14:paraId="63B61FAD" w14:textId="7A635E45" w:rsidR="006A1D43" w:rsidRPr="0081134C" w:rsidRDefault="006A1D43" w:rsidP="000C0275">
            <w:pPr>
              <w:rPr>
                <w:rFonts w:cstheme="minorHAnsi"/>
                <w:b/>
                <w:bCs/>
              </w:rPr>
            </w:pPr>
            <w:r w:rsidRPr="0081134C">
              <w:rPr>
                <w:rFonts w:cstheme="minorHAnsi"/>
                <w:b/>
                <w:bCs/>
              </w:rPr>
              <w:t>12. Appendices</w:t>
            </w:r>
          </w:p>
          <w:p w14:paraId="4FD9BE56" w14:textId="0D7CA9BE" w:rsidR="000C0275" w:rsidRPr="00632FB8" w:rsidRDefault="000C0275" w:rsidP="000C0275">
            <w:pPr>
              <w:rPr>
                <w:rFonts w:cstheme="minorHAnsi"/>
                <w:b/>
                <w:bCs/>
              </w:rPr>
            </w:pPr>
            <w:r w:rsidRPr="00632FB8">
              <w:rPr>
                <w:rFonts w:cstheme="minorHAnsi"/>
                <w:b/>
                <w:bCs/>
              </w:rPr>
              <w:t>1</w:t>
            </w:r>
            <w:r w:rsidR="006A1D43">
              <w:rPr>
                <w:rFonts w:cstheme="minorHAnsi"/>
                <w:b/>
                <w:bCs/>
              </w:rPr>
              <w:t>3</w:t>
            </w:r>
            <w:r w:rsidRPr="00632FB8">
              <w:rPr>
                <w:rFonts w:cstheme="minorHAnsi"/>
                <w:b/>
                <w:bCs/>
              </w:rPr>
              <w:t xml:space="preserve">. References </w:t>
            </w:r>
          </w:p>
          <w:p w14:paraId="080A4BCB" w14:textId="77777777" w:rsidR="000C0275" w:rsidRDefault="000C0275">
            <w:pPr>
              <w:rPr>
                <w:rFonts w:cstheme="minorHAnsi"/>
                <w:bCs/>
              </w:rPr>
            </w:pPr>
          </w:p>
          <w:p w14:paraId="6567752D" w14:textId="4B4BE8B4" w:rsidR="000C0275" w:rsidRDefault="000C0275" w:rsidP="00632FB8">
            <w:pPr>
              <w:pStyle w:val="ListParagraph"/>
              <w:ind w:left="0"/>
            </w:pPr>
          </w:p>
        </w:tc>
        <w:tc>
          <w:tcPr>
            <w:tcW w:w="1160" w:type="dxa"/>
          </w:tcPr>
          <w:p w14:paraId="64E424B3" w14:textId="24FD65C1" w:rsidR="000C0275" w:rsidRDefault="00B96EC1" w:rsidP="000C0275">
            <w:pPr>
              <w:jc w:val="right"/>
            </w:pPr>
            <w:r>
              <w:lastRenderedPageBreak/>
              <w:t>1</w:t>
            </w:r>
            <w:r w:rsidR="00372C51">
              <w:t>3</w:t>
            </w:r>
          </w:p>
          <w:p w14:paraId="66AC8F8C" w14:textId="28355E27" w:rsidR="00B96EC1" w:rsidRDefault="00B96EC1" w:rsidP="000C0275">
            <w:pPr>
              <w:jc w:val="right"/>
            </w:pPr>
            <w:r>
              <w:t>1</w:t>
            </w:r>
            <w:r w:rsidR="00372C51">
              <w:t>3</w:t>
            </w:r>
          </w:p>
          <w:p w14:paraId="3337AA53" w14:textId="2269CB1F" w:rsidR="00B96EC1" w:rsidRDefault="00B96EC1" w:rsidP="000C0275">
            <w:pPr>
              <w:jc w:val="right"/>
            </w:pPr>
            <w:r>
              <w:t>1</w:t>
            </w:r>
            <w:r w:rsidR="00372C51">
              <w:t>3</w:t>
            </w:r>
          </w:p>
          <w:p w14:paraId="1A09B18E" w14:textId="4FA22CA4" w:rsidR="00B96EC1" w:rsidRDefault="00B96EC1" w:rsidP="000C0275">
            <w:pPr>
              <w:jc w:val="right"/>
            </w:pPr>
            <w:r>
              <w:t>1</w:t>
            </w:r>
            <w:r w:rsidR="00372C51">
              <w:t>4</w:t>
            </w:r>
          </w:p>
          <w:p w14:paraId="38E00E5A" w14:textId="38BCC950" w:rsidR="00885F55" w:rsidRDefault="00885F55" w:rsidP="000C0275">
            <w:pPr>
              <w:jc w:val="right"/>
            </w:pPr>
            <w:r>
              <w:t>14</w:t>
            </w:r>
          </w:p>
          <w:p w14:paraId="5DF4928A" w14:textId="1B977B41" w:rsidR="00B96EC1" w:rsidRDefault="00B96EC1" w:rsidP="000C0275">
            <w:pPr>
              <w:jc w:val="right"/>
            </w:pPr>
            <w:r>
              <w:t>1</w:t>
            </w:r>
            <w:r w:rsidR="00372C51">
              <w:t>4</w:t>
            </w:r>
          </w:p>
          <w:p w14:paraId="2F5594A3" w14:textId="1D6020C4" w:rsidR="00B96EC1" w:rsidRDefault="00B96EC1" w:rsidP="000C0275">
            <w:pPr>
              <w:jc w:val="right"/>
            </w:pPr>
            <w:r>
              <w:t>1</w:t>
            </w:r>
            <w:r w:rsidR="00372C51">
              <w:t>4</w:t>
            </w:r>
          </w:p>
          <w:p w14:paraId="68A4214E" w14:textId="0BD5C2DE" w:rsidR="00B96EC1" w:rsidRDefault="00B96EC1" w:rsidP="000C0275">
            <w:pPr>
              <w:jc w:val="right"/>
            </w:pPr>
            <w:r>
              <w:t>1</w:t>
            </w:r>
            <w:r w:rsidR="00372C51">
              <w:t>4</w:t>
            </w:r>
          </w:p>
          <w:p w14:paraId="7C568CE5" w14:textId="22A172F3" w:rsidR="00B96EC1" w:rsidRDefault="00B96EC1" w:rsidP="000C0275">
            <w:pPr>
              <w:jc w:val="right"/>
            </w:pPr>
            <w:r>
              <w:t>1</w:t>
            </w:r>
            <w:r w:rsidR="00372C51">
              <w:t>5</w:t>
            </w:r>
          </w:p>
          <w:p w14:paraId="69F200A5" w14:textId="26C3A5E0" w:rsidR="00B96EC1" w:rsidRDefault="00B96EC1" w:rsidP="000C0275">
            <w:pPr>
              <w:jc w:val="right"/>
            </w:pPr>
            <w:r>
              <w:t>1</w:t>
            </w:r>
            <w:r w:rsidR="00372C51">
              <w:t>5</w:t>
            </w:r>
          </w:p>
          <w:p w14:paraId="066C0FB6" w14:textId="3ABF54CC" w:rsidR="00B96EC1" w:rsidRDefault="00B96EC1" w:rsidP="000C0275">
            <w:pPr>
              <w:jc w:val="right"/>
            </w:pPr>
            <w:r>
              <w:t>1</w:t>
            </w:r>
            <w:r w:rsidR="00372C51">
              <w:t>5</w:t>
            </w:r>
          </w:p>
          <w:p w14:paraId="363DD501" w14:textId="5924E874" w:rsidR="00B96EC1" w:rsidRDefault="00B96EC1" w:rsidP="000C0275">
            <w:pPr>
              <w:jc w:val="right"/>
            </w:pPr>
            <w:r>
              <w:t>1</w:t>
            </w:r>
            <w:r w:rsidR="00372C51">
              <w:t>5</w:t>
            </w:r>
          </w:p>
          <w:p w14:paraId="2074851F" w14:textId="77F69BE1" w:rsidR="00B96EC1" w:rsidRDefault="00B96EC1" w:rsidP="000C0275">
            <w:pPr>
              <w:jc w:val="right"/>
            </w:pPr>
            <w:r>
              <w:t>1</w:t>
            </w:r>
            <w:r w:rsidR="00372C51">
              <w:t>6</w:t>
            </w:r>
          </w:p>
          <w:p w14:paraId="3E564145" w14:textId="4AC6FC9A" w:rsidR="00B96EC1" w:rsidRDefault="00B96EC1" w:rsidP="000C0275">
            <w:pPr>
              <w:jc w:val="right"/>
            </w:pPr>
            <w:r>
              <w:t>1</w:t>
            </w:r>
            <w:r w:rsidR="00372C51">
              <w:t>6</w:t>
            </w:r>
          </w:p>
          <w:p w14:paraId="4AA9A7FD" w14:textId="4ED56F25" w:rsidR="00B96EC1" w:rsidRDefault="00B96EC1" w:rsidP="000C0275">
            <w:pPr>
              <w:jc w:val="right"/>
            </w:pPr>
            <w:r>
              <w:t>1</w:t>
            </w:r>
            <w:r w:rsidR="00372C51">
              <w:t>6</w:t>
            </w:r>
          </w:p>
          <w:p w14:paraId="426236C2" w14:textId="6D15B80E" w:rsidR="00B96EC1" w:rsidRDefault="00B96EC1" w:rsidP="000C0275">
            <w:pPr>
              <w:jc w:val="right"/>
            </w:pPr>
            <w:r>
              <w:t>1</w:t>
            </w:r>
            <w:r w:rsidR="00372C51">
              <w:t>6</w:t>
            </w:r>
          </w:p>
          <w:p w14:paraId="5369B9A2" w14:textId="7542D437" w:rsidR="00B96EC1" w:rsidRDefault="00B96EC1" w:rsidP="000C0275">
            <w:pPr>
              <w:jc w:val="right"/>
            </w:pPr>
            <w:r>
              <w:t>1</w:t>
            </w:r>
            <w:r w:rsidR="00372C51">
              <w:t>6</w:t>
            </w:r>
          </w:p>
          <w:p w14:paraId="37B3FD0E" w14:textId="1FD427CF" w:rsidR="00B96EC1" w:rsidRDefault="00B96EC1" w:rsidP="000C0275">
            <w:pPr>
              <w:jc w:val="right"/>
            </w:pPr>
            <w:r>
              <w:t>1</w:t>
            </w:r>
            <w:r w:rsidR="00372C51">
              <w:t>7</w:t>
            </w:r>
          </w:p>
          <w:p w14:paraId="22E96BEE" w14:textId="29080458" w:rsidR="00B96EC1" w:rsidRDefault="00B96EC1" w:rsidP="000C0275">
            <w:pPr>
              <w:jc w:val="right"/>
            </w:pPr>
            <w:r>
              <w:t>1</w:t>
            </w:r>
            <w:r w:rsidR="00372C51">
              <w:t>7</w:t>
            </w:r>
          </w:p>
          <w:p w14:paraId="46D0552C" w14:textId="339B7D22" w:rsidR="00B96EC1" w:rsidRDefault="00B96EC1" w:rsidP="000C0275">
            <w:pPr>
              <w:jc w:val="right"/>
            </w:pPr>
            <w:r>
              <w:t>1</w:t>
            </w:r>
            <w:r w:rsidR="00372C51">
              <w:t>7</w:t>
            </w:r>
          </w:p>
          <w:p w14:paraId="39107440" w14:textId="6F1C6108" w:rsidR="00B96EC1" w:rsidRDefault="00B96EC1" w:rsidP="000C0275">
            <w:pPr>
              <w:jc w:val="right"/>
            </w:pPr>
            <w:r>
              <w:t>1</w:t>
            </w:r>
            <w:r w:rsidR="00372C51">
              <w:t>8</w:t>
            </w:r>
          </w:p>
          <w:p w14:paraId="77908E72" w14:textId="2EC36E63" w:rsidR="00B96EC1" w:rsidRDefault="00B96EC1" w:rsidP="000C0275">
            <w:pPr>
              <w:jc w:val="right"/>
            </w:pPr>
            <w:r>
              <w:t>1</w:t>
            </w:r>
            <w:r w:rsidR="00372C51">
              <w:t>8</w:t>
            </w:r>
          </w:p>
          <w:p w14:paraId="254728AB" w14:textId="1A6E96D2" w:rsidR="00B96EC1" w:rsidRDefault="00B96EC1" w:rsidP="000C0275">
            <w:pPr>
              <w:jc w:val="right"/>
            </w:pPr>
            <w:r>
              <w:t>1</w:t>
            </w:r>
            <w:r w:rsidR="00372C51">
              <w:t>8</w:t>
            </w:r>
          </w:p>
          <w:p w14:paraId="2680A043" w14:textId="1F9CBB60" w:rsidR="00B96EC1" w:rsidRDefault="00B96EC1" w:rsidP="000C0275">
            <w:pPr>
              <w:jc w:val="right"/>
            </w:pPr>
            <w:r>
              <w:t>1</w:t>
            </w:r>
            <w:r w:rsidR="00372C51">
              <w:t>8</w:t>
            </w:r>
          </w:p>
          <w:p w14:paraId="3C59E9CF" w14:textId="5ACD177B" w:rsidR="00B96EC1" w:rsidRDefault="00B96EC1" w:rsidP="000C0275">
            <w:pPr>
              <w:jc w:val="right"/>
            </w:pPr>
            <w:r>
              <w:t>1</w:t>
            </w:r>
            <w:r w:rsidR="00372C51">
              <w:t>9</w:t>
            </w:r>
          </w:p>
          <w:p w14:paraId="718D5372" w14:textId="090AC013" w:rsidR="00B96EC1" w:rsidRDefault="00B96EC1" w:rsidP="000C0275">
            <w:pPr>
              <w:jc w:val="right"/>
            </w:pPr>
            <w:r>
              <w:t>1</w:t>
            </w:r>
            <w:r w:rsidR="00372C51">
              <w:t>9</w:t>
            </w:r>
          </w:p>
          <w:p w14:paraId="4B688F50" w14:textId="7C774C13" w:rsidR="00B96EC1" w:rsidRDefault="00B96EC1" w:rsidP="000C0275">
            <w:pPr>
              <w:jc w:val="right"/>
            </w:pPr>
            <w:r>
              <w:t>1</w:t>
            </w:r>
            <w:r w:rsidR="00372C51">
              <w:t>9</w:t>
            </w:r>
          </w:p>
          <w:p w14:paraId="6A0507F3" w14:textId="07AE776E" w:rsidR="00B96EC1" w:rsidRDefault="00B96EC1" w:rsidP="000C0275">
            <w:pPr>
              <w:jc w:val="right"/>
            </w:pPr>
            <w:r>
              <w:t>1</w:t>
            </w:r>
            <w:r w:rsidR="00372C51">
              <w:t>9</w:t>
            </w:r>
          </w:p>
          <w:p w14:paraId="27107B5B" w14:textId="4B287A9F" w:rsidR="00B96EC1" w:rsidRDefault="00885F55" w:rsidP="000C0275">
            <w:pPr>
              <w:jc w:val="right"/>
            </w:pPr>
            <w:r>
              <w:t>20</w:t>
            </w:r>
          </w:p>
          <w:p w14:paraId="3798808D" w14:textId="6AF5006C" w:rsidR="00B96EC1" w:rsidRDefault="00885F55" w:rsidP="000C0275">
            <w:pPr>
              <w:jc w:val="right"/>
            </w:pPr>
            <w:r>
              <w:t>20</w:t>
            </w:r>
          </w:p>
          <w:p w14:paraId="68A61CE6" w14:textId="23D27BAA" w:rsidR="00B96EC1" w:rsidRDefault="00885F55" w:rsidP="000C0275">
            <w:pPr>
              <w:jc w:val="right"/>
            </w:pPr>
            <w:r>
              <w:t>20</w:t>
            </w:r>
          </w:p>
          <w:p w14:paraId="7ED85DFB" w14:textId="5CDEDBB5" w:rsidR="00B96EC1" w:rsidRDefault="00885F55" w:rsidP="000C0275">
            <w:pPr>
              <w:jc w:val="right"/>
            </w:pPr>
            <w:r>
              <w:t>20</w:t>
            </w:r>
          </w:p>
          <w:p w14:paraId="3A088A5D" w14:textId="6C9F9C5F" w:rsidR="00B96EC1" w:rsidRDefault="00885F55" w:rsidP="000C0275">
            <w:pPr>
              <w:jc w:val="right"/>
            </w:pPr>
            <w:r>
              <w:t>21</w:t>
            </w:r>
          </w:p>
          <w:p w14:paraId="550941C8" w14:textId="423EDEC0" w:rsidR="00B96EC1" w:rsidRDefault="00885F55" w:rsidP="000C0275">
            <w:pPr>
              <w:jc w:val="right"/>
            </w:pPr>
            <w:r>
              <w:t>21</w:t>
            </w:r>
          </w:p>
          <w:p w14:paraId="7F1308D2" w14:textId="00F43782" w:rsidR="00B96EC1" w:rsidRDefault="00885F55" w:rsidP="000C0275">
            <w:pPr>
              <w:jc w:val="right"/>
            </w:pPr>
            <w:r>
              <w:lastRenderedPageBreak/>
              <w:t>21</w:t>
            </w:r>
          </w:p>
          <w:p w14:paraId="1BDA4C6C" w14:textId="34021BD7" w:rsidR="00B96EC1" w:rsidRDefault="00885F55" w:rsidP="000C0275">
            <w:pPr>
              <w:jc w:val="right"/>
            </w:pPr>
            <w:r>
              <w:t>22</w:t>
            </w:r>
          </w:p>
          <w:p w14:paraId="7A293594" w14:textId="4FF2E7FD" w:rsidR="00B96EC1" w:rsidRDefault="00B96EC1" w:rsidP="000C0275">
            <w:pPr>
              <w:jc w:val="right"/>
            </w:pPr>
            <w:r>
              <w:t>2</w:t>
            </w:r>
            <w:r w:rsidR="00885F55">
              <w:t>2</w:t>
            </w:r>
          </w:p>
          <w:p w14:paraId="0FEC45CB" w14:textId="34BAB4EF" w:rsidR="00B96EC1" w:rsidRDefault="00B96EC1" w:rsidP="000C0275">
            <w:pPr>
              <w:jc w:val="right"/>
            </w:pPr>
            <w:r>
              <w:t>2</w:t>
            </w:r>
            <w:r w:rsidR="00885F55">
              <w:t>2</w:t>
            </w:r>
          </w:p>
          <w:p w14:paraId="648D4FC5" w14:textId="79BBF2B6" w:rsidR="00B96EC1" w:rsidRDefault="00885F55" w:rsidP="000C0275">
            <w:pPr>
              <w:jc w:val="right"/>
            </w:pPr>
            <w:r>
              <w:t>22</w:t>
            </w:r>
          </w:p>
          <w:p w14:paraId="3E757D04" w14:textId="3A5B31AB" w:rsidR="00B96EC1" w:rsidRDefault="00B96EC1" w:rsidP="000C0275">
            <w:pPr>
              <w:jc w:val="right"/>
            </w:pPr>
            <w:r>
              <w:t>2</w:t>
            </w:r>
            <w:r w:rsidR="00885F55">
              <w:t>3</w:t>
            </w:r>
          </w:p>
          <w:p w14:paraId="0182D8C5" w14:textId="13C2B95D" w:rsidR="00B96EC1" w:rsidRDefault="00B96EC1" w:rsidP="000C0275">
            <w:pPr>
              <w:jc w:val="right"/>
            </w:pPr>
          </w:p>
          <w:p w14:paraId="304DD651" w14:textId="578D4935" w:rsidR="00B96EC1" w:rsidRDefault="00B96EC1" w:rsidP="000C0275">
            <w:pPr>
              <w:jc w:val="right"/>
            </w:pPr>
            <w:r>
              <w:t>2</w:t>
            </w:r>
            <w:r w:rsidR="00885F55">
              <w:t>3</w:t>
            </w:r>
          </w:p>
          <w:p w14:paraId="4B29A0D9" w14:textId="623E5928" w:rsidR="00B96EC1" w:rsidRDefault="00B96EC1" w:rsidP="000C0275">
            <w:pPr>
              <w:jc w:val="right"/>
            </w:pPr>
            <w:r>
              <w:t>2</w:t>
            </w:r>
            <w:r w:rsidR="00885F55">
              <w:t>3</w:t>
            </w:r>
          </w:p>
          <w:p w14:paraId="77EE41DE" w14:textId="0CEF4ABF" w:rsidR="00B96EC1" w:rsidRDefault="00B96EC1" w:rsidP="000C0275">
            <w:pPr>
              <w:jc w:val="right"/>
            </w:pPr>
            <w:r>
              <w:t>2</w:t>
            </w:r>
            <w:r w:rsidR="00885F55">
              <w:t>3</w:t>
            </w:r>
          </w:p>
          <w:p w14:paraId="0C764E44" w14:textId="5313347D" w:rsidR="00B96EC1" w:rsidRDefault="00B96EC1" w:rsidP="000C0275">
            <w:pPr>
              <w:jc w:val="right"/>
            </w:pPr>
            <w:r>
              <w:t>2</w:t>
            </w:r>
            <w:r w:rsidR="00885F55">
              <w:t>3</w:t>
            </w:r>
          </w:p>
          <w:p w14:paraId="71539DDE" w14:textId="22D1749B" w:rsidR="00B96EC1" w:rsidRDefault="00B96EC1" w:rsidP="000C0275">
            <w:pPr>
              <w:jc w:val="right"/>
            </w:pPr>
            <w:r>
              <w:t>2</w:t>
            </w:r>
            <w:r w:rsidR="00885F55">
              <w:t>3</w:t>
            </w:r>
          </w:p>
          <w:p w14:paraId="41B32B60" w14:textId="587325F0" w:rsidR="00B96EC1" w:rsidRDefault="00B96EC1" w:rsidP="000C0275">
            <w:pPr>
              <w:jc w:val="right"/>
            </w:pPr>
            <w:r>
              <w:t>2</w:t>
            </w:r>
            <w:r w:rsidR="00885F55">
              <w:t>3</w:t>
            </w:r>
          </w:p>
          <w:p w14:paraId="2022FA24" w14:textId="54835AE7" w:rsidR="00B96EC1" w:rsidRDefault="00B96EC1" w:rsidP="000C0275">
            <w:pPr>
              <w:jc w:val="right"/>
            </w:pPr>
            <w:r>
              <w:t>2</w:t>
            </w:r>
            <w:r w:rsidR="00885F55">
              <w:t>3</w:t>
            </w:r>
          </w:p>
          <w:p w14:paraId="62FE66C0" w14:textId="4E432D47" w:rsidR="00B96EC1" w:rsidRDefault="00B96EC1" w:rsidP="000C0275">
            <w:pPr>
              <w:jc w:val="right"/>
            </w:pPr>
            <w:r>
              <w:t>2</w:t>
            </w:r>
            <w:r w:rsidR="00885F55">
              <w:t>4</w:t>
            </w:r>
          </w:p>
          <w:p w14:paraId="24217A6D" w14:textId="022CE313" w:rsidR="00B96EC1" w:rsidRDefault="00B96EC1" w:rsidP="000C0275">
            <w:pPr>
              <w:jc w:val="right"/>
            </w:pPr>
            <w:r>
              <w:t>2</w:t>
            </w:r>
            <w:r w:rsidR="00EA02F0">
              <w:t>4</w:t>
            </w:r>
          </w:p>
          <w:p w14:paraId="33B03291" w14:textId="0F10010F" w:rsidR="00B96EC1" w:rsidRDefault="00B96EC1" w:rsidP="000C0275">
            <w:pPr>
              <w:jc w:val="right"/>
            </w:pPr>
            <w:r>
              <w:t>2</w:t>
            </w:r>
            <w:r w:rsidR="00EA02F0">
              <w:t>4</w:t>
            </w:r>
          </w:p>
          <w:p w14:paraId="2A1051BF" w14:textId="740555EB" w:rsidR="00B96EC1" w:rsidRDefault="00B96EC1" w:rsidP="000C0275">
            <w:pPr>
              <w:jc w:val="right"/>
            </w:pPr>
            <w:r>
              <w:t>2</w:t>
            </w:r>
            <w:r w:rsidR="00EA02F0">
              <w:t>4</w:t>
            </w:r>
          </w:p>
          <w:p w14:paraId="4907189F" w14:textId="0BBE156E" w:rsidR="00B96EC1" w:rsidRDefault="00B96EC1" w:rsidP="000C0275">
            <w:pPr>
              <w:jc w:val="right"/>
            </w:pPr>
            <w:r>
              <w:t>2</w:t>
            </w:r>
            <w:r w:rsidR="00EA02F0">
              <w:t>4</w:t>
            </w:r>
          </w:p>
          <w:p w14:paraId="44C60F0A" w14:textId="1648D695" w:rsidR="00B96EC1" w:rsidRDefault="00B96EC1" w:rsidP="000C0275">
            <w:pPr>
              <w:jc w:val="right"/>
            </w:pPr>
            <w:r>
              <w:t>2</w:t>
            </w:r>
            <w:r w:rsidR="00EA02F0">
              <w:t>4</w:t>
            </w:r>
          </w:p>
          <w:p w14:paraId="7112ED48" w14:textId="035CDFC2" w:rsidR="00B96EC1" w:rsidRDefault="00B96EC1" w:rsidP="000C0275">
            <w:pPr>
              <w:jc w:val="right"/>
            </w:pPr>
            <w:r>
              <w:t>2</w:t>
            </w:r>
            <w:r w:rsidR="00EA02F0">
              <w:t>4</w:t>
            </w:r>
          </w:p>
          <w:p w14:paraId="15BF7519" w14:textId="1D00CFD9" w:rsidR="00B96EC1" w:rsidRDefault="00B96EC1" w:rsidP="000C0275">
            <w:pPr>
              <w:jc w:val="right"/>
            </w:pPr>
            <w:r>
              <w:t>2</w:t>
            </w:r>
            <w:r w:rsidR="00EA02F0">
              <w:t>5</w:t>
            </w:r>
          </w:p>
          <w:p w14:paraId="2C1D62DA" w14:textId="43327E6A" w:rsidR="00B96EC1" w:rsidRDefault="00B96EC1" w:rsidP="000C0275">
            <w:pPr>
              <w:jc w:val="right"/>
            </w:pPr>
            <w:r>
              <w:t>2</w:t>
            </w:r>
            <w:r w:rsidR="00EA02F0">
              <w:t>5</w:t>
            </w:r>
          </w:p>
          <w:p w14:paraId="4146B1E9" w14:textId="03288666" w:rsidR="00B96EC1" w:rsidRDefault="00B96EC1" w:rsidP="000C0275">
            <w:pPr>
              <w:jc w:val="right"/>
            </w:pPr>
            <w:r>
              <w:t>2</w:t>
            </w:r>
            <w:r w:rsidR="00EA02F0">
              <w:t>5</w:t>
            </w:r>
          </w:p>
          <w:p w14:paraId="40B86AE0" w14:textId="44B89B05" w:rsidR="00B96EC1" w:rsidRDefault="00B96EC1" w:rsidP="000C0275">
            <w:pPr>
              <w:jc w:val="right"/>
            </w:pPr>
            <w:r>
              <w:t>2</w:t>
            </w:r>
            <w:r w:rsidR="00EA02F0">
              <w:t>5</w:t>
            </w:r>
          </w:p>
          <w:p w14:paraId="30F5DFD5" w14:textId="791FEFD9" w:rsidR="00B96EC1" w:rsidRDefault="00B96EC1" w:rsidP="000C0275">
            <w:pPr>
              <w:jc w:val="right"/>
            </w:pPr>
            <w:r>
              <w:t>2</w:t>
            </w:r>
            <w:r w:rsidR="00EA02F0">
              <w:t>5</w:t>
            </w:r>
          </w:p>
          <w:p w14:paraId="26511F24" w14:textId="5941514A" w:rsidR="00B96EC1" w:rsidRDefault="00B96EC1" w:rsidP="000C0275">
            <w:pPr>
              <w:jc w:val="right"/>
            </w:pPr>
            <w:r>
              <w:t>2</w:t>
            </w:r>
            <w:r w:rsidR="00EA02F0">
              <w:t>5</w:t>
            </w:r>
          </w:p>
          <w:p w14:paraId="7E8F99D9" w14:textId="39D86EA8" w:rsidR="00B96EC1" w:rsidRDefault="00B96EC1" w:rsidP="000C0275">
            <w:pPr>
              <w:jc w:val="right"/>
            </w:pPr>
            <w:r>
              <w:t>2</w:t>
            </w:r>
            <w:r w:rsidR="00EA02F0">
              <w:t>6</w:t>
            </w:r>
          </w:p>
          <w:p w14:paraId="1C5BBB4A" w14:textId="3F19F6A7" w:rsidR="00B96EC1" w:rsidRDefault="00B96EC1" w:rsidP="000C0275">
            <w:pPr>
              <w:jc w:val="right"/>
            </w:pPr>
            <w:r>
              <w:t>2</w:t>
            </w:r>
            <w:r w:rsidR="00EA02F0">
              <w:t>6</w:t>
            </w:r>
          </w:p>
          <w:p w14:paraId="46F50DEB" w14:textId="6218336A" w:rsidR="00B96EC1" w:rsidRDefault="00B96EC1" w:rsidP="000C0275">
            <w:pPr>
              <w:jc w:val="right"/>
            </w:pPr>
            <w:r>
              <w:t>2</w:t>
            </w:r>
            <w:r w:rsidR="00EA02F0">
              <w:t>6</w:t>
            </w:r>
          </w:p>
          <w:p w14:paraId="2ECEA472" w14:textId="5579660A" w:rsidR="00B96EC1" w:rsidRDefault="00B96EC1" w:rsidP="000C0275">
            <w:pPr>
              <w:jc w:val="right"/>
            </w:pPr>
            <w:r>
              <w:t>2</w:t>
            </w:r>
            <w:r w:rsidR="00EA02F0">
              <w:t>6</w:t>
            </w:r>
          </w:p>
          <w:p w14:paraId="234AE8E7" w14:textId="2D4C6321" w:rsidR="00B96EC1" w:rsidRDefault="00B96EC1" w:rsidP="000C0275">
            <w:pPr>
              <w:jc w:val="right"/>
            </w:pPr>
            <w:r>
              <w:t>2</w:t>
            </w:r>
            <w:r w:rsidR="00EA02F0">
              <w:t>6</w:t>
            </w:r>
          </w:p>
          <w:p w14:paraId="45B995AE" w14:textId="6683A621" w:rsidR="00B96EC1" w:rsidRDefault="00B96EC1" w:rsidP="000C0275">
            <w:pPr>
              <w:jc w:val="right"/>
            </w:pPr>
            <w:r>
              <w:t>2</w:t>
            </w:r>
            <w:r w:rsidR="00EA02F0">
              <w:t>7</w:t>
            </w:r>
          </w:p>
          <w:p w14:paraId="08073C62" w14:textId="63892238" w:rsidR="00B96EC1" w:rsidRDefault="00B96EC1" w:rsidP="000C0275">
            <w:pPr>
              <w:jc w:val="right"/>
            </w:pPr>
            <w:r>
              <w:t>2</w:t>
            </w:r>
            <w:r w:rsidR="00EA02F0">
              <w:t>7</w:t>
            </w:r>
          </w:p>
          <w:p w14:paraId="131B2B7E" w14:textId="1EF29D35" w:rsidR="00B96EC1" w:rsidRDefault="00B96EC1" w:rsidP="000C0275">
            <w:pPr>
              <w:jc w:val="right"/>
            </w:pPr>
            <w:r>
              <w:t>2</w:t>
            </w:r>
            <w:r w:rsidR="00EA02F0">
              <w:t>7</w:t>
            </w:r>
          </w:p>
          <w:p w14:paraId="6E3C2FDF" w14:textId="5C85AC14" w:rsidR="00B96EC1" w:rsidRDefault="00B96EC1" w:rsidP="000C0275">
            <w:pPr>
              <w:jc w:val="right"/>
            </w:pPr>
            <w:r>
              <w:t>2</w:t>
            </w:r>
            <w:r w:rsidR="00EA02F0">
              <w:t>8</w:t>
            </w:r>
          </w:p>
          <w:p w14:paraId="63E549FB" w14:textId="0F277374" w:rsidR="00B96EC1" w:rsidRDefault="00B96EC1" w:rsidP="000C0275">
            <w:pPr>
              <w:jc w:val="right"/>
            </w:pPr>
            <w:r>
              <w:t>2</w:t>
            </w:r>
            <w:r w:rsidR="004313B6">
              <w:t>9</w:t>
            </w:r>
          </w:p>
          <w:p w14:paraId="3061772A" w14:textId="7784EA1A" w:rsidR="00B96EC1" w:rsidRDefault="00B96EC1" w:rsidP="000C0275">
            <w:pPr>
              <w:jc w:val="right"/>
            </w:pPr>
            <w:r>
              <w:t>2</w:t>
            </w:r>
            <w:r w:rsidR="004313B6">
              <w:t>9</w:t>
            </w:r>
          </w:p>
          <w:p w14:paraId="46E5ADD2" w14:textId="4115D3CB" w:rsidR="00B96EC1" w:rsidRDefault="004313B6" w:rsidP="000C0275">
            <w:pPr>
              <w:jc w:val="right"/>
            </w:pPr>
            <w:r>
              <w:t>30</w:t>
            </w:r>
          </w:p>
          <w:p w14:paraId="241EF282" w14:textId="08091EEE" w:rsidR="00B96EC1" w:rsidRDefault="004313B6" w:rsidP="000C0275">
            <w:pPr>
              <w:jc w:val="right"/>
            </w:pPr>
            <w:r>
              <w:t>31</w:t>
            </w:r>
          </w:p>
          <w:p w14:paraId="34BBC702" w14:textId="60F4400A" w:rsidR="00B96EC1" w:rsidRDefault="004313B6" w:rsidP="000C0275">
            <w:pPr>
              <w:jc w:val="right"/>
            </w:pPr>
            <w:r>
              <w:t>32</w:t>
            </w:r>
          </w:p>
          <w:p w14:paraId="2BC3E3E0" w14:textId="1549A696" w:rsidR="00B96EC1" w:rsidRDefault="00B96EC1" w:rsidP="000C0275">
            <w:pPr>
              <w:jc w:val="right"/>
            </w:pPr>
            <w:r>
              <w:t>3</w:t>
            </w:r>
            <w:r w:rsidR="004313B6">
              <w:t>3</w:t>
            </w:r>
          </w:p>
          <w:p w14:paraId="14A4285F" w14:textId="458891FF" w:rsidR="00B96EC1" w:rsidRDefault="00B96EC1" w:rsidP="000C0275">
            <w:pPr>
              <w:jc w:val="right"/>
            </w:pPr>
            <w:r>
              <w:t>3</w:t>
            </w:r>
            <w:r w:rsidR="004313B6">
              <w:t>3</w:t>
            </w:r>
          </w:p>
          <w:p w14:paraId="4A526760" w14:textId="2355C4BF" w:rsidR="00B96EC1" w:rsidRDefault="00B96EC1" w:rsidP="000C0275">
            <w:pPr>
              <w:jc w:val="right"/>
            </w:pPr>
            <w:r>
              <w:t>3</w:t>
            </w:r>
            <w:r w:rsidR="004313B6">
              <w:t>3</w:t>
            </w:r>
          </w:p>
          <w:p w14:paraId="7498B966" w14:textId="2C699673" w:rsidR="00B96EC1" w:rsidRDefault="00B96EC1" w:rsidP="000C0275">
            <w:pPr>
              <w:jc w:val="right"/>
            </w:pPr>
            <w:r>
              <w:t>3</w:t>
            </w:r>
            <w:r w:rsidR="004313B6">
              <w:t>3</w:t>
            </w:r>
          </w:p>
          <w:p w14:paraId="4ED7D877" w14:textId="69BD830E" w:rsidR="00B96EC1" w:rsidRDefault="00B96EC1" w:rsidP="000C0275">
            <w:pPr>
              <w:jc w:val="right"/>
            </w:pPr>
            <w:r>
              <w:t>3</w:t>
            </w:r>
            <w:r w:rsidR="004313B6">
              <w:t>3</w:t>
            </w:r>
          </w:p>
          <w:p w14:paraId="574A60D0" w14:textId="2659A2A7" w:rsidR="00B96EC1" w:rsidRDefault="00B96EC1" w:rsidP="000C0275">
            <w:pPr>
              <w:jc w:val="right"/>
            </w:pPr>
            <w:r>
              <w:t>3</w:t>
            </w:r>
            <w:r w:rsidR="004313B6">
              <w:t>3</w:t>
            </w:r>
          </w:p>
          <w:p w14:paraId="39B3BE0B" w14:textId="57C1B017" w:rsidR="00B96EC1" w:rsidRDefault="00B96EC1" w:rsidP="000C0275">
            <w:pPr>
              <w:jc w:val="right"/>
            </w:pPr>
            <w:r>
              <w:t>3</w:t>
            </w:r>
            <w:r w:rsidR="004313B6">
              <w:t>4</w:t>
            </w:r>
          </w:p>
          <w:p w14:paraId="55FB7AEF" w14:textId="3C8D50E0" w:rsidR="00B96EC1" w:rsidRDefault="00B96EC1" w:rsidP="000C0275">
            <w:pPr>
              <w:jc w:val="right"/>
            </w:pPr>
            <w:r>
              <w:t>3</w:t>
            </w:r>
            <w:r w:rsidR="009F625D">
              <w:t>4</w:t>
            </w:r>
          </w:p>
          <w:p w14:paraId="4F412C6A" w14:textId="740546BC" w:rsidR="00B96EC1" w:rsidRDefault="00B96EC1" w:rsidP="000C0275">
            <w:pPr>
              <w:jc w:val="right"/>
            </w:pPr>
            <w:r>
              <w:t>31</w:t>
            </w:r>
          </w:p>
          <w:p w14:paraId="09778B84" w14:textId="285F0170" w:rsidR="00B96EC1" w:rsidRDefault="00B96EC1" w:rsidP="000C0275">
            <w:pPr>
              <w:jc w:val="right"/>
            </w:pPr>
            <w:r>
              <w:t>32</w:t>
            </w:r>
          </w:p>
          <w:p w14:paraId="45A0D406" w14:textId="14647825" w:rsidR="00B96EC1" w:rsidRDefault="00B96EC1" w:rsidP="000C0275">
            <w:pPr>
              <w:jc w:val="right"/>
            </w:pPr>
            <w:r>
              <w:lastRenderedPageBreak/>
              <w:t>3</w:t>
            </w:r>
            <w:r w:rsidR="004313B6">
              <w:t>5</w:t>
            </w:r>
          </w:p>
          <w:p w14:paraId="63138E60" w14:textId="6D61E3F4" w:rsidR="00B96EC1" w:rsidRDefault="00B96EC1" w:rsidP="000C0275">
            <w:pPr>
              <w:jc w:val="right"/>
            </w:pPr>
            <w:r>
              <w:t>3</w:t>
            </w:r>
            <w:r w:rsidR="009F625D">
              <w:t>5</w:t>
            </w:r>
          </w:p>
          <w:p w14:paraId="7CCD41AD" w14:textId="5F72F08A" w:rsidR="00B96EC1" w:rsidRDefault="00B96EC1" w:rsidP="000C0275">
            <w:pPr>
              <w:jc w:val="right"/>
            </w:pPr>
            <w:r>
              <w:t>3</w:t>
            </w:r>
            <w:r w:rsidR="009F625D">
              <w:t>5</w:t>
            </w:r>
          </w:p>
          <w:p w14:paraId="0AF30820" w14:textId="5782C35C" w:rsidR="00B96EC1" w:rsidRDefault="00B96EC1" w:rsidP="000C0275">
            <w:pPr>
              <w:jc w:val="right"/>
            </w:pPr>
            <w:r>
              <w:t>3</w:t>
            </w:r>
            <w:r w:rsidR="009F625D">
              <w:t>5</w:t>
            </w:r>
          </w:p>
          <w:p w14:paraId="050FAB7B" w14:textId="4E8D8979" w:rsidR="00B96EC1" w:rsidRDefault="00B96EC1" w:rsidP="000C0275">
            <w:pPr>
              <w:jc w:val="right"/>
            </w:pPr>
            <w:r>
              <w:t>3</w:t>
            </w:r>
            <w:r w:rsidR="009F625D">
              <w:t>5</w:t>
            </w:r>
          </w:p>
          <w:p w14:paraId="4BECDCD9" w14:textId="26DFB3C3" w:rsidR="00B96EC1" w:rsidRDefault="00B96EC1" w:rsidP="000C0275">
            <w:pPr>
              <w:jc w:val="right"/>
            </w:pPr>
            <w:r>
              <w:t>3</w:t>
            </w:r>
            <w:r w:rsidR="009F625D">
              <w:t>5</w:t>
            </w:r>
          </w:p>
          <w:p w14:paraId="12CAF1BD" w14:textId="6EFFFA48" w:rsidR="00B96EC1" w:rsidRDefault="00B96EC1" w:rsidP="000C0275">
            <w:pPr>
              <w:jc w:val="right"/>
            </w:pPr>
            <w:r>
              <w:t>3</w:t>
            </w:r>
            <w:r w:rsidR="009F625D">
              <w:t>6</w:t>
            </w:r>
          </w:p>
          <w:p w14:paraId="7BB9D7C7" w14:textId="6D319011" w:rsidR="00B96EC1" w:rsidRDefault="00B96EC1" w:rsidP="000C0275">
            <w:pPr>
              <w:jc w:val="right"/>
            </w:pPr>
            <w:r>
              <w:t>3</w:t>
            </w:r>
            <w:r w:rsidR="009F625D">
              <w:t>6</w:t>
            </w:r>
          </w:p>
          <w:p w14:paraId="65F9061A" w14:textId="2170DC61" w:rsidR="00B96EC1" w:rsidRDefault="00B96EC1" w:rsidP="000C0275">
            <w:pPr>
              <w:jc w:val="right"/>
            </w:pPr>
            <w:r>
              <w:t>3</w:t>
            </w:r>
            <w:r w:rsidR="009F625D">
              <w:t>6</w:t>
            </w:r>
          </w:p>
          <w:p w14:paraId="1A8F3310" w14:textId="01C346FD" w:rsidR="00B96EC1" w:rsidRDefault="00B96EC1" w:rsidP="000C0275">
            <w:pPr>
              <w:jc w:val="right"/>
            </w:pPr>
            <w:r>
              <w:t>3</w:t>
            </w:r>
            <w:r w:rsidR="009F625D">
              <w:t>6</w:t>
            </w:r>
          </w:p>
          <w:p w14:paraId="28F29441" w14:textId="3B8711E8" w:rsidR="00B96EC1" w:rsidRDefault="00B96EC1" w:rsidP="000C0275">
            <w:pPr>
              <w:jc w:val="right"/>
            </w:pPr>
            <w:r>
              <w:t>3</w:t>
            </w:r>
            <w:r w:rsidR="009F625D">
              <w:t>6</w:t>
            </w:r>
          </w:p>
          <w:p w14:paraId="3A09DC7F" w14:textId="47C6BB63" w:rsidR="00B96EC1" w:rsidRDefault="00B96EC1" w:rsidP="000C0275">
            <w:pPr>
              <w:jc w:val="right"/>
            </w:pPr>
            <w:r>
              <w:t>3</w:t>
            </w:r>
            <w:r w:rsidR="009F625D">
              <w:t>6</w:t>
            </w:r>
          </w:p>
          <w:p w14:paraId="28FBE00E" w14:textId="2E0FA819" w:rsidR="00B96EC1" w:rsidRDefault="00B96EC1" w:rsidP="000C0275">
            <w:pPr>
              <w:jc w:val="right"/>
            </w:pPr>
            <w:r>
              <w:t>3</w:t>
            </w:r>
            <w:r w:rsidR="009F625D">
              <w:t>7</w:t>
            </w:r>
          </w:p>
          <w:p w14:paraId="75697EEC" w14:textId="29B08679" w:rsidR="00B96EC1" w:rsidRDefault="006A1D43" w:rsidP="000C0275">
            <w:pPr>
              <w:jc w:val="right"/>
            </w:pPr>
            <w:r>
              <w:t>3</w:t>
            </w:r>
            <w:r w:rsidR="009F625D">
              <w:t>7</w:t>
            </w:r>
          </w:p>
        </w:tc>
      </w:tr>
    </w:tbl>
    <w:p w14:paraId="6B699379" w14:textId="77777777" w:rsidR="00CA0F60" w:rsidRDefault="00CA0F60" w:rsidP="00CA0F60"/>
    <w:p w14:paraId="3FE9F23F" w14:textId="77777777" w:rsidR="00F5134E" w:rsidRDefault="00F5134E"/>
    <w:p w14:paraId="1F72F646" w14:textId="77777777" w:rsidR="00F5134E" w:rsidRDefault="00F5134E"/>
    <w:p w14:paraId="08CE6F91" w14:textId="77777777" w:rsidR="00F5134E" w:rsidRDefault="00F5134E"/>
    <w:p w14:paraId="61CDCEAD" w14:textId="77777777" w:rsidR="00F5134E" w:rsidRDefault="00F5134E"/>
    <w:p w14:paraId="45FC18F2" w14:textId="7355E2DD" w:rsidR="000C0275" w:rsidRDefault="000C0275"/>
    <w:p w14:paraId="40ED2827" w14:textId="2BFFFA7E" w:rsidR="000C0275" w:rsidRDefault="000C0275"/>
    <w:p w14:paraId="16397E2E" w14:textId="36AA6C59" w:rsidR="00B96EC1" w:rsidRDefault="00B96EC1"/>
    <w:p w14:paraId="430B70AB" w14:textId="28EE1DE6" w:rsidR="00B96EC1" w:rsidRDefault="00B96EC1"/>
    <w:p w14:paraId="51FDC8DC" w14:textId="100F84A1" w:rsidR="00B96EC1" w:rsidRDefault="00B96EC1"/>
    <w:p w14:paraId="3E5FCCC3" w14:textId="7C3F181F" w:rsidR="00B96EC1" w:rsidRDefault="00B96EC1"/>
    <w:p w14:paraId="1B8D61D0" w14:textId="19EE287B" w:rsidR="00B96EC1" w:rsidRDefault="00B96EC1"/>
    <w:p w14:paraId="6093A7D6" w14:textId="1B9A9C94" w:rsidR="00B96EC1" w:rsidRDefault="00B96EC1"/>
    <w:p w14:paraId="15759975" w14:textId="5B8CE01D" w:rsidR="00B96EC1" w:rsidRDefault="00B96EC1"/>
    <w:p w14:paraId="467EA4BB" w14:textId="03827EDE" w:rsidR="00B96EC1" w:rsidRDefault="00B96EC1"/>
    <w:p w14:paraId="4049B176" w14:textId="6629D927" w:rsidR="00B96EC1" w:rsidRDefault="00B96EC1"/>
    <w:p w14:paraId="6E7C8C79" w14:textId="3B25FFF5" w:rsidR="00B96EC1" w:rsidRDefault="00B96EC1"/>
    <w:p w14:paraId="3BD9398A" w14:textId="17812D51" w:rsidR="00B96EC1" w:rsidRDefault="00B96EC1"/>
    <w:p w14:paraId="51B42928" w14:textId="079BCE3C" w:rsidR="00B96EC1" w:rsidRDefault="00B96EC1"/>
    <w:p w14:paraId="7F437A15" w14:textId="5AAF70DD" w:rsidR="00B96EC1" w:rsidRDefault="00B96EC1"/>
    <w:p w14:paraId="1789A43B" w14:textId="166E2C06" w:rsidR="00B96EC1" w:rsidRDefault="00B96EC1"/>
    <w:p w14:paraId="1B9BABB0" w14:textId="3E1639AF" w:rsidR="00B96EC1" w:rsidRDefault="00B96EC1"/>
    <w:p w14:paraId="75AFB1A2" w14:textId="77777777" w:rsidR="00B96EC1" w:rsidRDefault="00B96EC1"/>
    <w:p w14:paraId="52E56223" w14:textId="77777777" w:rsidR="00D5612D" w:rsidRDefault="00D5612D"/>
    <w:p w14:paraId="7E19044A" w14:textId="77777777" w:rsidR="00466172" w:rsidRDefault="000D63EB" w:rsidP="002C0E89">
      <w:pPr>
        <w:pStyle w:val="ListParagraph"/>
        <w:numPr>
          <w:ilvl w:val="0"/>
          <w:numId w:val="15"/>
        </w:numPr>
        <w:rPr>
          <w:b/>
        </w:rPr>
      </w:pPr>
      <w:r w:rsidRPr="001B297B">
        <w:rPr>
          <w:b/>
        </w:rPr>
        <w:t>Background</w:t>
      </w:r>
    </w:p>
    <w:p w14:paraId="07547A01" w14:textId="77777777" w:rsidR="00466172" w:rsidRDefault="00466172" w:rsidP="00466172">
      <w:pPr>
        <w:pStyle w:val="ListParagraph"/>
        <w:rPr>
          <w:b/>
        </w:rPr>
      </w:pPr>
    </w:p>
    <w:p w14:paraId="29D4BFEB" w14:textId="77777777" w:rsidR="002C0E89" w:rsidRPr="00466172" w:rsidRDefault="002C0E89" w:rsidP="00466172">
      <w:pPr>
        <w:pStyle w:val="ListParagraph"/>
        <w:numPr>
          <w:ilvl w:val="1"/>
          <w:numId w:val="15"/>
        </w:numPr>
        <w:rPr>
          <w:b/>
        </w:rPr>
      </w:pPr>
      <w:r w:rsidRPr="00466172">
        <w:rPr>
          <w:b/>
        </w:rPr>
        <w:t xml:space="preserve">Bladder cancer and predictive biomarkers </w:t>
      </w:r>
    </w:p>
    <w:p w14:paraId="5D624124" w14:textId="5C198981" w:rsidR="00DE36D3" w:rsidRDefault="5E839951" w:rsidP="001E6E7A">
      <w:pPr>
        <w:jc w:val="both"/>
      </w:pPr>
      <w:r>
        <w:t>Bladder cancer is a deadly disease with a rising incidence worldwide. There remain no good prognostic factors for recurrence, progression, and survival beyond T classification, grade, associated carcinoma in situ, and lymph node involvement.</w:t>
      </w:r>
      <w:r w:rsidR="5CE38CC8">
        <w:t xml:space="preserve"> There have</w:t>
      </w:r>
      <w:r>
        <w:t xml:space="preserve"> been concerted </w:t>
      </w:r>
      <w:r w:rsidR="4BA31AF7">
        <w:t xml:space="preserve">global </w:t>
      </w:r>
      <w:r>
        <w:t>research efforts directed towards identification of bi</w:t>
      </w:r>
      <w:r w:rsidR="4BA31AF7">
        <w:t xml:space="preserve">omarkers that could enhance </w:t>
      </w:r>
      <w:r>
        <w:t>early detection of bladder cancer. Numerous bi</w:t>
      </w:r>
      <w:r w:rsidR="4BA31AF7">
        <w:t xml:space="preserve">omarkers have been investigated, though none are currently adopted in routine clinical practice. </w:t>
      </w:r>
    </w:p>
    <w:p w14:paraId="4552B5B4" w14:textId="77777777" w:rsidR="00466172" w:rsidRPr="00466172" w:rsidRDefault="00681BF5" w:rsidP="00466172">
      <w:pPr>
        <w:pStyle w:val="ListParagraph"/>
        <w:numPr>
          <w:ilvl w:val="1"/>
          <w:numId w:val="15"/>
        </w:numPr>
        <w:jc w:val="both"/>
        <w:rPr>
          <w:b/>
        </w:rPr>
      </w:pPr>
      <w:r w:rsidRPr="00466172">
        <w:rPr>
          <w:b/>
        </w:rPr>
        <w:t>Carbonic anhydrase IX (CAIX)</w:t>
      </w:r>
      <w:r w:rsidR="00B55E7E" w:rsidRPr="00466172">
        <w:rPr>
          <w:b/>
        </w:rPr>
        <w:t xml:space="preserve"> </w:t>
      </w:r>
    </w:p>
    <w:p w14:paraId="4853962B" w14:textId="74239D0E" w:rsidR="00112ED9" w:rsidRDefault="00BB34DE" w:rsidP="001E6E7A">
      <w:pPr>
        <w:jc w:val="both"/>
      </w:pPr>
      <w:r>
        <w:t xml:space="preserve">CAIX </w:t>
      </w:r>
      <w:r w:rsidR="00B55E7E">
        <w:t xml:space="preserve">is an enzyme that functions as a regulator of </w:t>
      </w:r>
      <w:r w:rsidR="008A7233">
        <w:t xml:space="preserve">intracellular </w:t>
      </w:r>
      <w:r w:rsidR="00B55E7E">
        <w:t>pH</w:t>
      </w:r>
      <w:r w:rsidR="008A7233">
        <w:t xml:space="preserve">, cell proliferation, and cell adhesion </w:t>
      </w:r>
      <w:r w:rsidR="00B55E7E">
        <w:t>in response to hypoxia</w:t>
      </w:r>
      <w:r w:rsidR="004C4104">
        <w:t xml:space="preserve"> (Ivanov)</w:t>
      </w:r>
      <w:r w:rsidR="00B55E7E">
        <w:t xml:space="preserve">. </w:t>
      </w:r>
      <w:r w:rsidR="008A7233">
        <w:t xml:space="preserve">CAIX is expressed abundantly in response to hypoxia in </w:t>
      </w:r>
      <w:r w:rsidR="00112ED9">
        <w:t>a wide range of cancer cell lines</w:t>
      </w:r>
      <w:r w:rsidR="008A7233">
        <w:t xml:space="preserve"> including renal, bladder, </w:t>
      </w:r>
      <w:r w:rsidR="0041430E">
        <w:t xml:space="preserve">head and neck, lung, </w:t>
      </w:r>
      <w:r w:rsidR="008A7233">
        <w:t>and colon cancer</w:t>
      </w:r>
      <w:r w:rsidR="004C4104">
        <w:t xml:space="preserve"> (Ivanov)</w:t>
      </w:r>
      <w:r w:rsidR="008A7233">
        <w:t xml:space="preserve">. </w:t>
      </w:r>
      <w:r w:rsidR="00BB58D2">
        <w:t xml:space="preserve">Previous studies have shown </w:t>
      </w:r>
      <w:r w:rsidR="00B362E3">
        <w:t xml:space="preserve">that greater than 90% of </w:t>
      </w:r>
      <w:r w:rsidR="00BB58D2">
        <w:t>clear cell renal cell carcinomas (ccRCC)</w:t>
      </w:r>
      <w:r w:rsidR="00B362E3">
        <w:t xml:space="preserve"> express CAIX (</w:t>
      </w:r>
      <w:r w:rsidR="00B362E3" w:rsidRPr="0043058C">
        <w:t xml:space="preserve">Steffens </w:t>
      </w:r>
      <w:r w:rsidR="00B362E3" w:rsidRPr="00AC6DBC">
        <w:rPr>
          <w:i/>
          <w:iCs/>
        </w:rPr>
        <w:t>et al</w:t>
      </w:r>
      <w:r w:rsidR="00B362E3" w:rsidRPr="0043058C">
        <w:t>., 1997</w:t>
      </w:r>
      <w:r w:rsidR="00B362E3">
        <w:t>)</w:t>
      </w:r>
      <w:r w:rsidR="00BB58D2">
        <w:t>.</w:t>
      </w:r>
    </w:p>
    <w:p w14:paraId="6AE89AA8" w14:textId="77777777" w:rsidR="00681BF5" w:rsidRDefault="00B55E7E" w:rsidP="001E6E7A">
      <w:pPr>
        <w:jc w:val="both"/>
      </w:pPr>
      <w:r>
        <w:t>Previous data has demonstrated sensitivity and specificity of urinary CAIX of 86.2% and 95.1% respectively, for detection of urothelial bladder cancer (area under the curve 90.5%) (de Martino). A significant association between CAIX expression in paired urine and tumour specimens has also been established</w:t>
      </w:r>
      <w:r w:rsidR="00907193">
        <w:t xml:space="preserve"> (de Martino)</w:t>
      </w:r>
      <w:r>
        <w:t xml:space="preserve">. </w:t>
      </w:r>
      <w:r w:rsidR="00907193">
        <w:t xml:space="preserve">Notably, CAIX was shown to have significantly higher predictive accuracy </w:t>
      </w:r>
      <w:r w:rsidR="007C35AC">
        <w:t>compared to</w:t>
      </w:r>
      <w:r w:rsidR="00907193">
        <w:t xml:space="preserve"> urinary cytology (90.5% vs 71.7%), especially in low-grade tumours (90% vs 61.8%).</w:t>
      </w:r>
    </w:p>
    <w:p w14:paraId="749B543D" w14:textId="33D188C5" w:rsidR="00907193" w:rsidRDefault="00907193" w:rsidP="001E6E7A">
      <w:pPr>
        <w:jc w:val="both"/>
      </w:pPr>
      <w:r>
        <w:t>A seminal study by Klatte</w:t>
      </w:r>
      <w:r w:rsidR="000B3A6B">
        <w:t xml:space="preserve"> </w:t>
      </w:r>
      <w:r w:rsidR="000B3A6B" w:rsidRPr="00660135">
        <w:rPr>
          <w:i/>
          <w:iCs/>
        </w:rPr>
        <w:t>et al</w:t>
      </w:r>
      <w:r w:rsidR="00B362E3">
        <w:t>., (2009)</w:t>
      </w:r>
      <w:r w:rsidR="000B3A6B">
        <w:t xml:space="preserve"> </w:t>
      </w:r>
      <w:r w:rsidR="00796BD4">
        <w:t>confirmed differential expression of CAIX in non</w:t>
      </w:r>
      <w:r w:rsidR="003B3CDD">
        <w:t>-</w:t>
      </w:r>
      <w:r w:rsidR="00796BD4">
        <w:t xml:space="preserve">invasive versus invasive bladder tumours, and in low grade versus high grade bladder cancers. Importantly, Klatte and team confirmed that CAIX was distinctly expressed in &gt;70% of urothelial carcinomas, but was not expressed in normal urothelial tissue. CAIX was also found to perform well as a prognostic marker, and is predictive of 3 endpoints in bladder cancer: recurrence, progression, and overall survival. These findings provide </w:t>
      </w:r>
      <w:r w:rsidR="00B362E3">
        <w:t xml:space="preserve">strong </w:t>
      </w:r>
      <w:r w:rsidR="00796BD4">
        <w:t xml:space="preserve">rationale for investigating the </w:t>
      </w:r>
      <w:r w:rsidR="00B362E3">
        <w:t xml:space="preserve">potential </w:t>
      </w:r>
      <w:r w:rsidR="003E2BAF">
        <w:t xml:space="preserve">use of </w:t>
      </w:r>
      <w:r w:rsidR="00796BD4">
        <w:t>CAIX</w:t>
      </w:r>
      <w:r w:rsidR="00423235">
        <w:t xml:space="preserve"> as a target</w:t>
      </w:r>
      <w:r w:rsidR="003E2BAF">
        <w:t>ed imaging agent for the identification and diagnosis of bladder cancer</w:t>
      </w:r>
      <w:r w:rsidR="00423235">
        <w:t>. By the same token, the utility of CAIX as a therapeutic target also merits further investigation.</w:t>
      </w:r>
    </w:p>
    <w:p w14:paraId="4E778144" w14:textId="4F711022" w:rsidR="00D016C3" w:rsidRPr="00632FB8" w:rsidRDefault="00D016C3" w:rsidP="00632FB8">
      <w:pPr>
        <w:pStyle w:val="ListParagraph"/>
        <w:ind w:left="357"/>
        <w:jc w:val="both"/>
        <w:rPr>
          <w:b/>
          <w:vertAlign w:val="superscript"/>
        </w:rPr>
      </w:pPr>
      <w:r>
        <w:rPr>
          <w:b/>
        </w:rPr>
        <w:t xml:space="preserve">1.3 </w:t>
      </w:r>
      <w:r w:rsidR="00BB58D2" w:rsidRPr="00D016C3">
        <w:rPr>
          <w:b/>
        </w:rPr>
        <w:t>Immuno-Positron Emission Tomography</w:t>
      </w:r>
      <w:r w:rsidR="004C45D6">
        <w:rPr>
          <w:b/>
        </w:rPr>
        <w:t xml:space="preserve"> / Computed Tomography</w:t>
      </w:r>
      <w:r w:rsidR="00BB58D2" w:rsidRPr="00D016C3">
        <w:rPr>
          <w:b/>
        </w:rPr>
        <w:t xml:space="preserve"> (PET</w:t>
      </w:r>
      <w:r w:rsidR="004C45D6">
        <w:rPr>
          <w:b/>
        </w:rPr>
        <w:t>/CT</w:t>
      </w:r>
      <w:r w:rsidR="00BB58D2" w:rsidRPr="00D016C3">
        <w:rPr>
          <w:b/>
        </w:rPr>
        <w:t xml:space="preserve">) and </w:t>
      </w:r>
      <w:r w:rsidR="00256460" w:rsidRPr="00D016C3">
        <w:rPr>
          <w:b/>
        </w:rPr>
        <w:t>Zirconium-89</w:t>
      </w:r>
      <w:r w:rsidR="00F708DB" w:rsidRPr="00D016C3">
        <w:rPr>
          <w:b/>
        </w:rPr>
        <w:t>-</w:t>
      </w:r>
      <w:r w:rsidR="00256460" w:rsidRPr="00D016C3">
        <w:rPr>
          <w:b/>
        </w:rPr>
        <w:t>g</w:t>
      </w:r>
      <w:r w:rsidR="008F13A7" w:rsidRPr="00D016C3">
        <w:rPr>
          <w:b/>
        </w:rPr>
        <w:t>irentuximab</w:t>
      </w:r>
      <w:r w:rsidR="00256460" w:rsidRPr="00D016C3">
        <w:rPr>
          <w:b/>
        </w:rPr>
        <w:t xml:space="preserve"> </w:t>
      </w:r>
      <w:r w:rsidR="004C45D6">
        <w:rPr>
          <w:b/>
        </w:rPr>
        <w:t>(</w:t>
      </w:r>
      <w:r>
        <w:rPr>
          <w:b/>
          <w:vertAlign w:val="superscript"/>
        </w:rPr>
        <w:t>89</w:t>
      </w:r>
      <w:r>
        <w:rPr>
          <w:b/>
        </w:rPr>
        <w:t>Zr-TLX250)</w:t>
      </w:r>
    </w:p>
    <w:p w14:paraId="1E41ABC0" w14:textId="77777777" w:rsidR="00D016C3" w:rsidRDefault="00D016C3" w:rsidP="00D016C3">
      <w:pPr>
        <w:pStyle w:val="ListParagraph"/>
        <w:jc w:val="both"/>
        <w:rPr>
          <w:vertAlign w:val="superscript"/>
        </w:rPr>
      </w:pPr>
    </w:p>
    <w:p w14:paraId="56856708" w14:textId="51925DC4" w:rsidR="00D62826" w:rsidRDefault="00F25083" w:rsidP="00632FB8">
      <w:pPr>
        <w:pStyle w:val="ListParagraph"/>
        <w:ind w:left="0"/>
        <w:jc w:val="both"/>
      </w:pPr>
      <w:r>
        <w:t>Immuno-</w:t>
      </w:r>
      <w:r w:rsidR="00BB58D2">
        <w:t>PET</w:t>
      </w:r>
      <w:r>
        <w:t>”</w:t>
      </w:r>
      <w:r w:rsidR="008F13A7">
        <w:t xml:space="preserve"> </w:t>
      </w:r>
      <w:r>
        <w:t>is a novel imaging modality that enables the tracking of targeted vehicles and carriers through the use of</w:t>
      </w:r>
      <w:r w:rsidR="008F13A7">
        <w:t xml:space="preserve"> </w:t>
      </w:r>
      <w:r>
        <w:t>isotope</w:t>
      </w:r>
      <w:r w:rsidR="008F13A7">
        <w:t>-labelled monoclonal antibodies</w:t>
      </w:r>
      <w:r>
        <w:t xml:space="preserve">. </w:t>
      </w:r>
      <w:r w:rsidR="00F708DB">
        <w:t>Many ligand-target combinations have been studied</w:t>
      </w:r>
      <w:r w:rsidR="00BD7443">
        <w:t xml:space="preserve"> for both diagnostic and therapeutic use. A notable example in the field of theranostics with an established therapeutic role is </w:t>
      </w:r>
      <w:r w:rsidR="00F708DB">
        <w:t>177Lu-PSMA-617</w:t>
      </w:r>
      <w:r w:rsidR="00574F24">
        <w:t>,</w:t>
      </w:r>
      <w:r w:rsidR="00F708DB">
        <w:t xml:space="preserve"> </w:t>
      </w:r>
      <w:r w:rsidR="00574F24">
        <w:t xml:space="preserve">a radionuclide agent that has garnered </w:t>
      </w:r>
      <w:r w:rsidR="00BD7443">
        <w:t xml:space="preserve">success </w:t>
      </w:r>
      <w:r w:rsidR="00F708DB">
        <w:t xml:space="preserve">in the treatment of </w:t>
      </w:r>
      <w:r w:rsidR="00BD7443">
        <w:t>castrate-resistant prostate cancer</w:t>
      </w:r>
      <w:r w:rsidR="00AD44E6">
        <w:t xml:space="preserve"> (Hofman</w:t>
      </w:r>
      <w:r w:rsidR="003E2BAF">
        <w:t xml:space="preserve"> </w:t>
      </w:r>
      <w:r w:rsidR="003E2BAF" w:rsidRPr="00660135">
        <w:rPr>
          <w:i/>
          <w:iCs/>
        </w:rPr>
        <w:t>et al</w:t>
      </w:r>
      <w:r w:rsidR="003E2BAF" w:rsidRPr="003E2BAF">
        <w:t>., 2018</w:t>
      </w:r>
      <w:r w:rsidR="00AD44E6">
        <w:t>)</w:t>
      </w:r>
      <w:r w:rsidR="00BD7443">
        <w:t xml:space="preserve">. </w:t>
      </w:r>
    </w:p>
    <w:p w14:paraId="395AA1F8" w14:textId="0878C2EA" w:rsidR="008F13A7" w:rsidRDefault="00D62826" w:rsidP="001E6E7A">
      <w:pPr>
        <w:jc w:val="both"/>
      </w:pPr>
      <w:r>
        <w:t xml:space="preserve">Due to its intrinsic chemical properties, </w:t>
      </w:r>
      <w:r w:rsidRPr="00660135">
        <w:rPr>
          <w:vertAlign w:val="superscript"/>
        </w:rPr>
        <w:t>89</w:t>
      </w:r>
      <w:r>
        <w:t xml:space="preserve">Zr has been identified as a suitable ligand candidate for this approach </w:t>
      </w:r>
      <w:r w:rsidR="00F25083">
        <w:t>(Van Dongen</w:t>
      </w:r>
      <w:r w:rsidR="003E2BAF">
        <w:t xml:space="preserve"> </w:t>
      </w:r>
      <w:r w:rsidR="003E2BAF" w:rsidRPr="00660135">
        <w:rPr>
          <w:i/>
          <w:iCs/>
        </w:rPr>
        <w:t>et al</w:t>
      </w:r>
      <w:r w:rsidR="003E2BAF">
        <w:t>., 2015</w:t>
      </w:r>
      <w:r w:rsidR="00F25083">
        <w:t xml:space="preserve">). </w:t>
      </w:r>
      <w:r w:rsidR="00BB58D2">
        <w:t xml:space="preserve">Girentuximab </w:t>
      </w:r>
      <w:r w:rsidR="003E2BAF">
        <w:t xml:space="preserve">(used interchangeably with TLX-250) </w:t>
      </w:r>
      <w:r w:rsidR="00BB58D2">
        <w:t xml:space="preserve">is an antibody directed against CAIX that has been widely studied in the setting of </w:t>
      </w:r>
      <w:r w:rsidR="003E2BAF">
        <w:t>renal cell carcinoma (</w:t>
      </w:r>
      <w:r w:rsidR="00BB58D2">
        <w:t>RCC</w:t>
      </w:r>
      <w:r w:rsidR="003E2BAF">
        <w:t>)</w:t>
      </w:r>
      <w:r w:rsidR="00BB58D2">
        <w:t xml:space="preserve">. Since </w:t>
      </w:r>
      <w:r w:rsidR="00BB58D2">
        <w:lastRenderedPageBreak/>
        <w:t>its introduction in the 1980s, over 2</w:t>
      </w:r>
      <w:r w:rsidR="003E2BAF">
        <w:t>0</w:t>
      </w:r>
      <w:r w:rsidR="00BB58D2">
        <w:t xml:space="preserve">00 girentuximab injections have been administered worldwide in several clinical trials. To date, there have been no reports of serious side effects or allergic reactions to girentuximab. </w:t>
      </w:r>
    </w:p>
    <w:p w14:paraId="3F0710EA" w14:textId="76777876" w:rsidR="00224997" w:rsidRDefault="009B47D3" w:rsidP="001E6E7A">
      <w:pPr>
        <w:jc w:val="both"/>
      </w:pPr>
      <w:r>
        <w:t xml:space="preserve">There are a wide range of potential clinical applications for </w:t>
      </w:r>
      <w:r w:rsidR="00D016C3" w:rsidRPr="00632FB8">
        <w:rPr>
          <w:bCs/>
          <w:vertAlign w:val="superscript"/>
        </w:rPr>
        <w:t>89</w:t>
      </w:r>
      <w:r w:rsidR="00D016C3" w:rsidRPr="00632FB8">
        <w:rPr>
          <w:bCs/>
        </w:rPr>
        <w:t>Zr-TLX250</w:t>
      </w:r>
      <w:r w:rsidR="00D016C3">
        <w:rPr>
          <w:b/>
        </w:rPr>
        <w:t xml:space="preserve"> </w:t>
      </w:r>
      <w:r w:rsidR="00E53706">
        <w:t>PET</w:t>
      </w:r>
      <w:r w:rsidR="00D016C3">
        <w:t>/CT</w:t>
      </w:r>
      <w:r w:rsidR="00E53706">
        <w:t xml:space="preserve"> </w:t>
      </w:r>
      <w:r w:rsidR="00850390">
        <w:t>(Van Dongen</w:t>
      </w:r>
      <w:r w:rsidR="003E2BAF">
        <w:t xml:space="preserve"> </w:t>
      </w:r>
      <w:r w:rsidR="003E2BAF" w:rsidRPr="00660135">
        <w:rPr>
          <w:i/>
          <w:iCs/>
        </w:rPr>
        <w:t>et al</w:t>
      </w:r>
      <w:r w:rsidR="003E2BAF">
        <w:t>., 2015</w:t>
      </w:r>
      <w:r w:rsidR="00850390">
        <w:t>)</w:t>
      </w:r>
      <w:r w:rsidR="00224997">
        <w:t xml:space="preserve"> including: 1. </w:t>
      </w:r>
      <w:r w:rsidR="003E2BAF">
        <w:t>D</w:t>
      </w:r>
      <w:r w:rsidR="00224997">
        <w:t xml:space="preserve">isease diagnosis and staging, 2. </w:t>
      </w:r>
      <w:r w:rsidR="003E2BAF">
        <w:t>P</w:t>
      </w:r>
      <w:r w:rsidR="00224997">
        <w:t xml:space="preserve">atient stratification, 3. </w:t>
      </w:r>
      <w:r w:rsidR="003E2BAF">
        <w:t>M</w:t>
      </w:r>
      <w:r w:rsidR="00224997">
        <w:t xml:space="preserve">onitoring of treatment response, and 4. </w:t>
      </w:r>
      <w:r w:rsidR="003E2BAF">
        <w:t>P</w:t>
      </w:r>
      <w:r w:rsidR="00224997">
        <w:t>lanning of radioimmunotherapy.</w:t>
      </w:r>
      <w:r>
        <w:t xml:space="preserve"> </w:t>
      </w:r>
    </w:p>
    <w:p w14:paraId="130CC11D" w14:textId="35DE793D" w:rsidR="003E2BAF" w:rsidRDefault="003E2BAF" w:rsidP="00850390">
      <w:pPr>
        <w:jc w:val="both"/>
      </w:pPr>
      <w:r>
        <w:t>To date</w:t>
      </w:r>
      <w:r w:rsidR="009B47D3">
        <w:t xml:space="preserve">, </w:t>
      </w:r>
      <w:r w:rsidR="00D016C3" w:rsidRPr="00632FB8">
        <w:rPr>
          <w:bCs/>
          <w:vertAlign w:val="superscript"/>
        </w:rPr>
        <w:t>89</w:t>
      </w:r>
      <w:r w:rsidR="00D016C3" w:rsidRPr="00632FB8">
        <w:rPr>
          <w:bCs/>
        </w:rPr>
        <w:t>Zr-TLX250</w:t>
      </w:r>
      <w:r w:rsidR="00D016C3">
        <w:rPr>
          <w:b/>
        </w:rPr>
        <w:t xml:space="preserve"> </w:t>
      </w:r>
      <w:r w:rsidR="00E53706">
        <w:t>has been</w:t>
      </w:r>
      <w:r w:rsidR="009B47D3">
        <w:t xml:space="preserve"> most widely</w:t>
      </w:r>
      <w:r w:rsidR="00E53706">
        <w:t xml:space="preserve"> evaluated as a diagnostic </w:t>
      </w:r>
      <w:r>
        <w:t xml:space="preserve">imaging </w:t>
      </w:r>
      <w:r w:rsidR="00E53706">
        <w:t xml:space="preserve">agent </w:t>
      </w:r>
      <w:r>
        <w:t>for</w:t>
      </w:r>
      <w:r w:rsidR="00E53706">
        <w:t xml:space="preserve"> ccRCC. </w:t>
      </w:r>
      <w:r w:rsidR="00974CB8">
        <w:t xml:space="preserve">Hekman </w:t>
      </w:r>
      <w:r w:rsidR="00974CB8" w:rsidRPr="00660135">
        <w:rPr>
          <w:i/>
          <w:iCs/>
        </w:rPr>
        <w:t>et al</w:t>
      </w:r>
      <w:r>
        <w:t>., (2018)</w:t>
      </w:r>
      <w:r w:rsidR="00974CB8">
        <w:t xml:space="preserve"> studied the use of </w:t>
      </w:r>
      <w:r w:rsidR="00D016C3" w:rsidRPr="00632FB8">
        <w:rPr>
          <w:bCs/>
          <w:vertAlign w:val="superscript"/>
        </w:rPr>
        <w:t>89</w:t>
      </w:r>
      <w:r w:rsidR="00D016C3" w:rsidRPr="00632FB8">
        <w:rPr>
          <w:bCs/>
        </w:rPr>
        <w:t xml:space="preserve">Zr-TLX250 </w:t>
      </w:r>
      <w:r w:rsidR="00FB42BE">
        <w:t>PET</w:t>
      </w:r>
      <w:r w:rsidR="00D016C3">
        <w:t>/CT</w:t>
      </w:r>
      <w:r w:rsidR="00FB42BE">
        <w:t xml:space="preserve"> </w:t>
      </w:r>
      <w:r w:rsidR="00234E36">
        <w:t>in</w:t>
      </w:r>
      <w:r>
        <w:t xml:space="preserve"> the two</w:t>
      </w:r>
      <w:r w:rsidR="00234E36">
        <w:t xml:space="preserve"> cohort</w:t>
      </w:r>
      <w:r>
        <w:t>s</w:t>
      </w:r>
      <w:r w:rsidR="00234E36">
        <w:t xml:space="preserve"> of patients</w:t>
      </w:r>
      <w:r>
        <w:t>;</w:t>
      </w:r>
      <w:r w:rsidR="00234E36">
        <w:t xml:space="preserve">  1. </w:t>
      </w:r>
      <w:r>
        <w:t>P</w:t>
      </w:r>
      <w:r w:rsidR="00974CB8">
        <w:t xml:space="preserve">atients with an indistinct renal mass and </w:t>
      </w:r>
      <w:r w:rsidR="00234E36">
        <w:t xml:space="preserve">2. </w:t>
      </w:r>
      <w:r>
        <w:t>P</w:t>
      </w:r>
      <w:r w:rsidR="00974CB8">
        <w:t>atients suspected of r</w:t>
      </w:r>
      <w:r w:rsidR="006103F7">
        <w:t xml:space="preserve">ecurrent/metastatic ccRCC. </w:t>
      </w:r>
      <w:r>
        <w:t>The use of</w:t>
      </w:r>
      <w:r w:rsidR="00974CB8">
        <w:t xml:space="preserve"> </w:t>
      </w:r>
      <w:r w:rsidR="00D016C3" w:rsidRPr="00632FB8">
        <w:rPr>
          <w:bCs/>
          <w:vertAlign w:val="superscript"/>
        </w:rPr>
        <w:t>89</w:t>
      </w:r>
      <w:r w:rsidR="00D016C3" w:rsidRPr="00632FB8">
        <w:rPr>
          <w:bCs/>
        </w:rPr>
        <w:t>Zr-TLX250</w:t>
      </w:r>
      <w:r w:rsidR="00974CB8" w:rsidRPr="00632FB8">
        <w:rPr>
          <w:bCs/>
        </w:rPr>
        <w:t xml:space="preserve"> </w:t>
      </w:r>
      <w:r w:rsidR="00974CB8">
        <w:t>PET</w:t>
      </w:r>
      <w:r w:rsidR="00D016C3">
        <w:t>/CT</w:t>
      </w:r>
      <w:r w:rsidR="00974CB8">
        <w:t xml:space="preserve"> </w:t>
      </w:r>
      <w:r>
        <w:t xml:space="preserve">as a means of identifying ccRCC was found to have a significant impact on </w:t>
      </w:r>
      <w:r w:rsidR="00974CB8">
        <w:t xml:space="preserve">clinical decision making. In </w:t>
      </w:r>
      <w:r>
        <w:t>patients with an indeterminate renal mass</w:t>
      </w:r>
      <w:r w:rsidR="00974CB8">
        <w:t xml:space="preserve">, </w:t>
      </w:r>
      <w:r w:rsidR="006103F7">
        <w:t xml:space="preserve">5 </w:t>
      </w:r>
      <w:r w:rsidR="00974CB8">
        <w:t xml:space="preserve">out of 6 </w:t>
      </w:r>
      <w:r>
        <w:t xml:space="preserve">masses that internalised the </w:t>
      </w:r>
      <w:r w:rsidRPr="00101DB3">
        <w:rPr>
          <w:bCs/>
          <w:vertAlign w:val="superscript"/>
        </w:rPr>
        <w:t>89</w:t>
      </w:r>
      <w:r w:rsidRPr="00101DB3">
        <w:rPr>
          <w:bCs/>
        </w:rPr>
        <w:t xml:space="preserve">Zr-TLX250 </w:t>
      </w:r>
      <w:r>
        <w:rPr>
          <w:bCs/>
        </w:rPr>
        <w:t xml:space="preserve">imaging agent were histologically confirmed as ccRCC after surgical removal of the tumours. </w:t>
      </w:r>
      <w:r w:rsidR="00974CB8">
        <w:t xml:space="preserve"> The 6</w:t>
      </w:r>
      <w:r w:rsidR="00974CB8" w:rsidRPr="00974CB8">
        <w:rPr>
          <w:vertAlign w:val="superscript"/>
        </w:rPr>
        <w:t>th</w:t>
      </w:r>
      <w:r w:rsidR="00974CB8">
        <w:t xml:space="preserve"> patient with Von Hippel Lindau syndrome received additional cr</w:t>
      </w:r>
      <w:r w:rsidR="0086773D">
        <w:t>y</w:t>
      </w:r>
      <w:r w:rsidR="00974CB8">
        <w:t xml:space="preserve">oablation for PET positive lesions </w:t>
      </w:r>
      <w:r>
        <w:t xml:space="preserve">that were not detected using </w:t>
      </w:r>
      <w:r w:rsidR="00974CB8">
        <w:t xml:space="preserve">MRI. No progression was observed in the 9 patients with </w:t>
      </w:r>
      <w:r w:rsidRPr="00101DB3">
        <w:rPr>
          <w:bCs/>
          <w:vertAlign w:val="superscript"/>
        </w:rPr>
        <w:t>89</w:t>
      </w:r>
      <w:r w:rsidRPr="00101DB3">
        <w:rPr>
          <w:bCs/>
        </w:rPr>
        <w:t>Zr-TLX250</w:t>
      </w:r>
      <w:r>
        <w:rPr>
          <w:bCs/>
        </w:rPr>
        <w:t xml:space="preserve"> </w:t>
      </w:r>
      <w:r w:rsidR="00974CB8">
        <w:t xml:space="preserve">negative tumours (mean duration of follow up 13 months </w:t>
      </w:r>
      <w:r w:rsidR="00974CB8">
        <w:rPr>
          <w:rFonts w:cstheme="minorHAnsi"/>
        </w:rPr>
        <w:t>±</w:t>
      </w:r>
      <w:r w:rsidR="00974CB8">
        <w:t xml:space="preserve"> 4.9 months). </w:t>
      </w:r>
    </w:p>
    <w:p w14:paraId="426E0267" w14:textId="39A55F34" w:rsidR="00F741B5" w:rsidRDefault="006103F7" w:rsidP="00850390">
      <w:pPr>
        <w:jc w:val="both"/>
      </w:pPr>
      <w:r>
        <w:t xml:space="preserve">In </w:t>
      </w:r>
      <w:r w:rsidR="003E2BAF">
        <w:t>patients suspected of recurrent/metastatic ccRCC</w:t>
      </w:r>
      <w:r>
        <w:t xml:space="preserve">, </w:t>
      </w:r>
      <w:r w:rsidR="00D016C3" w:rsidRPr="00632FB8">
        <w:rPr>
          <w:bCs/>
          <w:vertAlign w:val="superscript"/>
        </w:rPr>
        <w:t>89</w:t>
      </w:r>
      <w:r w:rsidR="00D016C3" w:rsidRPr="00632FB8">
        <w:rPr>
          <w:bCs/>
        </w:rPr>
        <w:t>Zr-TLX250</w:t>
      </w:r>
      <w:r w:rsidR="00D016C3">
        <w:rPr>
          <w:b/>
        </w:rPr>
        <w:t xml:space="preserve"> </w:t>
      </w:r>
      <w:r w:rsidR="00FB42BE">
        <w:t>PET</w:t>
      </w:r>
      <w:r w:rsidR="00D016C3">
        <w:t>/CT</w:t>
      </w:r>
      <w:r w:rsidR="00FB42BE">
        <w:t xml:space="preserve"> </w:t>
      </w:r>
      <w:r w:rsidR="003E2BAF">
        <w:t>imaging was able to assist with the treatment and patient care decision making process,</w:t>
      </w:r>
      <w:r>
        <w:t xml:space="preserve"> </w:t>
      </w:r>
      <w:r w:rsidR="00FB42BE">
        <w:t xml:space="preserve">including defining the extent of metastatic disease, distinguishing cccRCC from other cancers, and providing further diagnostic interpretation where biopsies were not feasible. </w:t>
      </w:r>
      <w:r w:rsidR="00D016C3" w:rsidRPr="004C45D6">
        <w:t xml:space="preserve">Urinary excretion of FDG PET/CT is intrinsically problematic when imaging urinary tract malignancies. Hepatic clearance of </w:t>
      </w:r>
      <w:r w:rsidR="00D016C3" w:rsidRPr="004C45D6">
        <w:rPr>
          <w:vertAlign w:val="superscript"/>
        </w:rPr>
        <w:t>89</w:t>
      </w:r>
      <w:r w:rsidR="00D016C3" w:rsidRPr="004C45D6">
        <w:t>Zr-TLX250 with low urinary excretion is expected to be advantageous for the local and distant staging of urothelial carcinoma and bladder cancer.</w:t>
      </w:r>
    </w:p>
    <w:p w14:paraId="6A38C6A3" w14:textId="257019C3" w:rsidR="00F5134E" w:rsidRDefault="00850390" w:rsidP="007510C5">
      <w:pPr>
        <w:jc w:val="both"/>
      </w:pPr>
      <w:r>
        <w:t xml:space="preserve">In the setting of breast cancer, </w:t>
      </w:r>
      <w:r w:rsidRPr="00660135">
        <w:rPr>
          <w:vertAlign w:val="superscript"/>
        </w:rPr>
        <w:t>89</w:t>
      </w:r>
      <w:r>
        <w:t>Zr-labelled antibodies ha</w:t>
      </w:r>
      <w:r w:rsidR="0005179C">
        <w:t>ve been investigated</w:t>
      </w:r>
      <w:r>
        <w:t xml:space="preserve"> as a means of selecting the best candidates to receive the antibody-drug conjugate, ado-trastuzumab-emtansine (T-DM1)</w:t>
      </w:r>
      <w:r w:rsidR="00024214">
        <w:t xml:space="preserve"> (Dijkers</w:t>
      </w:r>
      <w:r w:rsidR="000E459F">
        <w:t xml:space="preserve"> </w:t>
      </w:r>
      <w:r w:rsidR="000E459F" w:rsidRPr="00660135">
        <w:rPr>
          <w:i/>
          <w:iCs/>
        </w:rPr>
        <w:t>et al</w:t>
      </w:r>
      <w:r w:rsidR="000E459F">
        <w:t>., 2010</w:t>
      </w:r>
      <w:r w:rsidR="00024214">
        <w:t>)</w:t>
      </w:r>
      <w:r>
        <w:t>. T-DM1 combines the antitumour properties of</w:t>
      </w:r>
      <w:r w:rsidR="000E459F">
        <w:t xml:space="preserve"> the</w:t>
      </w:r>
      <w:r>
        <w:t xml:space="preserve"> HER2 antibody, trastuzumab, with a cytotoxic agent, DM1. </w:t>
      </w:r>
      <w:r w:rsidR="0005179C" w:rsidRPr="00660135">
        <w:rPr>
          <w:vertAlign w:val="superscript"/>
        </w:rPr>
        <w:t>89</w:t>
      </w:r>
      <w:r w:rsidR="0005179C">
        <w:t>Zr-trastuzumab PET enables</w:t>
      </w:r>
      <w:r>
        <w:t xml:space="preserve"> quantification of </w:t>
      </w:r>
      <w:r w:rsidR="0005179C">
        <w:t>monoclonal</w:t>
      </w:r>
      <w:r>
        <w:t xml:space="preserve"> antibody uptake in HER2 positive lesions, which may in turn</w:t>
      </w:r>
      <w:r w:rsidR="0005179C">
        <w:t>,</w:t>
      </w:r>
      <w:r>
        <w:t xml:space="preserve"> </w:t>
      </w:r>
      <w:r w:rsidR="00385599">
        <w:t xml:space="preserve">be used to predict </w:t>
      </w:r>
      <w:r>
        <w:t xml:space="preserve">therapeutic efficacy with T-DM1. </w:t>
      </w:r>
    </w:p>
    <w:p w14:paraId="6D783438" w14:textId="01DA6C20" w:rsidR="00CF6A83" w:rsidRDefault="00CF6A83" w:rsidP="007510C5">
      <w:pPr>
        <w:jc w:val="both"/>
      </w:pPr>
      <w:r>
        <w:t>Early-phase s</w:t>
      </w:r>
      <w:r w:rsidR="00385599">
        <w:t xml:space="preserve">tudies have </w:t>
      </w:r>
      <w:r>
        <w:t xml:space="preserve">also </w:t>
      </w:r>
      <w:r w:rsidR="00FF1F06">
        <w:t>explored the use of</w:t>
      </w:r>
      <w:r w:rsidR="00385599">
        <w:t xml:space="preserve"> </w:t>
      </w:r>
      <w:r w:rsidR="00385599" w:rsidRPr="00660135">
        <w:rPr>
          <w:vertAlign w:val="superscript"/>
        </w:rPr>
        <w:t>89</w:t>
      </w:r>
      <w:r w:rsidR="00385599">
        <w:t xml:space="preserve">Zr-immuno-PET as a potential tool in monitoring response to </w:t>
      </w:r>
      <w:r>
        <w:t>breast cancer therapy</w:t>
      </w:r>
      <w:r w:rsidR="002D506E">
        <w:t xml:space="preserve"> (Gaykema</w:t>
      </w:r>
      <w:r w:rsidR="000E459F">
        <w:t xml:space="preserve"> </w:t>
      </w:r>
      <w:r w:rsidR="000E459F" w:rsidRPr="00660135">
        <w:rPr>
          <w:i/>
          <w:iCs/>
        </w:rPr>
        <w:t>et al</w:t>
      </w:r>
      <w:r w:rsidR="000E459F">
        <w:t>., 2013</w:t>
      </w:r>
      <w:r w:rsidR="002D506E">
        <w:t>)</w:t>
      </w:r>
      <w:r w:rsidR="00385599">
        <w:t xml:space="preserve"> and radiotherapy</w:t>
      </w:r>
      <w:r w:rsidR="002D506E">
        <w:t xml:space="preserve"> (Holland</w:t>
      </w:r>
      <w:r w:rsidR="000E459F">
        <w:t xml:space="preserve"> </w:t>
      </w:r>
      <w:r w:rsidR="000E459F" w:rsidRPr="00660135">
        <w:rPr>
          <w:i/>
          <w:iCs/>
        </w:rPr>
        <w:t>et al</w:t>
      </w:r>
      <w:r w:rsidR="000E459F">
        <w:t>., 2010</w:t>
      </w:r>
      <w:r w:rsidR="002D506E">
        <w:t>)</w:t>
      </w:r>
      <w:r w:rsidR="00385599">
        <w:t>.</w:t>
      </w:r>
      <w:r w:rsidR="00FF1F06">
        <w:t xml:space="preserve"> </w:t>
      </w:r>
      <w:r>
        <w:t xml:space="preserve">HSP90 are implicated in the key hallmarks of breast cancer progression. Gaykema and colleagues were able to demonstrate change in the size of tumour lesions on </w:t>
      </w:r>
      <w:r w:rsidRPr="00660135">
        <w:rPr>
          <w:vertAlign w:val="superscript"/>
        </w:rPr>
        <w:t>89</w:t>
      </w:r>
      <w:r>
        <w:t xml:space="preserve">Zr-trastuzumab PET following administration of HSP90 inhibitor NVP-AUY922 in patients with advanced HER2 or ER-positive breast cancer. </w:t>
      </w:r>
    </w:p>
    <w:p w14:paraId="01BAB3E2" w14:textId="77777777" w:rsidR="000E459F" w:rsidRDefault="000E459F" w:rsidP="000E459F">
      <w:pPr>
        <w:jc w:val="both"/>
      </w:pPr>
      <w:r>
        <w:t xml:space="preserve">Collectively these studies highlight the potential diagnostic and therapeutic applications of </w:t>
      </w:r>
      <w:r w:rsidRPr="00AC6DBC">
        <w:rPr>
          <w:vertAlign w:val="superscript"/>
        </w:rPr>
        <w:t>89</w:t>
      </w:r>
      <w:r>
        <w:t>Zr-girentiximab (</w:t>
      </w:r>
      <w:r w:rsidRPr="00101DB3">
        <w:rPr>
          <w:vertAlign w:val="superscript"/>
        </w:rPr>
        <w:t>89</w:t>
      </w:r>
      <w:r w:rsidRPr="004C45D6">
        <w:t>Zr-TLX250</w:t>
      </w:r>
      <w:r>
        <w:t>) where this Phase I study aims to investigate the extension of its application into metastatic urothelial carcinoma or bladder cancer.</w:t>
      </w:r>
    </w:p>
    <w:p w14:paraId="3372A79F" w14:textId="77777777" w:rsidR="000E459F" w:rsidRDefault="000E459F" w:rsidP="007510C5">
      <w:pPr>
        <w:jc w:val="both"/>
      </w:pPr>
    </w:p>
    <w:p w14:paraId="0219F9A5" w14:textId="2AFB9E38" w:rsidR="000D63EB" w:rsidRDefault="00DE0565" w:rsidP="00632FB8">
      <w:pPr>
        <w:pStyle w:val="ListParagraph"/>
        <w:numPr>
          <w:ilvl w:val="0"/>
          <w:numId w:val="15"/>
        </w:numPr>
        <w:spacing w:after="0" w:line="240" w:lineRule="auto"/>
        <w:jc w:val="both"/>
        <w:rPr>
          <w:b/>
        </w:rPr>
      </w:pPr>
      <w:r>
        <w:rPr>
          <w:b/>
        </w:rPr>
        <w:t xml:space="preserve">Aims and </w:t>
      </w:r>
      <w:r w:rsidR="00846E0E">
        <w:rPr>
          <w:b/>
        </w:rPr>
        <w:t>o</w:t>
      </w:r>
      <w:r w:rsidR="000D63EB" w:rsidRPr="001B297B">
        <w:rPr>
          <w:b/>
        </w:rPr>
        <w:t>bjectives</w:t>
      </w:r>
    </w:p>
    <w:p w14:paraId="4AB0F8F2" w14:textId="77777777" w:rsidR="00BF49CE" w:rsidRPr="001B297B" w:rsidRDefault="00BF49CE" w:rsidP="00632FB8">
      <w:pPr>
        <w:pStyle w:val="ListParagraph"/>
        <w:spacing w:after="0" w:line="240" w:lineRule="auto"/>
        <w:jc w:val="both"/>
        <w:rPr>
          <w:b/>
        </w:rPr>
      </w:pPr>
    </w:p>
    <w:p w14:paraId="7C3666C4" w14:textId="0CA233A7" w:rsidR="002A271E" w:rsidRDefault="002A271E" w:rsidP="00632FB8">
      <w:pPr>
        <w:spacing w:after="0" w:line="240" w:lineRule="auto"/>
        <w:jc w:val="both"/>
      </w:pPr>
      <w:r>
        <w:lastRenderedPageBreak/>
        <w:t xml:space="preserve">The aim of this study is to </w:t>
      </w:r>
      <w:r w:rsidR="0001134A">
        <w:t>determine if</w:t>
      </w:r>
      <w:r>
        <w:t xml:space="preserve"> </w:t>
      </w:r>
      <w:r w:rsidR="0001134A">
        <w:t xml:space="preserve">it is practical to use </w:t>
      </w:r>
      <w:r w:rsidR="004C45D6" w:rsidRPr="009D2267">
        <w:rPr>
          <w:bCs/>
          <w:vertAlign w:val="superscript"/>
        </w:rPr>
        <w:t>89</w:t>
      </w:r>
      <w:r w:rsidR="004C45D6" w:rsidRPr="009D2267">
        <w:rPr>
          <w:bCs/>
        </w:rPr>
        <w:t>Zr-TLX250</w:t>
      </w:r>
      <w:r w:rsidR="004C45D6">
        <w:rPr>
          <w:b/>
        </w:rPr>
        <w:t xml:space="preserve"> </w:t>
      </w:r>
      <w:r w:rsidR="004C45D6">
        <w:t xml:space="preserve">PET/CT </w:t>
      </w:r>
      <w:r>
        <w:t xml:space="preserve">in the staging </w:t>
      </w:r>
      <w:r w:rsidR="0001134A">
        <w:t>and detect</w:t>
      </w:r>
      <w:r w:rsidR="00D02CEC">
        <w:t>ion of</w:t>
      </w:r>
      <w:r w:rsidR="0001134A">
        <w:t xml:space="preserve"> </w:t>
      </w:r>
      <w:r w:rsidR="00D02CEC">
        <w:t xml:space="preserve">localized and </w:t>
      </w:r>
      <w:r w:rsidR="0001134A">
        <w:t>metasta</w:t>
      </w:r>
      <w:r w:rsidR="00D02CEC">
        <w:t>tic</w:t>
      </w:r>
      <w:r w:rsidR="0001134A">
        <w:t xml:space="preserve"> </w:t>
      </w:r>
      <w:r>
        <w:t>urothelial carcinoma</w:t>
      </w:r>
      <w:r w:rsidR="0001134A">
        <w:t xml:space="preserve"> </w:t>
      </w:r>
      <w:r w:rsidR="00D02CEC">
        <w:t xml:space="preserve">or </w:t>
      </w:r>
      <w:r w:rsidR="0001134A">
        <w:t xml:space="preserve">bladder cancer.  </w:t>
      </w:r>
    </w:p>
    <w:p w14:paraId="024B4AAA" w14:textId="77777777" w:rsidR="00BF49CE" w:rsidRDefault="00BF49CE" w:rsidP="00632FB8">
      <w:pPr>
        <w:spacing w:after="0" w:line="240" w:lineRule="auto"/>
        <w:jc w:val="both"/>
      </w:pPr>
    </w:p>
    <w:p w14:paraId="1D7BFAB5" w14:textId="617653D9" w:rsidR="00BF49CE" w:rsidRDefault="00701150" w:rsidP="00632FB8">
      <w:pPr>
        <w:spacing w:after="0" w:line="240" w:lineRule="auto"/>
        <w:jc w:val="both"/>
      </w:pPr>
      <w:r>
        <w:t xml:space="preserve">The primary objective is to </w:t>
      </w:r>
      <w:r w:rsidR="0001134A">
        <w:t>evaluate the feasibility of</w:t>
      </w:r>
      <w:r w:rsidR="001C02EE">
        <w:t xml:space="preserve"> using</w:t>
      </w:r>
      <w:r w:rsidR="0001134A">
        <w:t xml:space="preserve"> </w:t>
      </w:r>
      <w:r w:rsidR="004C45D6" w:rsidRPr="009D2267">
        <w:rPr>
          <w:bCs/>
          <w:vertAlign w:val="superscript"/>
        </w:rPr>
        <w:t>89</w:t>
      </w:r>
      <w:r w:rsidR="004C45D6" w:rsidRPr="009D2267">
        <w:rPr>
          <w:bCs/>
        </w:rPr>
        <w:t>Zr-TLX250</w:t>
      </w:r>
      <w:r w:rsidR="004C45D6">
        <w:rPr>
          <w:b/>
        </w:rPr>
        <w:t xml:space="preserve"> </w:t>
      </w:r>
      <w:r w:rsidR="004C45D6">
        <w:t>PET/CT</w:t>
      </w:r>
      <w:r w:rsidR="00E64601">
        <w:t xml:space="preserve"> </w:t>
      </w:r>
      <w:r w:rsidR="002C2D1C">
        <w:t xml:space="preserve">as a new </w:t>
      </w:r>
      <w:r w:rsidR="001C02EE">
        <w:t>diagnostic and staging modality</w:t>
      </w:r>
      <w:r w:rsidR="0001134A">
        <w:t xml:space="preserve"> </w:t>
      </w:r>
      <w:r w:rsidR="001C02EE">
        <w:t>to</w:t>
      </w:r>
      <w:r w:rsidR="0001134A">
        <w:t xml:space="preserve"> detect</w:t>
      </w:r>
      <w:r w:rsidR="00BF49CE">
        <w:t xml:space="preserve"> </w:t>
      </w:r>
      <w:r w:rsidR="0001134A">
        <w:t>urothelial carcinoma or bladder cancer</w:t>
      </w:r>
      <w:r w:rsidR="001C02EE">
        <w:t>.</w:t>
      </w:r>
      <w:r w:rsidR="0001134A" w:rsidDel="0001134A">
        <w:t xml:space="preserve"> </w:t>
      </w:r>
    </w:p>
    <w:p w14:paraId="320D54A4" w14:textId="77777777" w:rsidR="0001134A" w:rsidRDefault="0001134A" w:rsidP="00632FB8">
      <w:pPr>
        <w:spacing w:after="0" w:line="240" w:lineRule="auto"/>
        <w:jc w:val="both"/>
      </w:pPr>
    </w:p>
    <w:p w14:paraId="33B82569" w14:textId="77777777" w:rsidR="00701150" w:rsidRDefault="00701150" w:rsidP="002C2D1C">
      <w:pPr>
        <w:spacing w:after="0" w:line="240" w:lineRule="auto"/>
        <w:jc w:val="both"/>
      </w:pPr>
      <w:r>
        <w:t xml:space="preserve">Secondary objectives are as follows: </w:t>
      </w:r>
    </w:p>
    <w:p w14:paraId="15E28FF3" w14:textId="77777777" w:rsidR="00BF49CE" w:rsidRDefault="00BF49CE">
      <w:pPr>
        <w:spacing w:after="0" w:line="240" w:lineRule="auto"/>
        <w:jc w:val="both"/>
      </w:pPr>
    </w:p>
    <w:p w14:paraId="0A56EA7A" w14:textId="1B73D9BD" w:rsidR="001C02EE" w:rsidRDefault="001C02EE" w:rsidP="00632FB8">
      <w:pPr>
        <w:pStyle w:val="ListParagraph"/>
        <w:numPr>
          <w:ilvl w:val="0"/>
          <w:numId w:val="25"/>
        </w:numPr>
        <w:spacing w:after="0" w:line="240" w:lineRule="auto"/>
        <w:jc w:val="both"/>
      </w:pPr>
      <w:r>
        <w:t xml:space="preserve">To evaluate the safety and tolerability of </w:t>
      </w:r>
      <w:r w:rsidR="004C45D6" w:rsidRPr="009D2267">
        <w:rPr>
          <w:bCs/>
          <w:vertAlign w:val="superscript"/>
        </w:rPr>
        <w:t>89</w:t>
      </w:r>
      <w:r w:rsidR="004C45D6" w:rsidRPr="009D2267">
        <w:rPr>
          <w:bCs/>
        </w:rPr>
        <w:t>Zr-TLX250</w:t>
      </w:r>
      <w:r w:rsidR="004C45D6">
        <w:rPr>
          <w:b/>
        </w:rPr>
        <w:t xml:space="preserve"> </w:t>
      </w:r>
      <w:r w:rsidR="004C45D6">
        <w:t xml:space="preserve">PET/CT </w:t>
      </w:r>
    </w:p>
    <w:p w14:paraId="23D52857" w14:textId="62FCC59F" w:rsidR="0001134A" w:rsidRDefault="0001134A" w:rsidP="00632FB8">
      <w:pPr>
        <w:pStyle w:val="ListParagraph"/>
        <w:numPr>
          <w:ilvl w:val="0"/>
          <w:numId w:val="25"/>
        </w:numPr>
        <w:spacing w:after="0" w:line="240" w:lineRule="auto"/>
        <w:jc w:val="both"/>
      </w:pPr>
      <w:r>
        <w:t xml:space="preserve">To determine the effectiveness of </w:t>
      </w:r>
      <w:r w:rsidR="004C45D6" w:rsidRPr="009D2267">
        <w:rPr>
          <w:bCs/>
          <w:vertAlign w:val="superscript"/>
        </w:rPr>
        <w:t>89</w:t>
      </w:r>
      <w:r w:rsidR="004C45D6" w:rsidRPr="009D2267">
        <w:rPr>
          <w:bCs/>
        </w:rPr>
        <w:t>Zr-TLX250</w:t>
      </w:r>
      <w:r w:rsidR="004C45D6">
        <w:rPr>
          <w:b/>
        </w:rPr>
        <w:t xml:space="preserve"> </w:t>
      </w:r>
      <w:r w:rsidR="004C45D6">
        <w:t>PET/CT</w:t>
      </w:r>
      <w:r>
        <w:t xml:space="preserve"> in detecting metastatic urothelial carcinoma or bladder cancer compared to FDG PET</w:t>
      </w:r>
      <w:r w:rsidR="004C45D6">
        <w:t>/CT</w:t>
      </w:r>
      <w:r>
        <w:t xml:space="preserve"> by comparing tracer uptake ratios in mediastinum against tumour.</w:t>
      </w:r>
      <w:r w:rsidR="00704BD5">
        <w:t xml:space="preserve"> </w:t>
      </w:r>
      <w:r>
        <w:t xml:space="preserve">To evaluate the correlation between positive </w:t>
      </w:r>
      <w:r w:rsidR="004C45D6" w:rsidRPr="009D2267">
        <w:rPr>
          <w:bCs/>
          <w:vertAlign w:val="superscript"/>
        </w:rPr>
        <w:t>89</w:t>
      </w:r>
      <w:r w:rsidR="004C45D6" w:rsidRPr="009D2267">
        <w:rPr>
          <w:bCs/>
        </w:rPr>
        <w:t>Zr-TLX250</w:t>
      </w:r>
      <w:r w:rsidR="004C45D6">
        <w:rPr>
          <w:b/>
        </w:rPr>
        <w:t xml:space="preserve"> </w:t>
      </w:r>
      <w:r w:rsidR="004C45D6">
        <w:t xml:space="preserve">PET/CT </w:t>
      </w:r>
      <w:r>
        <w:t>and pelvic lymphadenectomy histopathological findings in those undergoing radical cystectomy.</w:t>
      </w:r>
    </w:p>
    <w:p w14:paraId="4CBE23BB" w14:textId="144E8DEB" w:rsidR="0001134A" w:rsidRDefault="0001134A" w:rsidP="00632FB8">
      <w:pPr>
        <w:pStyle w:val="ListParagraph"/>
        <w:numPr>
          <w:ilvl w:val="0"/>
          <w:numId w:val="25"/>
        </w:numPr>
        <w:spacing w:after="0" w:line="240" w:lineRule="auto"/>
        <w:jc w:val="both"/>
      </w:pPr>
      <w:r>
        <w:t xml:space="preserve">To evaluate the effectiveness of </w:t>
      </w:r>
      <w:r w:rsidR="004C45D6" w:rsidRPr="009D2267">
        <w:rPr>
          <w:bCs/>
          <w:vertAlign w:val="superscript"/>
        </w:rPr>
        <w:t>89</w:t>
      </w:r>
      <w:r w:rsidR="004C45D6" w:rsidRPr="009D2267">
        <w:rPr>
          <w:bCs/>
        </w:rPr>
        <w:t>Zr-TLX250</w:t>
      </w:r>
      <w:r w:rsidR="004C45D6">
        <w:rPr>
          <w:b/>
        </w:rPr>
        <w:t xml:space="preserve"> </w:t>
      </w:r>
      <w:r w:rsidR="004C45D6">
        <w:t xml:space="preserve">PET/CT </w:t>
      </w:r>
      <w:r>
        <w:t>in detecting primary bladder cancer.</w:t>
      </w:r>
    </w:p>
    <w:p w14:paraId="681DBDDB" w14:textId="38CB0051" w:rsidR="0001134A" w:rsidRDefault="0001134A" w:rsidP="00632FB8">
      <w:pPr>
        <w:pStyle w:val="ListParagraph"/>
        <w:numPr>
          <w:ilvl w:val="0"/>
          <w:numId w:val="25"/>
        </w:numPr>
        <w:spacing w:after="0" w:line="240" w:lineRule="auto"/>
        <w:jc w:val="both"/>
      </w:pPr>
      <w:r>
        <w:t xml:space="preserve">To evaluate the effectiveness of </w:t>
      </w:r>
      <w:r w:rsidR="004C45D6" w:rsidRPr="009D2267">
        <w:rPr>
          <w:bCs/>
          <w:vertAlign w:val="superscript"/>
        </w:rPr>
        <w:t>89</w:t>
      </w:r>
      <w:r w:rsidR="004C45D6" w:rsidRPr="009D2267">
        <w:rPr>
          <w:bCs/>
        </w:rPr>
        <w:t>Zr-TLX250</w:t>
      </w:r>
      <w:r w:rsidR="004C45D6">
        <w:rPr>
          <w:b/>
        </w:rPr>
        <w:t xml:space="preserve"> </w:t>
      </w:r>
      <w:r w:rsidR="004C45D6">
        <w:t>PET/CT</w:t>
      </w:r>
      <w:r>
        <w:t xml:space="preserve"> in detecting upper tract urothelial carcinoma.</w:t>
      </w:r>
    </w:p>
    <w:p w14:paraId="202DB35A" w14:textId="77777777" w:rsidR="0001134A" w:rsidRDefault="0001134A" w:rsidP="0001134A">
      <w:pPr>
        <w:pStyle w:val="ListParagraph"/>
        <w:ind w:left="0"/>
      </w:pPr>
    </w:p>
    <w:p w14:paraId="7AD0A7EF" w14:textId="2AB192DE" w:rsidR="0001134A" w:rsidRDefault="0001134A" w:rsidP="00632FB8">
      <w:pPr>
        <w:pStyle w:val="ListParagraph"/>
        <w:ind w:left="360"/>
        <w:jc w:val="both"/>
        <w:rPr>
          <w:b/>
          <w:bCs/>
        </w:rPr>
      </w:pPr>
      <w:r w:rsidRPr="00632FB8">
        <w:rPr>
          <w:b/>
          <w:bCs/>
        </w:rPr>
        <w:t xml:space="preserve">3. </w:t>
      </w:r>
      <w:r>
        <w:rPr>
          <w:b/>
          <w:bCs/>
        </w:rPr>
        <w:tab/>
        <w:t>Overview of Methodology and Design</w:t>
      </w:r>
    </w:p>
    <w:p w14:paraId="4DAE81B3" w14:textId="3AB28FC9" w:rsidR="0001134A" w:rsidRDefault="0001134A" w:rsidP="0001134A">
      <w:pPr>
        <w:pStyle w:val="ListParagraph"/>
        <w:ind w:left="0"/>
        <w:jc w:val="both"/>
        <w:rPr>
          <w:b/>
          <w:bCs/>
        </w:rPr>
      </w:pPr>
    </w:p>
    <w:p w14:paraId="6F42F11A" w14:textId="6E6D97FD" w:rsidR="0001134A" w:rsidRDefault="0001134A" w:rsidP="0001134A">
      <w:pPr>
        <w:pStyle w:val="ListParagraph"/>
        <w:ind w:left="360"/>
        <w:jc w:val="both"/>
        <w:rPr>
          <w:b/>
          <w:bCs/>
        </w:rPr>
      </w:pPr>
      <w:r>
        <w:rPr>
          <w:b/>
          <w:bCs/>
        </w:rPr>
        <w:t>3.1 Study design</w:t>
      </w:r>
    </w:p>
    <w:p w14:paraId="21C556CD" w14:textId="1A848342" w:rsidR="0001134A" w:rsidRDefault="0001134A" w:rsidP="00632FB8">
      <w:r>
        <w:t xml:space="preserve">This will be a non-randomised, non-blinded, single centre, phase 1 feasibility study comparing </w:t>
      </w:r>
      <w:r w:rsidR="004C45D6" w:rsidRPr="009D2267">
        <w:rPr>
          <w:bCs/>
          <w:vertAlign w:val="superscript"/>
        </w:rPr>
        <w:t>89</w:t>
      </w:r>
      <w:r w:rsidR="004C45D6" w:rsidRPr="009D2267">
        <w:rPr>
          <w:bCs/>
        </w:rPr>
        <w:t>Zr-TLX250</w:t>
      </w:r>
      <w:r w:rsidR="004C45D6">
        <w:rPr>
          <w:b/>
        </w:rPr>
        <w:t xml:space="preserve"> </w:t>
      </w:r>
      <w:r w:rsidR="004C45D6">
        <w:t xml:space="preserve">PET/CT </w:t>
      </w:r>
      <w:r>
        <w:t>with FDG PET</w:t>
      </w:r>
      <w:r w:rsidR="004C45D6">
        <w:t>/CT</w:t>
      </w:r>
      <w:r>
        <w:t xml:space="preserve"> in patients with urothelial carcinoma or bladder cancer. This study w</w:t>
      </w:r>
      <w:r w:rsidR="000E459F">
        <w:t>ill</w:t>
      </w:r>
      <w:r>
        <w:t xml:space="preserve"> include 2 cohorts of adult patients; </w:t>
      </w:r>
      <w:r w:rsidR="000E459F">
        <w:t>1. T</w:t>
      </w:r>
      <w:r w:rsidR="0086773D">
        <w:t xml:space="preserve">hose </w:t>
      </w:r>
      <w:r>
        <w:t xml:space="preserve">with known metastatic urothelial carcinoma and bladder cancer and </w:t>
      </w:r>
      <w:r w:rsidR="000E459F">
        <w:t>2. T</w:t>
      </w:r>
      <w:r>
        <w:t xml:space="preserve">hose undergoing primary staging for recently diagnosed urothelial carcinoma or bladder cancer. </w:t>
      </w:r>
    </w:p>
    <w:p w14:paraId="2A9C36E8" w14:textId="36886248" w:rsidR="0001134A" w:rsidRDefault="0001134A" w:rsidP="00632FB8">
      <w:pPr>
        <w:jc w:val="both"/>
      </w:pPr>
      <w:r>
        <w:t>Patients with known metastatic urothelial or bladder cancer who have FDG PET</w:t>
      </w:r>
      <w:r w:rsidR="004C45D6">
        <w:t>/CT</w:t>
      </w:r>
      <w:r>
        <w:t xml:space="preserve"> scans to assess response to systemic treatment will undergo </w:t>
      </w:r>
      <w:r w:rsidR="004C45D6" w:rsidRPr="009D2267">
        <w:rPr>
          <w:bCs/>
          <w:vertAlign w:val="superscript"/>
        </w:rPr>
        <w:t>89</w:t>
      </w:r>
      <w:r w:rsidR="004C45D6" w:rsidRPr="009D2267">
        <w:rPr>
          <w:bCs/>
        </w:rPr>
        <w:t>Zr-TLX250</w:t>
      </w:r>
      <w:r w:rsidR="004C45D6">
        <w:rPr>
          <w:b/>
        </w:rPr>
        <w:t xml:space="preserve"> </w:t>
      </w:r>
      <w:r w:rsidR="004C45D6">
        <w:t xml:space="preserve">PET/CT </w:t>
      </w:r>
      <w:r>
        <w:t xml:space="preserve">within 28 days of </w:t>
      </w:r>
      <w:r w:rsidR="000E459F">
        <w:t xml:space="preserve">receiving a </w:t>
      </w:r>
      <w:r>
        <w:t>FDG PET</w:t>
      </w:r>
      <w:r w:rsidR="004C45D6">
        <w:t>/CT</w:t>
      </w:r>
      <w:r>
        <w:t>.  Patients undergoing clinical staging with FDG PET</w:t>
      </w:r>
      <w:r w:rsidR="004C45D6">
        <w:t>/CT</w:t>
      </w:r>
      <w:r>
        <w:t xml:space="preserve"> as part of standard of care for recently diagnosed urothelial carcinoma or bladder cancer will undergo </w:t>
      </w:r>
      <w:r w:rsidR="004C45D6" w:rsidRPr="009D2267">
        <w:rPr>
          <w:bCs/>
          <w:vertAlign w:val="superscript"/>
        </w:rPr>
        <w:t>89</w:t>
      </w:r>
      <w:r w:rsidR="004C45D6" w:rsidRPr="009D2267">
        <w:rPr>
          <w:bCs/>
        </w:rPr>
        <w:t>Zr-TLX250</w:t>
      </w:r>
      <w:r w:rsidR="004C45D6">
        <w:rPr>
          <w:b/>
        </w:rPr>
        <w:t xml:space="preserve"> </w:t>
      </w:r>
      <w:r w:rsidR="004C45D6">
        <w:t xml:space="preserve">PET/CT </w:t>
      </w:r>
      <w:r w:rsidR="000E459F">
        <w:t xml:space="preserve">imaging </w:t>
      </w:r>
      <w:r>
        <w:t xml:space="preserve">within 28 days of </w:t>
      </w:r>
      <w:r w:rsidR="000E459F">
        <w:t xml:space="preserve">receiving a </w:t>
      </w:r>
      <w:r>
        <w:t>FDG PET. PET</w:t>
      </w:r>
      <w:r w:rsidR="006B18C9">
        <w:t>/CT</w:t>
      </w:r>
      <w:r>
        <w:t xml:space="preserve"> scans will be reported by Nuclear Medicine physicians. Clinical decisions will be based on</w:t>
      </w:r>
      <w:r w:rsidR="000E459F">
        <w:t xml:space="preserve"> the</w:t>
      </w:r>
      <w:r>
        <w:t xml:space="preserve"> FDG PET</w:t>
      </w:r>
      <w:r w:rsidR="006B18C9">
        <w:t>/CT</w:t>
      </w:r>
      <w:r>
        <w:t xml:space="preserve"> </w:t>
      </w:r>
      <w:r w:rsidR="000E459F">
        <w:t xml:space="preserve">imaging, </w:t>
      </w:r>
      <w:r>
        <w:t xml:space="preserve">according to </w:t>
      </w:r>
      <w:r w:rsidR="000E459F">
        <w:t xml:space="preserve">the </w:t>
      </w:r>
      <w:r>
        <w:t xml:space="preserve">current standard practice. </w:t>
      </w:r>
      <w:r w:rsidR="000E459F">
        <w:t>Any l</w:t>
      </w:r>
      <w:r>
        <w:t>esions</w:t>
      </w:r>
      <w:r w:rsidR="000E459F">
        <w:t xml:space="preserve"> presenting as</w:t>
      </w:r>
      <w:r>
        <w:t xml:space="preserve"> positive on </w:t>
      </w:r>
      <w:r w:rsidR="006B18C9" w:rsidRPr="009D2267">
        <w:rPr>
          <w:bCs/>
          <w:vertAlign w:val="superscript"/>
        </w:rPr>
        <w:t>89</w:t>
      </w:r>
      <w:r w:rsidR="006B18C9" w:rsidRPr="009D2267">
        <w:rPr>
          <w:bCs/>
        </w:rPr>
        <w:t>Zr-TLX250</w:t>
      </w:r>
      <w:r w:rsidR="006B18C9">
        <w:rPr>
          <w:b/>
        </w:rPr>
        <w:t xml:space="preserve"> </w:t>
      </w:r>
      <w:r w:rsidR="006B18C9">
        <w:t xml:space="preserve">PET/CT </w:t>
      </w:r>
      <w:r w:rsidR="000E459F">
        <w:t xml:space="preserve">scans </w:t>
      </w:r>
      <w:r>
        <w:t>but not on FDG PET</w:t>
      </w:r>
      <w:r w:rsidR="006B18C9">
        <w:t>/CT</w:t>
      </w:r>
      <w:r>
        <w:t xml:space="preserve"> </w:t>
      </w:r>
      <w:r w:rsidR="000E459F">
        <w:t>imaging which may be deemed as</w:t>
      </w:r>
      <w:r>
        <w:t xml:space="preserve"> potential</w:t>
      </w:r>
      <w:r w:rsidR="000E459F">
        <w:t>ly</w:t>
      </w:r>
      <w:r>
        <w:t xml:space="preserve"> clinical</w:t>
      </w:r>
      <w:r w:rsidR="000E459F">
        <w:t>ly</w:t>
      </w:r>
      <w:r>
        <w:t xml:space="preserve"> significan</w:t>
      </w:r>
      <w:r w:rsidR="000E459F">
        <w:t>t,</w:t>
      </w:r>
      <w:r>
        <w:t xml:space="preserve"> w</w:t>
      </w:r>
      <w:r w:rsidR="000E459F">
        <w:t>ill</w:t>
      </w:r>
      <w:r>
        <w:t xml:space="preserve"> be arbitrated by the Uro-oncology Multidisciplinary Meeting to determine if any change in </w:t>
      </w:r>
      <w:r w:rsidR="000E459F">
        <w:t xml:space="preserve">patient </w:t>
      </w:r>
      <w:r>
        <w:t xml:space="preserve">management is required. </w:t>
      </w:r>
    </w:p>
    <w:p w14:paraId="48F4EEE2" w14:textId="5D2C0704" w:rsidR="0086773D" w:rsidRDefault="000E459F" w:rsidP="00632FB8">
      <w:pPr>
        <w:jc w:val="both"/>
      </w:pPr>
      <w:r>
        <w:t>Twenty</w:t>
      </w:r>
      <w:r w:rsidR="0086773D">
        <w:t xml:space="preserve"> patients will be recruited at a single centre </w:t>
      </w:r>
      <w:r>
        <w:t>which has</w:t>
      </w:r>
      <w:r w:rsidR="0086773D">
        <w:t xml:space="preserve"> access to PET/CT imaging. </w:t>
      </w:r>
      <w:r>
        <w:t>Ten</w:t>
      </w:r>
      <w:r w:rsidR="0086773D">
        <w:t xml:space="preserve"> patients </w:t>
      </w:r>
      <w:r>
        <w:t xml:space="preserve">will </w:t>
      </w:r>
      <w:r w:rsidR="0086773D">
        <w:t xml:space="preserve">have known metastatic urothelial carcinoma or bladder cancer while the </w:t>
      </w:r>
      <w:r>
        <w:t>remaining ten patients will</w:t>
      </w:r>
      <w:r w:rsidR="0086773D">
        <w:t xml:space="preserve"> be undergoing primary staging for histologically diagnosed urothelial carcinoma or bladder cancer.</w:t>
      </w:r>
    </w:p>
    <w:p w14:paraId="5225FA77" w14:textId="0877266D" w:rsidR="0086773D" w:rsidRDefault="0086773D" w:rsidP="00632FB8">
      <w:pPr>
        <w:jc w:val="both"/>
      </w:pPr>
      <w:r>
        <w:t>H</w:t>
      </w:r>
      <w:r w:rsidR="0001134A">
        <w:t>istological correlation of lymph nodes with increased uptake</w:t>
      </w:r>
      <w:r>
        <w:t xml:space="preserve"> on </w:t>
      </w:r>
      <w:r w:rsidR="006B18C9" w:rsidRPr="009D2267">
        <w:rPr>
          <w:bCs/>
          <w:vertAlign w:val="superscript"/>
        </w:rPr>
        <w:t>89</w:t>
      </w:r>
      <w:r w:rsidR="006B18C9" w:rsidRPr="009D2267">
        <w:rPr>
          <w:bCs/>
        </w:rPr>
        <w:t>Zr-TLX250</w:t>
      </w:r>
      <w:r w:rsidR="006B18C9">
        <w:rPr>
          <w:b/>
        </w:rPr>
        <w:t xml:space="preserve"> </w:t>
      </w:r>
      <w:r w:rsidR="006B18C9">
        <w:t xml:space="preserve">PET/CT </w:t>
      </w:r>
      <w:r>
        <w:t>and FDG PET</w:t>
      </w:r>
      <w:r w:rsidR="006B18C9">
        <w:t>/CT</w:t>
      </w:r>
      <w:r>
        <w:t xml:space="preserve"> w</w:t>
      </w:r>
      <w:r w:rsidR="000E459F">
        <w:t>ill</w:t>
      </w:r>
      <w:r>
        <w:t xml:space="preserve"> be performed in patients who proceed with cystectomy and pelvic lymph node dissection. Histological correlation </w:t>
      </w:r>
      <w:r w:rsidR="000E459F">
        <w:t xml:space="preserve">will </w:t>
      </w:r>
      <w:r>
        <w:t xml:space="preserve">also be performed on bladder specimens which demonstrate increased uptake on both </w:t>
      </w:r>
      <w:r w:rsidR="000E459F" w:rsidRPr="009D2267">
        <w:rPr>
          <w:bCs/>
          <w:vertAlign w:val="superscript"/>
        </w:rPr>
        <w:t>89</w:t>
      </w:r>
      <w:r w:rsidR="000E459F" w:rsidRPr="009D2267">
        <w:rPr>
          <w:bCs/>
        </w:rPr>
        <w:t>Zr-TLX250</w:t>
      </w:r>
      <w:r w:rsidR="000E459F">
        <w:rPr>
          <w:b/>
        </w:rPr>
        <w:t xml:space="preserve"> </w:t>
      </w:r>
      <w:r w:rsidR="000E459F">
        <w:t>PET/CT and FDG PET/CT scans</w:t>
      </w:r>
      <w:r>
        <w:t xml:space="preserve">. The location of increased FDG or </w:t>
      </w:r>
      <w:r w:rsidR="006B18C9" w:rsidRPr="009D2267">
        <w:rPr>
          <w:bCs/>
          <w:vertAlign w:val="superscript"/>
        </w:rPr>
        <w:t>89</w:t>
      </w:r>
      <w:r w:rsidR="006B18C9" w:rsidRPr="009D2267">
        <w:rPr>
          <w:bCs/>
        </w:rPr>
        <w:t>Zr-TLX250</w:t>
      </w:r>
      <w:r w:rsidR="006B18C9">
        <w:rPr>
          <w:b/>
        </w:rPr>
        <w:t xml:space="preserve"> </w:t>
      </w:r>
      <w:r>
        <w:t xml:space="preserve">uptake in the upper tracts of patients diagnosed with upper tract urothelial carcinoma </w:t>
      </w:r>
      <w:r w:rsidR="000E459F">
        <w:t xml:space="preserve">will </w:t>
      </w:r>
      <w:r>
        <w:t xml:space="preserve">be compared to standard imaging such as a CT urogram, available </w:t>
      </w:r>
      <w:r>
        <w:lastRenderedPageBreak/>
        <w:t>intraoperative ureteroscopy findings, urine cytology or histopathology of upper tract lesion biopsies to determine if either PET</w:t>
      </w:r>
      <w:r w:rsidR="006B18C9">
        <w:t>/CT</w:t>
      </w:r>
      <w:r>
        <w:t xml:space="preserve"> was able to detect upper tract urothelial carcinoma. </w:t>
      </w:r>
    </w:p>
    <w:p w14:paraId="121C8684" w14:textId="5CB8958B" w:rsidR="0086773D" w:rsidRDefault="0086773D" w:rsidP="0001134A">
      <w:pPr>
        <w:pStyle w:val="ListParagraph"/>
        <w:ind w:left="360"/>
        <w:jc w:val="both"/>
        <w:rPr>
          <w:b/>
          <w:bCs/>
        </w:rPr>
      </w:pPr>
      <w:r w:rsidRPr="00632FB8">
        <w:rPr>
          <w:b/>
          <w:bCs/>
        </w:rPr>
        <w:t xml:space="preserve">3.2 Study </w:t>
      </w:r>
      <w:r w:rsidR="00846E0E">
        <w:rPr>
          <w:b/>
          <w:bCs/>
        </w:rPr>
        <w:t>c</w:t>
      </w:r>
      <w:r w:rsidRPr="00632FB8">
        <w:rPr>
          <w:b/>
          <w:bCs/>
        </w:rPr>
        <w:t xml:space="preserve">onduct </w:t>
      </w:r>
    </w:p>
    <w:p w14:paraId="6A2197A2" w14:textId="22BD5117" w:rsidR="0086773D" w:rsidRDefault="0086773D" w:rsidP="00632FB8">
      <w:pPr>
        <w:jc w:val="both"/>
      </w:pPr>
      <w:r w:rsidRPr="00632FB8">
        <w:t>Following informed consent,</w:t>
      </w:r>
      <w:r>
        <w:t xml:space="preserve"> a screening visit will be performed during which baseline examinations and investigations will be made. The screening visit and FDG PET scan will be within 28 days of </w:t>
      </w:r>
      <w:r w:rsidR="006B18C9" w:rsidRPr="009D2267">
        <w:rPr>
          <w:bCs/>
          <w:vertAlign w:val="superscript"/>
        </w:rPr>
        <w:t>89</w:t>
      </w:r>
      <w:r w:rsidR="006B18C9" w:rsidRPr="009D2267">
        <w:rPr>
          <w:bCs/>
        </w:rPr>
        <w:t>Zr-TLX250</w:t>
      </w:r>
      <w:r w:rsidR="006B18C9">
        <w:rPr>
          <w:b/>
        </w:rPr>
        <w:t xml:space="preserve"> </w:t>
      </w:r>
      <w:r>
        <w:t xml:space="preserve">administration. The study schedule will be planned, considering a delivery timeline for </w:t>
      </w:r>
      <w:r w:rsidR="006B18C9" w:rsidRPr="009D2267">
        <w:rPr>
          <w:bCs/>
          <w:vertAlign w:val="superscript"/>
        </w:rPr>
        <w:t>89</w:t>
      </w:r>
      <w:r w:rsidR="006B18C9" w:rsidRPr="009D2267">
        <w:rPr>
          <w:bCs/>
        </w:rPr>
        <w:t>Zr-TLX250</w:t>
      </w:r>
      <w:r w:rsidR="006B18C9">
        <w:rPr>
          <w:b/>
        </w:rPr>
        <w:t xml:space="preserve"> </w:t>
      </w:r>
      <w:r>
        <w:t xml:space="preserve">of 7-10 days the supplying pharmacy, an imaging interval of 5+/- 2 days post administration, and open radical cystectomy, in those proceeding with surgery, to be performed any time after </w:t>
      </w:r>
      <w:r w:rsidR="006B18C9" w:rsidRPr="009D2267">
        <w:rPr>
          <w:bCs/>
          <w:vertAlign w:val="superscript"/>
        </w:rPr>
        <w:t>89</w:t>
      </w:r>
      <w:r w:rsidR="006B18C9" w:rsidRPr="009D2267">
        <w:rPr>
          <w:bCs/>
        </w:rPr>
        <w:t>Zr-TLX250</w:t>
      </w:r>
      <w:r w:rsidR="006B18C9">
        <w:rPr>
          <w:b/>
        </w:rPr>
        <w:t xml:space="preserve"> </w:t>
      </w:r>
      <w:r w:rsidR="006B18C9">
        <w:t>PET/CT</w:t>
      </w:r>
      <w:r>
        <w:t xml:space="preserve"> imaging</w:t>
      </w:r>
      <w:r w:rsidR="006B18C9">
        <w:t xml:space="preserve">. </w:t>
      </w:r>
    </w:p>
    <w:p w14:paraId="07ABB18B" w14:textId="507470D1" w:rsidR="0086773D" w:rsidRPr="00043073" w:rsidRDefault="0086773D" w:rsidP="00632FB8">
      <w:pPr>
        <w:jc w:val="both"/>
        <w:rPr>
          <w:rFonts w:eastAsiaTheme="minorEastAsia"/>
        </w:rPr>
      </w:pPr>
      <w:r>
        <w:t xml:space="preserve">On Day 0, all successfully screened patients will undergo a </w:t>
      </w:r>
      <w:r w:rsidRPr="005E1225">
        <w:rPr>
          <w:color w:val="000000"/>
          <w:shd w:val="clear" w:color="auto" w:fill="FFFFFF"/>
        </w:rPr>
        <w:t>single slow intravenous administration of 37 mBq (</w:t>
      </w:r>
      <w:r>
        <w:t>±10%)</w:t>
      </w:r>
      <w:r w:rsidRPr="005E1225">
        <w:rPr>
          <w:color w:val="000000"/>
          <w:shd w:val="clear" w:color="auto" w:fill="FFFFFF"/>
        </w:rPr>
        <w:t xml:space="preserve"> </w:t>
      </w:r>
      <w:r w:rsidR="00664A7B" w:rsidRPr="009D2267">
        <w:rPr>
          <w:bCs/>
          <w:vertAlign w:val="superscript"/>
        </w:rPr>
        <w:t>89</w:t>
      </w:r>
      <w:r w:rsidR="00664A7B" w:rsidRPr="009D2267">
        <w:rPr>
          <w:bCs/>
        </w:rPr>
        <w:t>Zr-TLX250</w:t>
      </w:r>
      <w:r w:rsidRPr="00BF49CE">
        <w:rPr>
          <w:color w:val="000000"/>
          <w:shd w:val="clear" w:color="auto" w:fill="FFFFFF"/>
        </w:rPr>
        <w:t>, containing a mass dose of 10 mg</w:t>
      </w:r>
      <w:r w:rsidRPr="002C2D1C">
        <w:rPr>
          <w:color w:val="000000"/>
          <w:shd w:val="clear" w:color="auto" w:fill="FFFFFF"/>
        </w:rPr>
        <w:t xml:space="preserve"> of girentuximab,</w:t>
      </w:r>
      <w:r>
        <w:t xml:space="preserve"> over a minimum of 3 minutes</w:t>
      </w:r>
      <w:r w:rsidR="003963FF">
        <w:t>. All investigative medicinal product (IMP) administration will be performed in</w:t>
      </w:r>
      <w:r w:rsidR="003963FF" w:rsidRPr="00B25008">
        <w:t xml:space="preserve"> </w:t>
      </w:r>
      <w:r w:rsidR="003963FF">
        <w:t xml:space="preserve">the nuclear medicine department of the clinical trial site. To detect any treatment or infusion-related toxicity, </w:t>
      </w:r>
      <w:r w:rsidR="003963FF" w:rsidRPr="00BF49CE">
        <w:rPr>
          <w:rFonts w:eastAsiaTheme="minorEastAsia"/>
        </w:rPr>
        <w:t xml:space="preserve">before and after administration of </w:t>
      </w:r>
      <w:r w:rsidR="003963FF" w:rsidRPr="009D2267">
        <w:rPr>
          <w:bCs/>
          <w:vertAlign w:val="superscript"/>
        </w:rPr>
        <w:t>89</w:t>
      </w:r>
      <w:r w:rsidR="003963FF" w:rsidRPr="009D2267">
        <w:rPr>
          <w:bCs/>
        </w:rPr>
        <w:t>Zr-TLX250</w:t>
      </w:r>
      <w:r w:rsidR="003963FF">
        <w:rPr>
          <w:bCs/>
        </w:rPr>
        <w:t xml:space="preserve"> the patients will have their </w:t>
      </w:r>
      <w:r w:rsidR="003963FF">
        <w:rPr>
          <w:rFonts w:eastAsiaTheme="minorEastAsia"/>
        </w:rPr>
        <w:t>v</w:t>
      </w:r>
      <w:r w:rsidR="003963FF" w:rsidRPr="005E1225">
        <w:rPr>
          <w:rFonts w:eastAsiaTheme="minorEastAsia"/>
        </w:rPr>
        <w:t>ital</w:t>
      </w:r>
      <w:r>
        <w:t xml:space="preserve"> </w:t>
      </w:r>
      <w:r w:rsidRPr="005E1225">
        <w:rPr>
          <w:rFonts w:eastAsiaTheme="minorEastAsia"/>
        </w:rPr>
        <w:t xml:space="preserve">signs </w:t>
      </w:r>
      <w:r w:rsidRPr="00043073">
        <w:rPr>
          <w:rFonts w:eastAsiaTheme="minorEastAsia"/>
        </w:rPr>
        <w:t>recorded</w:t>
      </w:r>
      <w:r w:rsidRPr="0046423C">
        <w:rPr>
          <w:rFonts w:eastAsiaTheme="minorEastAsia"/>
        </w:rPr>
        <w:t xml:space="preserve">. </w:t>
      </w:r>
      <w:r w:rsidR="003963FF">
        <w:rPr>
          <w:rFonts w:eastAsiaTheme="minorEastAsia"/>
        </w:rPr>
        <w:t xml:space="preserve">Cardiac function will be monitored using a </w:t>
      </w:r>
      <w:r w:rsidRPr="0046423C">
        <w:rPr>
          <w:rFonts w:eastAsiaTheme="minorEastAsia"/>
        </w:rPr>
        <w:t>12-lead ECG and adverse event recording (</w:t>
      </w:r>
      <w:r>
        <w:t>NCI-CTC v 5.0)</w:t>
      </w:r>
      <w:r w:rsidR="003963FF">
        <w:rPr>
          <w:rFonts w:eastAsiaTheme="minorEastAsia"/>
        </w:rPr>
        <w:t>.</w:t>
      </w:r>
    </w:p>
    <w:p w14:paraId="2ED2707A" w14:textId="53C42FD8" w:rsidR="0086773D" w:rsidRPr="00632FB8" w:rsidRDefault="0086773D" w:rsidP="00632FB8">
      <w:pPr>
        <w:jc w:val="both"/>
        <w:rPr>
          <w:rFonts w:eastAsiaTheme="minorEastAsia"/>
        </w:rPr>
      </w:pPr>
      <w:r w:rsidRPr="00632FB8">
        <w:rPr>
          <w:rFonts w:eastAsiaTheme="minorEastAsia"/>
        </w:rPr>
        <w:t xml:space="preserve">On Day 5 +/- 2 days, whole body PET/CT imaging will be performed on </w:t>
      </w:r>
      <w:r w:rsidRPr="0081134C">
        <w:rPr>
          <w:rFonts w:eastAsiaTheme="minorEastAsia"/>
        </w:rPr>
        <w:t xml:space="preserve">4 bed positions using an acquisition time of </w:t>
      </w:r>
      <w:r w:rsidR="00704BD5" w:rsidRPr="0081134C">
        <w:rPr>
          <w:rFonts w:eastAsiaTheme="minorEastAsia"/>
        </w:rPr>
        <w:t xml:space="preserve">up to </w:t>
      </w:r>
      <w:r w:rsidRPr="0081134C">
        <w:rPr>
          <w:rFonts w:eastAsiaTheme="minorEastAsia"/>
        </w:rPr>
        <w:t>45 minutes</w:t>
      </w:r>
      <w:r w:rsidRPr="00632FB8">
        <w:rPr>
          <w:rFonts w:eastAsiaTheme="minorEastAsia"/>
        </w:rPr>
        <w:t xml:space="preserve"> to maximise image quality. Image data analyses will be performed by Nuclear Medicine physicians at the study site. Qualitative visual analysis (presence or absence of </w:t>
      </w:r>
      <w:r w:rsidR="00664A7B" w:rsidRPr="009D2267">
        <w:rPr>
          <w:bCs/>
          <w:vertAlign w:val="superscript"/>
        </w:rPr>
        <w:t>89</w:t>
      </w:r>
      <w:r w:rsidR="00664A7B" w:rsidRPr="009D2267">
        <w:rPr>
          <w:bCs/>
        </w:rPr>
        <w:t>Zr-TLX250</w:t>
      </w:r>
      <w:r w:rsidR="00664A7B">
        <w:rPr>
          <w:b/>
        </w:rPr>
        <w:t xml:space="preserve"> </w:t>
      </w:r>
      <w:r w:rsidRPr="00632FB8">
        <w:rPr>
          <w:rFonts w:eastAsiaTheme="minorEastAsia"/>
        </w:rPr>
        <w:t>uptake in lymph nodes or distant visceral organs) and well as quantitative analysis (</w:t>
      </w:r>
      <w:r w:rsidRPr="0046423C">
        <w:rPr>
          <w:rFonts w:cstheme="minorHAnsi"/>
        </w:rPr>
        <w:t xml:space="preserve">tumour vs mediastinal uptake ratio for </w:t>
      </w:r>
      <w:r w:rsidR="00664A7B" w:rsidRPr="009D2267">
        <w:rPr>
          <w:bCs/>
          <w:vertAlign w:val="superscript"/>
        </w:rPr>
        <w:t>89</w:t>
      </w:r>
      <w:r w:rsidR="00664A7B" w:rsidRPr="009D2267">
        <w:rPr>
          <w:bCs/>
        </w:rPr>
        <w:t>Zr-TLX250</w:t>
      </w:r>
      <w:r w:rsidR="00664A7B">
        <w:rPr>
          <w:b/>
        </w:rPr>
        <w:t xml:space="preserve"> </w:t>
      </w:r>
      <w:r w:rsidR="00664A7B">
        <w:t xml:space="preserve">PET/CT </w:t>
      </w:r>
      <w:r w:rsidRPr="0046423C">
        <w:rPr>
          <w:rFonts w:cstheme="minorHAnsi"/>
        </w:rPr>
        <w:t>and FDG PET</w:t>
      </w:r>
      <w:r w:rsidR="00664A7B">
        <w:rPr>
          <w:rFonts w:cstheme="minorHAnsi"/>
        </w:rPr>
        <w:t>/CT</w:t>
      </w:r>
      <w:r w:rsidRPr="0046423C">
        <w:rPr>
          <w:rFonts w:cstheme="minorHAnsi"/>
        </w:rPr>
        <w:t xml:space="preserve">) will be performed. </w:t>
      </w:r>
    </w:p>
    <w:p w14:paraId="3C6E3D80" w14:textId="1E18E9DB" w:rsidR="0046423C" w:rsidRDefault="00664A7B" w:rsidP="00632FB8">
      <w:r>
        <w:t>H</w:t>
      </w:r>
      <w:r w:rsidR="0086773D" w:rsidRPr="0046423C">
        <w:t xml:space="preserve">istological specimens </w:t>
      </w:r>
      <w:r>
        <w:t xml:space="preserve">in those who proceed to cystectomy and pelvic lymphadenectomy, </w:t>
      </w:r>
      <w:r w:rsidR="0086773D" w:rsidRPr="0046423C">
        <w:t xml:space="preserve">would be analysed by a Uro-pathologist at the study site. </w:t>
      </w:r>
    </w:p>
    <w:p w14:paraId="512F5BAA" w14:textId="3CD02790" w:rsidR="0086773D" w:rsidRPr="00632FB8" w:rsidRDefault="0086773D" w:rsidP="00632FB8">
      <w:pPr>
        <w:jc w:val="both"/>
        <w:rPr>
          <w:rFonts w:eastAsiaTheme="minorEastAsia"/>
        </w:rPr>
      </w:pPr>
      <w:r w:rsidRPr="00632FB8">
        <w:rPr>
          <w:rFonts w:eastAsiaTheme="minorEastAsia"/>
        </w:rPr>
        <w:t xml:space="preserve">Safety evaluations will also be made at </w:t>
      </w:r>
      <w:r w:rsidR="003963FF">
        <w:rPr>
          <w:rFonts w:eastAsiaTheme="minorEastAsia"/>
        </w:rPr>
        <w:t xml:space="preserve">a </w:t>
      </w:r>
      <w:r w:rsidRPr="00632FB8">
        <w:rPr>
          <w:rFonts w:eastAsiaTheme="minorEastAsia"/>
        </w:rPr>
        <w:t>follow-up</w:t>
      </w:r>
      <w:r w:rsidR="00664A7B">
        <w:rPr>
          <w:rFonts w:eastAsiaTheme="minorEastAsia"/>
        </w:rPr>
        <w:t xml:space="preserve"> phone consult</w:t>
      </w:r>
      <w:r w:rsidRPr="00632FB8">
        <w:rPr>
          <w:rFonts w:eastAsiaTheme="minorEastAsia"/>
        </w:rPr>
        <w:t xml:space="preserve"> </w:t>
      </w:r>
      <w:r w:rsidR="00664A7B">
        <w:rPr>
          <w:rFonts w:eastAsiaTheme="minorEastAsia"/>
        </w:rPr>
        <w:t>14 days after administration</w:t>
      </w:r>
      <w:r w:rsidRPr="00632FB8">
        <w:rPr>
          <w:rFonts w:eastAsiaTheme="minorEastAsia"/>
        </w:rPr>
        <w:t xml:space="preserve"> of </w:t>
      </w:r>
      <w:r w:rsidR="00664A7B" w:rsidRPr="009D2267">
        <w:rPr>
          <w:bCs/>
          <w:vertAlign w:val="superscript"/>
        </w:rPr>
        <w:t>89</w:t>
      </w:r>
      <w:r w:rsidR="00664A7B" w:rsidRPr="009D2267">
        <w:rPr>
          <w:bCs/>
        </w:rPr>
        <w:t>Zr-TLX25</w:t>
      </w:r>
      <w:r w:rsidR="00664A7B">
        <w:rPr>
          <w:bCs/>
        </w:rPr>
        <w:t xml:space="preserve">0. </w:t>
      </w:r>
      <w:r w:rsidRPr="00632FB8">
        <w:rPr>
          <w:rFonts w:eastAsiaTheme="minorEastAsia"/>
        </w:rPr>
        <w:t xml:space="preserve">Baseline and safety evaluations </w:t>
      </w:r>
      <w:r w:rsidR="003963FF">
        <w:rPr>
          <w:rFonts w:eastAsiaTheme="minorEastAsia"/>
        </w:rPr>
        <w:t>will</w:t>
      </w:r>
      <w:r w:rsidR="003963FF" w:rsidRPr="00632FB8">
        <w:rPr>
          <w:rFonts w:eastAsiaTheme="minorEastAsia"/>
        </w:rPr>
        <w:t xml:space="preserve"> </w:t>
      </w:r>
      <w:r w:rsidRPr="00632FB8">
        <w:rPr>
          <w:rFonts w:eastAsiaTheme="minorEastAsia"/>
        </w:rPr>
        <w:t>include vital signs, standard laboratory (full blood count, renal function, basic electrolytes and liver function test), 12-lead ECG and concomitant medication recording and adverse event recording (</w:t>
      </w:r>
      <w:r>
        <w:t>NCI-CTC v 5.0).</w:t>
      </w:r>
    </w:p>
    <w:p w14:paraId="25AFC4F5" w14:textId="64F1FD0D" w:rsidR="005E654F" w:rsidRDefault="0086773D" w:rsidP="0086773D">
      <w:pPr>
        <w:pStyle w:val="ListParagraph"/>
        <w:spacing w:after="0" w:line="240" w:lineRule="auto"/>
        <w:ind w:left="360"/>
        <w:jc w:val="both"/>
        <w:rPr>
          <w:b/>
        </w:rPr>
      </w:pPr>
      <w:r>
        <w:rPr>
          <w:b/>
        </w:rPr>
        <w:t>3.3 Endpoints</w:t>
      </w:r>
      <w:r w:rsidR="004F56F7" w:rsidRPr="005E654F">
        <w:rPr>
          <w:b/>
        </w:rPr>
        <w:t xml:space="preserve"> </w:t>
      </w:r>
    </w:p>
    <w:p w14:paraId="4CF1AAD5" w14:textId="6E337CBA" w:rsidR="0086773D" w:rsidRDefault="0086773D" w:rsidP="0086773D">
      <w:pPr>
        <w:pStyle w:val="ListParagraph"/>
        <w:spacing w:after="0" w:line="240" w:lineRule="auto"/>
        <w:ind w:left="360"/>
        <w:jc w:val="both"/>
        <w:rPr>
          <w:b/>
        </w:rPr>
      </w:pPr>
    </w:p>
    <w:p w14:paraId="6B62ACB5" w14:textId="2BFD1295" w:rsidR="0086773D" w:rsidRDefault="0086773D" w:rsidP="0086773D">
      <w:pPr>
        <w:pStyle w:val="ListParagraph"/>
        <w:spacing w:after="0" w:line="240" w:lineRule="auto"/>
        <w:ind w:left="360"/>
        <w:jc w:val="both"/>
        <w:rPr>
          <w:b/>
          <w:i/>
          <w:iCs/>
        </w:rPr>
      </w:pPr>
      <w:r w:rsidRPr="00632FB8">
        <w:rPr>
          <w:b/>
          <w:i/>
          <w:iCs/>
        </w:rPr>
        <w:t xml:space="preserve">3.3.1 Primary endpoint </w:t>
      </w:r>
    </w:p>
    <w:p w14:paraId="26BEB6EC" w14:textId="08A5B049" w:rsidR="0086773D" w:rsidRDefault="0086773D" w:rsidP="0086773D">
      <w:pPr>
        <w:pStyle w:val="ListParagraph"/>
        <w:spacing w:after="0" w:line="240" w:lineRule="auto"/>
        <w:ind w:left="360"/>
        <w:jc w:val="both"/>
        <w:rPr>
          <w:bCs/>
        </w:rPr>
      </w:pPr>
    </w:p>
    <w:p w14:paraId="72431B33" w14:textId="0EE0DB6D" w:rsidR="0086773D" w:rsidRPr="005E1225" w:rsidRDefault="0086773D" w:rsidP="00632FB8">
      <w:pPr>
        <w:jc w:val="both"/>
        <w:rPr>
          <w:bCs/>
        </w:rPr>
      </w:pPr>
      <w:r>
        <w:rPr>
          <w:bCs/>
        </w:rPr>
        <w:t xml:space="preserve">Primary endpoint of this study is </w:t>
      </w:r>
      <w:r w:rsidR="003963FF">
        <w:t xml:space="preserve">to evaluate the feasibility of using </w:t>
      </w:r>
      <w:r w:rsidR="003963FF" w:rsidRPr="009D2267">
        <w:rPr>
          <w:bCs/>
          <w:vertAlign w:val="superscript"/>
        </w:rPr>
        <w:t>89</w:t>
      </w:r>
      <w:r w:rsidR="003963FF" w:rsidRPr="009D2267">
        <w:rPr>
          <w:bCs/>
        </w:rPr>
        <w:t>Zr-TLX250</w:t>
      </w:r>
      <w:r w:rsidR="003963FF">
        <w:rPr>
          <w:b/>
        </w:rPr>
        <w:t xml:space="preserve"> </w:t>
      </w:r>
      <w:r w:rsidR="003963FF">
        <w:t>PET/CT as a new diagnostic and staging modality to detect urothelial carcinoma or bladder cancer.</w:t>
      </w:r>
      <w:r w:rsidR="003963FF" w:rsidDel="0001134A">
        <w:t xml:space="preserve"> </w:t>
      </w:r>
      <w:r w:rsidR="003963FF">
        <w:t>The feasibility will be ascertained</w:t>
      </w:r>
      <w:r w:rsidR="003963FF">
        <w:rPr>
          <w:bCs/>
        </w:rPr>
        <w:t xml:space="preserve"> </w:t>
      </w:r>
      <w:r w:rsidR="00846E0E" w:rsidRPr="009E6E32">
        <w:rPr>
          <w:rFonts w:eastAsiaTheme="minorEastAsia"/>
        </w:rPr>
        <w:t>by the ability to recruit to the target sample size within the study duration. This reflects a willingness of clinicians to refer patients for this study and a willingness of patients to undergo</w:t>
      </w:r>
      <w:r w:rsidR="00D825AA">
        <w:rPr>
          <w:rFonts w:eastAsiaTheme="minorEastAsia"/>
        </w:rPr>
        <w:t xml:space="preserve"> </w:t>
      </w:r>
      <w:r w:rsidR="00D825AA" w:rsidRPr="009D2267">
        <w:rPr>
          <w:bCs/>
          <w:vertAlign w:val="superscript"/>
        </w:rPr>
        <w:t>89</w:t>
      </w:r>
      <w:r w:rsidR="00D825AA" w:rsidRPr="009D2267">
        <w:rPr>
          <w:bCs/>
        </w:rPr>
        <w:t>Zr-TLX250</w:t>
      </w:r>
      <w:r w:rsidR="00D825AA">
        <w:rPr>
          <w:b/>
        </w:rPr>
        <w:t xml:space="preserve"> </w:t>
      </w:r>
      <w:r w:rsidR="00D825AA">
        <w:t>PET/CT</w:t>
      </w:r>
      <w:r w:rsidR="00846E0E" w:rsidRPr="009E6E32">
        <w:rPr>
          <w:rFonts w:cstheme="minorHAnsi"/>
        </w:rPr>
        <w:t xml:space="preserve"> for diagnosis or staging.</w:t>
      </w:r>
      <w:r w:rsidR="00846E0E" w:rsidRPr="009E6E32">
        <w:rPr>
          <w:rFonts w:eastAsiaTheme="minorEastAsia"/>
        </w:rPr>
        <w:t xml:space="preserve"> </w:t>
      </w:r>
    </w:p>
    <w:p w14:paraId="78850F3F" w14:textId="709B9EF6" w:rsidR="00FC03B5" w:rsidRDefault="0086773D" w:rsidP="00632FB8">
      <w:pPr>
        <w:ind w:left="360"/>
      </w:pPr>
      <w:r w:rsidRPr="00632FB8">
        <w:rPr>
          <w:b/>
          <w:i/>
          <w:iCs/>
        </w:rPr>
        <w:t>3.3.2.</w:t>
      </w:r>
      <w:r>
        <w:rPr>
          <w:b/>
          <w:i/>
          <w:iCs/>
        </w:rPr>
        <w:t xml:space="preserve"> </w:t>
      </w:r>
      <w:r w:rsidRPr="00632FB8">
        <w:rPr>
          <w:b/>
          <w:i/>
          <w:iCs/>
        </w:rPr>
        <w:t>Secondary endpoints</w:t>
      </w:r>
    </w:p>
    <w:p w14:paraId="5D3A6C08" w14:textId="3C12F0D3" w:rsidR="00FC03B5" w:rsidRDefault="00FC03B5" w:rsidP="00632FB8">
      <w:pPr>
        <w:pStyle w:val="ListParagraph"/>
        <w:numPr>
          <w:ilvl w:val="0"/>
          <w:numId w:val="51"/>
        </w:numPr>
      </w:pPr>
      <w:r>
        <w:t>Safety and tolerability</w:t>
      </w:r>
    </w:p>
    <w:p w14:paraId="254F4EE4" w14:textId="4DDBD352" w:rsidR="00FC03B5" w:rsidRPr="00806D1E" w:rsidRDefault="00FC03B5" w:rsidP="00632FB8">
      <w:pPr>
        <w:pStyle w:val="ListParagraph"/>
        <w:numPr>
          <w:ilvl w:val="0"/>
          <w:numId w:val="19"/>
        </w:numPr>
        <w:tabs>
          <w:tab w:val="left" w:pos="1185"/>
        </w:tabs>
        <w:ind w:left="1080"/>
        <w:jc w:val="both"/>
        <w:rPr>
          <w:rFonts w:eastAsiaTheme="minorEastAsia"/>
        </w:rPr>
      </w:pPr>
      <w:r>
        <w:rPr>
          <w:rFonts w:eastAsiaTheme="minorEastAsia"/>
        </w:rPr>
        <w:t xml:space="preserve">Baseline safety evaluations will be made within 28 days prior to </w:t>
      </w:r>
      <w:r w:rsidR="00D825AA" w:rsidRPr="009D2267">
        <w:rPr>
          <w:bCs/>
          <w:vertAlign w:val="superscript"/>
        </w:rPr>
        <w:t>89</w:t>
      </w:r>
      <w:r w:rsidR="00D825AA" w:rsidRPr="009D2267">
        <w:rPr>
          <w:bCs/>
        </w:rPr>
        <w:t>Zr-TLX250</w:t>
      </w:r>
      <w:r w:rsidR="00D825AA">
        <w:rPr>
          <w:b/>
        </w:rPr>
        <w:t xml:space="preserve"> </w:t>
      </w:r>
      <w:r>
        <w:rPr>
          <w:rFonts w:eastAsiaTheme="minorEastAsia"/>
        </w:rPr>
        <w:t xml:space="preserve">administration. This would include vital signs, standard laboratory (full blood count, renal function, basic electrolytes and liver function test), serum </w:t>
      </w:r>
      <w:r>
        <w:rPr>
          <w:rFonts w:eastAsiaTheme="minorEastAsia"/>
        </w:rPr>
        <w:sym w:font="Symbol" w:char="F062"/>
      </w:r>
      <w:r>
        <w:rPr>
          <w:rFonts w:eastAsiaTheme="minorEastAsia"/>
        </w:rPr>
        <w:t xml:space="preserve">-HCG for pre-menopausal women, urine analysis, 12-lead ECG and concomitant medication recording. </w:t>
      </w:r>
    </w:p>
    <w:p w14:paraId="6E924E74" w14:textId="77777777" w:rsidR="00FC03B5" w:rsidRPr="00806D1E" w:rsidRDefault="00FC03B5" w:rsidP="00632FB8">
      <w:pPr>
        <w:pStyle w:val="ListParagraph"/>
        <w:numPr>
          <w:ilvl w:val="0"/>
          <w:numId w:val="18"/>
        </w:numPr>
        <w:tabs>
          <w:tab w:val="left" w:pos="1185"/>
        </w:tabs>
        <w:ind w:left="1080"/>
        <w:jc w:val="both"/>
      </w:pPr>
      <w:r>
        <w:rPr>
          <w:rFonts w:eastAsiaTheme="minorEastAsia"/>
        </w:rPr>
        <w:lastRenderedPageBreak/>
        <w:t>Vital signs</w:t>
      </w:r>
      <w:r w:rsidRPr="00806D1E">
        <w:rPr>
          <w:rFonts w:eastAsiaTheme="minorEastAsia"/>
        </w:rPr>
        <w:t xml:space="preserve"> will be </w:t>
      </w:r>
      <w:r>
        <w:rPr>
          <w:rFonts w:eastAsiaTheme="minorEastAsia"/>
        </w:rPr>
        <w:t>recorded</w:t>
      </w:r>
      <w:r w:rsidRPr="00806D1E">
        <w:rPr>
          <w:rFonts w:eastAsiaTheme="minorEastAsia"/>
        </w:rPr>
        <w:t xml:space="preserve"> before and after administration of </w:t>
      </w:r>
      <w:r w:rsidRPr="00806D1E">
        <w:rPr>
          <w:rFonts w:eastAsiaTheme="minorEastAsia"/>
          <w:vertAlign w:val="superscript"/>
        </w:rPr>
        <w:t>89</w:t>
      </w:r>
      <w:r w:rsidRPr="00806D1E">
        <w:rPr>
          <w:rFonts w:eastAsiaTheme="minorEastAsia"/>
        </w:rPr>
        <w:t>Zr-girentuximab.</w:t>
      </w:r>
      <w:r>
        <w:rPr>
          <w:rFonts w:eastAsiaTheme="minorEastAsia"/>
        </w:rPr>
        <w:t xml:space="preserve"> 12-lead ECG and adverse event recording (</w:t>
      </w:r>
      <w:r>
        <w:t>NCI-CTC v 5.0)</w:t>
      </w:r>
      <w:r>
        <w:rPr>
          <w:rFonts w:eastAsiaTheme="minorEastAsia"/>
        </w:rPr>
        <w:t xml:space="preserve"> will be performed post administration. </w:t>
      </w:r>
      <w:r w:rsidRPr="00806D1E">
        <w:rPr>
          <w:rFonts w:eastAsiaTheme="minorEastAsia"/>
        </w:rPr>
        <w:t xml:space="preserve"> </w:t>
      </w:r>
    </w:p>
    <w:p w14:paraId="1B2C2447" w14:textId="19F606A9" w:rsidR="00D825AA" w:rsidRDefault="00FC03B5" w:rsidP="00632FB8">
      <w:pPr>
        <w:pStyle w:val="ListParagraph"/>
        <w:numPr>
          <w:ilvl w:val="0"/>
          <w:numId w:val="18"/>
        </w:numPr>
        <w:tabs>
          <w:tab w:val="left" w:pos="1185"/>
        </w:tabs>
        <w:ind w:left="1080"/>
        <w:jc w:val="both"/>
      </w:pPr>
      <w:r w:rsidRPr="00806D1E">
        <w:rPr>
          <w:rFonts w:eastAsiaTheme="minorEastAsia"/>
        </w:rPr>
        <w:t>Safety evaluations will also be made at follow-up</w:t>
      </w:r>
      <w:r w:rsidR="00D825AA">
        <w:rPr>
          <w:rFonts w:eastAsiaTheme="minorEastAsia"/>
        </w:rPr>
        <w:t xml:space="preserve"> phone consult 14 days after (or before commencement of chemotherapy or surgery) </w:t>
      </w:r>
      <w:r w:rsidR="00D825AA" w:rsidRPr="009D2267">
        <w:rPr>
          <w:bCs/>
          <w:vertAlign w:val="superscript"/>
        </w:rPr>
        <w:t>89</w:t>
      </w:r>
      <w:r w:rsidR="00D825AA" w:rsidRPr="009D2267">
        <w:rPr>
          <w:bCs/>
        </w:rPr>
        <w:t>Zr-TLX250</w:t>
      </w:r>
      <w:r>
        <w:rPr>
          <w:rFonts w:eastAsiaTheme="minorEastAsia"/>
        </w:rPr>
        <w:t xml:space="preserve"> administration. </w:t>
      </w:r>
      <w:r w:rsidR="00D825AA">
        <w:rPr>
          <w:rFonts w:eastAsiaTheme="minorEastAsia"/>
        </w:rPr>
        <w:t>Safety evaluations would include enquiring about any current symptom, concomitant medication recording and adverse event recording (</w:t>
      </w:r>
      <w:r w:rsidR="00D825AA">
        <w:t>NCI-CTC v 5.0).</w:t>
      </w:r>
    </w:p>
    <w:p w14:paraId="59B1A6CE" w14:textId="77777777" w:rsidR="00FC03B5" w:rsidRDefault="00FC03B5" w:rsidP="00632FB8">
      <w:pPr>
        <w:pStyle w:val="ListParagraph"/>
        <w:tabs>
          <w:tab w:val="left" w:pos="1185"/>
        </w:tabs>
        <w:ind w:left="1080"/>
        <w:jc w:val="both"/>
      </w:pPr>
    </w:p>
    <w:p w14:paraId="3CC3A8E6" w14:textId="0E6A3BEB" w:rsidR="0086773D" w:rsidRPr="00BF49CE" w:rsidRDefault="0086773D" w:rsidP="00632FB8">
      <w:pPr>
        <w:pStyle w:val="ListParagraph"/>
        <w:numPr>
          <w:ilvl w:val="0"/>
          <w:numId w:val="50"/>
        </w:numPr>
        <w:tabs>
          <w:tab w:val="left" w:pos="1185"/>
        </w:tabs>
        <w:jc w:val="both"/>
        <w:rPr>
          <w:rFonts w:cstheme="minorHAnsi"/>
        </w:rPr>
      </w:pPr>
      <w:r>
        <w:t xml:space="preserve">Effectiveness of </w:t>
      </w:r>
      <w:r w:rsidR="00D825AA" w:rsidRPr="009D2267">
        <w:rPr>
          <w:bCs/>
          <w:vertAlign w:val="superscript"/>
        </w:rPr>
        <w:t>89</w:t>
      </w:r>
      <w:r w:rsidR="00D825AA" w:rsidRPr="009D2267">
        <w:rPr>
          <w:bCs/>
        </w:rPr>
        <w:t>Zr-TLX250</w:t>
      </w:r>
      <w:r w:rsidR="00D825AA">
        <w:rPr>
          <w:b/>
        </w:rPr>
        <w:t xml:space="preserve"> </w:t>
      </w:r>
      <w:r w:rsidR="00D825AA">
        <w:t xml:space="preserve">PET/CT </w:t>
      </w:r>
      <w:r w:rsidRPr="009B18EE">
        <w:rPr>
          <w:rFonts w:cstheme="minorHAnsi"/>
        </w:rPr>
        <w:t>vs FDG PET</w:t>
      </w:r>
      <w:r w:rsidR="00D825AA">
        <w:rPr>
          <w:rFonts w:cstheme="minorHAnsi"/>
        </w:rPr>
        <w:t>/CT</w:t>
      </w:r>
      <w:r w:rsidRPr="009B18EE">
        <w:rPr>
          <w:rFonts w:cstheme="minorHAnsi"/>
        </w:rPr>
        <w:t xml:space="preserve"> in detecting metastatic urothelial carcinoma or bladder cancer.</w:t>
      </w:r>
    </w:p>
    <w:p w14:paraId="3933604A" w14:textId="059F6986" w:rsidR="0086773D" w:rsidRDefault="0086773D" w:rsidP="00632FB8">
      <w:pPr>
        <w:pStyle w:val="ListParagraph"/>
        <w:numPr>
          <w:ilvl w:val="0"/>
          <w:numId w:val="52"/>
        </w:numPr>
        <w:tabs>
          <w:tab w:val="left" w:pos="1185"/>
        </w:tabs>
        <w:jc w:val="both"/>
        <w:rPr>
          <w:rFonts w:cstheme="minorHAnsi"/>
        </w:rPr>
      </w:pPr>
      <w:r>
        <w:rPr>
          <w:rFonts w:cstheme="minorHAnsi"/>
        </w:rPr>
        <w:t xml:space="preserve">Qualitative </w:t>
      </w:r>
      <w:r w:rsidR="00D825AA" w:rsidRPr="009D2267">
        <w:rPr>
          <w:bCs/>
          <w:vertAlign w:val="superscript"/>
        </w:rPr>
        <w:t>89</w:t>
      </w:r>
      <w:r w:rsidR="00D825AA" w:rsidRPr="009D2267">
        <w:rPr>
          <w:bCs/>
        </w:rPr>
        <w:t>Zr-TLX250</w:t>
      </w:r>
      <w:r w:rsidR="00D825AA">
        <w:rPr>
          <w:b/>
        </w:rPr>
        <w:t xml:space="preserve"> </w:t>
      </w:r>
      <w:r>
        <w:rPr>
          <w:rFonts w:cstheme="minorHAnsi"/>
        </w:rPr>
        <w:t>vs FDG tumour targeting</w:t>
      </w:r>
    </w:p>
    <w:p w14:paraId="0301BD78" w14:textId="13A1BB4C" w:rsidR="0086773D" w:rsidRDefault="00D825AA" w:rsidP="0086773D">
      <w:pPr>
        <w:pStyle w:val="ListParagraph"/>
        <w:numPr>
          <w:ilvl w:val="1"/>
          <w:numId w:val="21"/>
        </w:numPr>
        <w:tabs>
          <w:tab w:val="left" w:pos="1185"/>
        </w:tabs>
        <w:jc w:val="both"/>
        <w:rPr>
          <w:rFonts w:cstheme="minorHAnsi"/>
        </w:rPr>
      </w:pPr>
      <w:r w:rsidRPr="009D2267">
        <w:rPr>
          <w:bCs/>
          <w:vertAlign w:val="superscript"/>
        </w:rPr>
        <w:t>89</w:t>
      </w:r>
      <w:r w:rsidRPr="009D2267">
        <w:rPr>
          <w:bCs/>
        </w:rPr>
        <w:t>Zr-TLX250</w:t>
      </w:r>
      <w:r>
        <w:rPr>
          <w:b/>
        </w:rPr>
        <w:t xml:space="preserve"> </w:t>
      </w:r>
      <w:r w:rsidR="0086773D">
        <w:rPr>
          <w:rFonts w:cstheme="minorHAnsi"/>
        </w:rPr>
        <w:t xml:space="preserve">tumour uptake will be qualitatively assessed (yes / no), considering whether or not </w:t>
      </w:r>
      <w:r w:rsidRPr="009D2267">
        <w:rPr>
          <w:bCs/>
          <w:vertAlign w:val="superscript"/>
        </w:rPr>
        <w:t>89</w:t>
      </w:r>
      <w:r w:rsidRPr="009D2267">
        <w:rPr>
          <w:bCs/>
        </w:rPr>
        <w:t>Zr-TLX250</w:t>
      </w:r>
      <w:r>
        <w:rPr>
          <w:b/>
        </w:rPr>
        <w:t xml:space="preserve"> </w:t>
      </w:r>
      <w:r w:rsidR="0086773D">
        <w:rPr>
          <w:rFonts w:cstheme="minorHAnsi"/>
        </w:rPr>
        <w:t xml:space="preserve">binding is seen in lymph nodes or distant visceral organs. </w:t>
      </w:r>
    </w:p>
    <w:p w14:paraId="74CE5C1D" w14:textId="77777777" w:rsidR="0086773D" w:rsidRDefault="0086773D" w:rsidP="0086773D">
      <w:pPr>
        <w:pStyle w:val="ListParagraph"/>
        <w:numPr>
          <w:ilvl w:val="1"/>
          <w:numId w:val="21"/>
        </w:numPr>
        <w:tabs>
          <w:tab w:val="left" w:pos="1185"/>
        </w:tabs>
        <w:jc w:val="both"/>
        <w:rPr>
          <w:rFonts w:cstheme="minorHAnsi"/>
        </w:rPr>
      </w:pPr>
      <w:r>
        <w:rPr>
          <w:rFonts w:cstheme="minorHAnsi"/>
        </w:rPr>
        <w:t>FDG tumour uptake will be qualitatively assessed (yes / no), considering whether or not FDG binding is seen in lymph nodes or distant visceral organs.</w:t>
      </w:r>
    </w:p>
    <w:p w14:paraId="2BB0B53B" w14:textId="711B0884" w:rsidR="0086773D" w:rsidRDefault="0086773D" w:rsidP="00632FB8">
      <w:pPr>
        <w:pStyle w:val="ListParagraph"/>
        <w:numPr>
          <w:ilvl w:val="0"/>
          <w:numId w:val="21"/>
        </w:numPr>
        <w:tabs>
          <w:tab w:val="left" w:pos="1185"/>
        </w:tabs>
        <w:ind w:left="1077" w:hanging="357"/>
        <w:jc w:val="both"/>
        <w:rPr>
          <w:rFonts w:cstheme="minorHAnsi"/>
        </w:rPr>
      </w:pPr>
      <w:r>
        <w:rPr>
          <w:rFonts w:cstheme="minorHAnsi"/>
        </w:rPr>
        <w:t xml:space="preserve">Quantitative </w:t>
      </w:r>
      <w:r w:rsidR="00D825AA" w:rsidRPr="009D2267">
        <w:rPr>
          <w:bCs/>
          <w:vertAlign w:val="superscript"/>
        </w:rPr>
        <w:t>89</w:t>
      </w:r>
      <w:r w:rsidR="00D825AA" w:rsidRPr="009D2267">
        <w:rPr>
          <w:bCs/>
        </w:rPr>
        <w:t>Zr-TLX250</w:t>
      </w:r>
      <w:r w:rsidR="00D825AA">
        <w:rPr>
          <w:b/>
        </w:rPr>
        <w:t xml:space="preserve"> </w:t>
      </w:r>
      <w:r>
        <w:rPr>
          <w:rFonts w:cstheme="minorHAnsi"/>
        </w:rPr>
        <w:t>vs FDG tumour targeting</w:t>
      </w:r>
    </w:p>
    <w:p w14:paraId="063D509B" w14:textId="5560EF04" w:rsidR="0086773D" w:rsidRDefault="0086773D" w:rsidP="00632FB8">
      <w:pPr>
        <w:tabs>
          <w:tab w:val="left" w:pos="1185"/>
        </w:tabs>
        <w:spacing w:after="0" w:line="240" w:lineRule="auto"/>
        <w:ind w:left="357"/>
        <w:jc w:val="both"/>
      </w:pPr>
      <w:r>
        <w:rPr>
          <w:rFonts w:cstheme="minorHAnsi"/>
        </w:rPr>
        <w:t>T</w:t>
      </w:r>
      <w:r w:rsidRPr="00AE1360">
        <w:rPr>
          <w:rFonts w:cstheme="minorHAnsi"/>
        </w:rPr>
        <w:t>umour vs mediastinal uptake ratio</w:t>
      </w:r>
      <w:r>
        <w:rPr>
          <w:rFonts w:cstheme="minorHAnsi"/>
        </w:rPr>
        <w:t xml:space="preserve"> for </w:t>
      </w:r>
      <w:r w:rsidR="00D825AA" w:rsidRPr="009D2267">
        <w:rPr>
          <w:bCs/>
          <w:vertAlign w:val="superscript"/>
        </w:rPr>
        <w:t>89</w:t>
      </w:r>
      <w:r w:rsidR="00D825AA" w:rsidRPr="009D2267">
        <w:rPr>
          <w:bCs/>
        </w:rPr>
        <w:t>Zr-TLX250</w:t>
      </w:r>
      <w:r w:rsidR="00D825AA">
        <w:rPr>
          <w:b/>
        </w:rPr>
        <w:t xml:space="preserve"> </w:t>
      </w:r>
      <w:r w:rsidR="00D825AA">
        <w:t xml:space="preserve">PET/CT </w:t>
      </w:r>
      <w:r>
        <w:rPr>
          <w:rFonts w:cstheme="minorHAnsi"/>
        </w:rPr>
        <w:t>and FDG PET</w:t>
      </w:r>
      <w:r w:rsidR="00D825AA">
        <w:rPr>
          <w:rFonts w:cstheme="minorHAnsi"/>
        </w:rPr>
        <w:t>/CT</w:t>
      </w:r>
      <w:r>
        <w:rPr>
          <w:rFonts w:cstheme="minorHAnsi"/>
        </w:rPr>
        <w:t xml:space="preserve"> will be calculated and compared. </w:t>
      </w:r>
      <w:r>
        <w:t xml:space="preserve">Sensitivity and specificity of </w:t>
      </w:r>
      <w:r w:rsidR="00D825AA" w:rsidRPr="009D2267">
        <w:rPr>
          <w:bCs/>
          <w:vertAlign w:val="superscript"/>
        </w:rPr>
        <w:t>89</w:t>
      </w:r>
      <w:r w:rsidR="00D825AA" w:rsidRPr="009D2267">
        <w:rPr>
          <w:bCs/>
        </w:rPr>
        <w:t>Zr-TLX250</w:t>
      </w:r>
      <w:r w:rsidR="00D825AA">
        <w:rPr>
          <w:b/>
        </w:rPr>
        <w:t xml:space="preserve"> </w:t>
      </w:r>
      <w:r w:rsidR="00D825AA">
        <w:t xml:space="preserve">PET/CT </w:t>
      </w:r>
      <w:r>
        <w:t>vs FDG PET</w:t>
      </w:r>
      <w:r w:rsidR="00D825AA">
        <w:t>/CT</w:t>
      </w:r>
      <w:r>
        <w:t xml:space="preserve"> in detecting lymph node metastases in urothelial carcinoma or bladder cancer</w:t>
      </w:r>
    </w:p>
    <w:p w14:paraId="794A0AD2" w14:textId="11E7FCBF" w:rsidR="0086773D" w:rsidRPr="005E1225" w:rsidRDefault="0086773D" w:rsidP="00632FB8">
      <w:pPr>
        <w:pStyle w:val="ListParagraph"/>
        <w:numPr>
          <w:ilvl w:val="0"/>
          <w:numId w:val="23"/>
        </w:numPr>
        <w:tabs>
          <w:tab w:val="left" w:pos="1185"/>
        </w:tabs>
        <w:spacing w:after="0" w:line="240" w:lineRule="auto"/>
        <w:ind w:left="1077" w:hanging="357"/>
        <w:jc w:val="both"/>
        <w:rPr>
          <w:rFonts w:cstheme="minorHAnsi"/>
        </w:rPr>
      </w:pPr>
      <w:r>
        <w:t>PET</w:t>
      </w:r>
      <w:r w:rsidR="00D825AA">
        <w:t>/CT</w:t>
      </w:r>
      <w:r>
        <w:t xml:space="preserve"> results will be correlated with pelvic lymphadenectomy histopathological findings in those undergoing radical cystectomy</w:t>
      </w:r>
    </w:p>
    <w:p w14:paraId="7C6731EB" w14:textId="77777777" w:rsidR="00FC03B5" w:rsidRPr="00F27F80" w:rsidRDefault="00FC03B5" w:rsidP="00632FB8">
      <w:pPr>
        <w:pStyle w:val="ListParagraph"/>
        <w:tabs>
          <w:tab w:val="left" w:pos="1185"/>
        </w:tabs>
        <w:spacing w:after="0" w:line="240" w:lineRule="auto"/>
        <w:ind w:left="1077"/>
        <w:jc w:val="both"/>
        <w:rPr>
          <w:rFonts w:cstheme="minorHAnsi"/>
        </w:rPr>
      </w:pPr>
    </w:p>
    <w:p w14:paraId="288E0331" w14:textId="634EAE07" w:rsidR="0086773D" w:rsidRDefault="003963FF" w:rsidP="00632FB8">
      <w:pPr>
        <w:tabs>
          <w:tab w:val="left" w:pos="1185"/>
        </w:tabs>
        <w:spacing w:after="0" w:line="240" w:lineRule="auto"/>
        <w:ind w:left="360"/>
        <w:jc w:val="both"/>
      </w:pPr>
      <w:r>
        <w:t>3</w:t>
      </w:r>
      <w:r w:rsidR="00FC03B5">
        <w:t>.</w:t>
      </w:r>
      <w:r w:rsidR="0086773D">
        <w:t xml:space="preserve"> Evidence for </w:t>
      </w:r>
      <w:r w:rsidR="00D825AA" w:rsidRPr="009D2267">
        <w:rPr>
          <w:bCs/>
          <w:vertAlign w:val="superscript"/>
        </w:rPr>
        <w:t>89</w:t>
      </w:r>
      <w:r w:rsidR="00D825AA" w:rsidRPr="009D2267">
        <w:rPr>
          <w:bCs/>
        </w:rPr>
        <w:t>Zr-TLX250</w:t>
      </w:r>
      <w:r w:rsidR="00D825AA">
        <w:rPr>
          <w:b/>
        </w:rPr>
        <w:t xml:space="preserve"> </w:t>
      </w:r>
      <w:r w:rsidR="00D825AA">
        <w:t xml:space="preserve">PET/CT </w:t>
      </w:r>
      <w:r w:rsidR="0086773D">
        <w:t>vs FDG PET</w:t>
      </w:r>
      <w:r w:rsidR="00D825AA">
        <w:t>/CT</w:t>
      </w:r>
      <w:r w:rsidR="0086773D">
        <w:t xml:space="preserve"> in detecting primary bladder cancer</w:t>
      </w:r>
    </w:p>
    <w:p w14:paraId="6B1D2DAA" w14:textId="5A4724F1" w:rsidR="0086773D" w:rsidRDefault="00D825AA" w:rsidP="00632FB8">
      <w:pPr>
        <w:pStyle w:val="ListParagraph"/>
        <w:numPr>
          <w:ilvl w:val="0"/>
          <w:numId w:val="23"/>
        </w:numPr>
        <w:tabs>
          <w:tab w:val="left" w:pos="1185"/>
        </w:tabs>
        <w:spacing w:after="0" w:line="240" w:lineRule="auto"/>
        <w:ind w:left="1077" w:hanging="357"/>
        <w:jc w:val="both"/>
      </w:pPr>
      <w:r w:rsidRPr="009D2267">
        <w:rPr>
          <w:bCs/>
          <w:vertAlign w:val="superscript"/>
        </w:rPr>
        <w:t>89</w:t>
      </w:r>
      <w:r w:rsidRPr="009D2267">
        <w:rPr>
          <w:bCs/>
        </w:rPr>
        <w:t>Zr-TLX250</w:t>
      </w:r>
      <w:r>
        <w:rPr>
          <w:b/>
        </w:rPr>
        <w:t xml:space="preserve"> </w:t>
      </w:r>
      <w:r w:rsidR="0086773D">
        <w:t xml:space="preserve">uptake in the bladder would be considered positive for those with residual bladder tumour. These would be in patients undergoing cystectomy. </w:t>
      </w:r>
    </w:p>
    <w:p w14:paraId="7AB9F4DE" w14:textId="77777777" w:rsidR="00FC03B5" w:rsidRDefault="00FC03B5" w:rsidP="00632FB8">
      <w:pPr>
        <w:pStyle w:val="ListParagraph"/>
        <w:tabs>
          <w:tab w:val="left" w:pos="1185"/>
        </w:tabs>
        <w:spacing w:after="0" w:line="240" w:lineRule="auto"/>
        <w:ind w:left="1077"/>
        <w:jc w:val="both"/>
      </w:pPr>
    </w:p>
    <w:p w14:paraId="27035AA4" w14:textId="5C771CAE" w:rsidR="00290CAA" w:rsidRDefault="003963FF" w:rsidP="00632FB8">
      <w:pPr>
        <w:tabs>
          <w:tab w:val="left" w:pos="1185"/>
        </w:tabs>
        <w:spacing w:after="0" w:line="240" w:lineRule="auto"/>
        <w:ind w:left="357"/>
        <w:jc w:val="both"/>
      </w:pPr>
      <w:r>
        <w:rPr>
          <w:rFonts w:cstheme="minorHAnsi"/>
        </w:rPr>
        <w:t>4</w:t>
      </w:r>
      <w:r w:rsidR="00FC03B5">
        <w:rPr>
          <w:rFonts w:cstheme="minorHAnsi"/>
        </w:rPr>
        <w:t>.</w:t>
      </w:r>
      <w:r w:rsidR="0086773D">
        <w:rPr>
          <w:rFonts w:cstheme="minorHAnsi"/>
        </w:rPr>
        <w:t xml:space="preserve"> E</w:t>
      </w:r>
      <w:r w:rsidR="0086773D">
        <w:t xml:space="preserve">vidence for </w:t>
      </w:r>
      <w:r w:rsidR="00D825AA" w:rsidRPr="009D2267">
        <w:rPr>
          <w:bCs/>
          <w:vertAlign w:val="superscript"/>
        </w:rPr>
        <w:t>89</w:t>
      </w:r>
      <w:r w:rsidR="00D825AA" w:rsidRPr="009D2267">
        <w:rPr>
          <w:bCs/>
        </w:rPr>
        <w:t>Zr-TLX250</w:t>
      </w:r>
      <w:r w:rsidR="00D825AA">
        <w:rPr>
          <w:b/>
        </w:rPr>
        <w:t xml:space="preserve"> </w:t>
      </w:r>
      <w:r w:rsidR="00D825AA">
        <w:t xml:space="preserve">PET/CT </w:t>
      </w:r>
      <w:r w:rsidR="0086773D">
        <w:t>vs FDG PET</w:t>
      </w:r>
      <w:r w:rsidR="00D825AA">
        <w:t>/CT</w:t>
      </w:r>
      <w:r w:rsidR="0086773D">
        <w:t xml:space="preserve"> in detecting previously unrecognised upper tract urothelial carcinoma</w:t>
      </w:r>
    </w:p>
    <w:p w14:paraId="46B91D18" w14:textId="60942CC1" w:rsidR="00290CAA" w:rsidRPr="00632FB8" w:rsidRDefault="00D825AA" w:rsidP="00632FB8">
      <w:pPr>
        <w:pStyle w:val="ListParagraph"/>
        <w:numPr>
          <w:ilvl w:val="0"/>
          <w:numId w:val="23"/>
        </w:numPr>
        <w:tabs>
          <w:tab w:val="left" w:pos="1185"/>
        </w:tabs>
        <w:spacing w:after="0" w:line="240" w:lineRule="auto"/>
        <w:ind w:left="1077" w:hanging="357"/>
        <w:jc w:val="both"/>
      </w:pPr>
      <w:r w:rsidRPr="009D2267">
        <w:rPr>
          <w:bCs/>
          <w:vertAlign w:val="superscript"/>
        </w:rPr>
        <w:t>89</w:t>
      </w:r>
      <w:r w:rsidRPr="009D2267">
        <w:rPr>
          <w:bCs/>
        </w:rPr>
        <w:t>Zr-TLX250</w:t>
      </w:r>
      <w:r>
        <w:rPr>
          <w:b/>
        </w:rPr>
        <w:t xml:space="preserve"> </w:t>
      </w:r>
      <w:r w:rsidR="00290CAA">
        <w:t>uptake in the upper tracts will be correlated to CT urogram/uretero</w:t>
      </w:r>
      <w:r w:rsidR="003963FF">
        <w:t>s</w:t>
      </w:r>
      <w:r w:rsidR="00290CAA">
        <w:t xml:space="preserve">copy results to determine </w:t>
      </w:r>
      <w:r w:rsidRPr="009D2267">
        <w:rPr>
          <w:bCs/>
          <w:vertAlign w:val="superscript"/>
        </w:rPr>
        <w:t>89</w:t>
      </w:r>
      <w:r w:rsidRPr="009D2267">
        <w:rPr>
          <w:bCs/>
        </w:rPr>
        <w:t>Zr-TLX250</w:t>
      </w:r>
      <w:r>
        <w:rPr>
          <w:b/>
        </w:rPr>
        <w:t xml:space="preserve"> </w:t>
      </w:r>
      <w:r>
        <w:t xml:space="preserve">PET/CT’s </w:t>
      </w:r>
      <w:r w:rsidR="003D294D">
        <w:t>utility in detecting upper tract urothelial carcinoma</w:t>
      </w:r>
    </w:p>
    <w:p w14:paraId="4652245B" w14:textId="77777777" w:rsidR="0086773D" w:rsidRPr="00632FB8" w:rsidRDefault="0086773D" w:rsidP="00632FB8">
      <w:pPr>
        <w:tabs>
          <w:tab w:val="left" w:pos="1185"/>
        </w:tabs>
        <w:spacing w:after="0" w:line="240" w:lineRule="auto"/>
        <w:jc w:val="both"/>
      </w:pPr>
    </w:p>
    <w:p w14:paraId="7A53D5E0" w14:textId="3E5F2958" w:rsidR="0086773D" w:rsidRDefault="0086773D" w:rsidP="009B18EE">
      <w:pPr>
        <w:pStyle w:val="ListParagraph"/>
        <w:spacing w:after="0" w:line="240" w:lineRule="auto"/>
        <w:ind w:left="360"/>
        <w:jc w:val="both"/>
        <w:rPr>
          <w:b/>
        </w:rPr>
      </w:pPr>
      <w:r>
        <w:rPr>
          <w:b/>
        </w:rPr>
        <w:t>4. Study population</w:t>
      </w:r>
    </w:p>
    <w:p w14:paraId="3C0F12E6" w14:textId="77777777" w:rsidR="0086773D" w:rsidRDefault="0086773D" w:rsidP="005E1225">
      <w:pPr>
        <w:pStyle w:val="ListParagraph"/>
        <w:spacing w:after="0" w:line="240" w:lineRule="auto"/>
        <w:ind w:left="360"/>
        <w:jc w:val="both"/>
        <w:rPr>
          <w:b/>
        </w:rPr>
      </w:pPr>
    </w:p>
    <w:p w14:paraId="309E64A7" w14:textId="3308BC7A" w:rsidR="0086773D" w:rsidRDefault="0086773D">
      <w:pPr>
        <w:pStyle w:val="ListParagraph"/>
        <w:spacing w:after="0" w:line="240" w:lineRule="auto"/>
        <w:ind w:left="360"/>
        <w:jc w:val="both"/>
        <w:rPr>
          <w:b/>
        </w:rPr>
      </w:pPr>
      <w:r>
        <w:rPr>
          <w:b/>
        </w:rPr>
        <w:t>4.1 Target population</w:t>
      </w:r>
    </w:p>
    <w:p w14:paraId="4778A6DA" w14:textId="77777777" w:rsidR="0046423C" w:rsidRDefault="0046423C" w:rsidP="0086773D">
      <w:pPr>
        <w:pStyle w:val="ListParagraph"/>
        <w:spacing w:after="0" w:line="240" w:lineRule="auto"/>
        <w:ind w:left="360"/>
        <w:jc w:val="both"/>
        <w:rPr>
          <w:b/>
        </w:rPr>
      </w:pPr>
    </w:p>
    <w:p w14:paraId="6CEBA0B8" w14:textId="2F85D762" w:rsidR="0086773D" w:rsidRPr="00632FB8" w:rsidRDefault="006845A5" w:rsidP="00632FB8">
      <w:pPr>
        <w:jc w:val="both"/>
        <w:rPr>
          <w:b/>
        </w:rPr>
      </w:pPr>
      <w:r>
        <w:t>A sample size of</w:t>
      </w:r>
      <w:r w:rsidR="0086773D">
        <w:t xml:space="preserve"> 20 adult patients</w:t>
      </w:r>
      <w:r>
        <w:t xml:space="preserve"> has been selected, of which</w:t>
      </w:r>
      <w:r w:rsidR="0086773D">
        <w:t xml:space="preserve"> 10 patients would have known metastatic urothelial carcinoma or bladder cancer while the other 10 would be undergoing primary staging for histologically diagnosed urothelial carcinoma or bladder cancer.</w:t>
      </w:r>
      <w:r w:rsidR="00475ED7">
        <w:t xml:space="preserve"> The total number of patients planned is not based on statistical sample size estimation but has been chosen based on clinical context. </w:t>
      </w:r>
    </w:p>
    <w:p w14:paraId="53CE5DCC" w14:textId="2DF02663" w:rsidR="0086773D" w:rsidRDefault="0086773D" w:rsidP="00632FB8">
      <w:pPr>
        <w:tabs>
          <w:tab w:val="left" w:pos="1185"/>
        </w:tabs>
        <w:spacing w:after="0" w:line="240" w:lineRule="auto"/>
        <w:ind w:left="360"/>
        <w:jc w:val="both"/>
        <w:rPr>
          <w:rFonts w:cstheme="minorHAnsi"/>
        </w:rPr>
      </w:pPr>
      <w:r w:rsidRPr="00632FB8">
        <w:rPr>
          <w:rFonts w:cstheme="minorHAnsi"/>
          <w:b/>
          <w:bCs/>
        </w:rPr>
        <w:t>4.2 Eligibility</w:t>
      </w:r>
    </w:p>
    <w:p w14:paraId="6C3D7C48" w14:textId="48E2D6D5" w:rsidR="0086773D" w:rsidRPr="001B297B" w:rsidRDefault="0086773D" w:rsidP="00632FB8">
      <w:pPr>
        <w:pStyle w:val="ListParagraph"/>
        <w:spacing w:after="0" w:line="240" w:lineRule="auto"/>
        <w:ind w:left="0"/>
        <w:jc w:val="both"/>
        <w:rPr>
          <w:b/>
        </w:rPr>
      </w:pPr>
    </w:p>
    <w:p w14:paraId="4EB4101C" w14:textId="76F1D372" w:rsidR="00D039BA" w:rsidRDefault="0086773D" w:rsidP="00632FB8">
      <w:pPr>
        <w:spacing w:after="0" w:line="240" w:lineRule="auto"/>
        <w:ind w:left="360"/>
        <w:jc w:val="both"/>
      </w:pPr>
      <w:r w:rsidRPr="00632FB8">
        <w:rPr>
          <w:b/>
          <w:i/>
          <w:iCs/>
        </w:rPr>
        <w:t xml:space="preserve">4.2.1 </w:t>
      </w:r>
      <w:r w:rsidR="005E654F" w:rsidRPr="00632FB8">
        <w:rPr>
          <w:b/>
          <w:i/>
          <w:iCs/>
        </w:rPr>
        <w:t>Inclusion criteria</w:t>
      </w:r>
    </w:p>
    <w:p w14:paraId="66FB8BA2" w14:textId="77777777" w:rsidR="00D039BA" w:rsidRPr="00632FB8" w:rsidRDefault="00D039BA" w:rsidP="00632FB8">
      <w:pPr>
        <w:spacing w:after="0" w:line="240" w:lineRule="auto"/>
        <w:ind w:left="360"/>
        <w:jc w:val="both"/>
        <w:rPr>
          <w:b/>
          <w:i/>
          <w:iCs/>
        </w:rPr>
      </w:pPr>
    </w:p>
    <w:p w14:paraId="39052A4A" w14:textId="64524347" w:rsidR="00936C9E" w:rsidRDefault="0079249C" w:rsidP="00632FB8">
      <w:pPr>
        <w:spacing w:after="0" w:line="240" w:lineRule="auto"/>
        <w:jc w:val="both"/>
      </w:pPr>
      <w:r>
        <w:t xml:space="preserve">Patients must meet the following criteria for study </w:t>
      </w:r>
      <w:r w:rsidR="00BC7A38">
        <w:t>entry:</w:t>
      </w:r>
      <w:r>
        <w:t xml:space="preserve"> </w:t>
      </w:r>
    </w:p>
    <w:p w14:paraId="6CB2D51A" w14:textId="77777777" w:rsidR="0079249C" w:rsidRDefault="0079249C" w:rsidP="00632FB8">
      <w:pPr>
        <w:pStyle w:val="ListParagraph"/>
        <w:numPr>
          <w:ilvl w:val="0"/>
          <w:numId w:val="6"/>
        </w:numPr>
        <w:spacing w:after="0" w:line="240" w:lineRule="auto"/>
        <w:jc w:val="both"/>
      </w:pPr>
      <w:r>
        <w:t xml:space="preserve">Aged </w:t>
      </w:r>
      <w:r>
        <w:rPr>
          <w:rFonts w:cstheme="minorHAnsi"/>
        </w:rPr>
        <w:t>≥</w:t>
      </w:r>
      <w:r>
        <w:t xml:space="preserve">18 </w:t>
      </w:r>
    </w:p>
    <w:p w14:paraId="473067FF" w14:textId="77777777" w:rsidR="0079249C" w:rsidRDefault="0079249C" w:rsidP="00F314CB">
      <w:pPr>
        <w:pStyle w:val="ListParagraph"/>
        <w:numPr>
          <w:ilvl w:val="0"/>
          <w:numId w:val="6"/>
        </w:numPr>
        <w:jc w:val="both"/>
      </w:pPr>
      <w:r>
        <w:t>Able to provide informed consent</w:t>
      </w:r>
    </w:p>
    <w:p w14:paraId="6E317841" w14:textId="3649A6E3" w:rsidR="0079249C" w:rsidRDefault="0086773D" w:rsidP="00F314CB">
      <w:pPr>
        <w:pStyle w:val="ListParagraph"/>
        <w:numPr>
          <w:ilvl w:val="0"/>
          <w:numId w:val="6"/>
        </w:numPr>
        <w:jc w:val="both"/>
      </w:pPr>
      <w:r>
        <w:lastRenderedPageBreak/>
        <w:t>Histologically dia</w:t>
      </w:r>
      <w:r w:rsidR="0079249C">
        <w:t xml:space="preserve">gnosed with urothelial carcinoma </w:t>
      </w:r>
      <w:r>
        <w:t>or bladder cancer (or upper tract urothelial carcinoma diagnosed based on standard imaging and malignant urine cytology or direct visualisation on ureteroscopy)</w:t>
      </w:r>
      <w:r w:rsidR="00DE0565">
        <w:t xml:space="preserve"> or known metastatic urothelial carcinoma or bladder cancer (based on previous imaging and /or histopathology)</w:t>
      </w:r>
    </w:p>
    <w:p w14:paraId="453636FE" w14:textId="7BEDFDD6" w:rsidR="0086773D" w:rsidRDefault="0086773D" w:rsidP="0086773D">
      <w:pPr>
        <w:pStyle w:val="ListParagraph"/>
        <w:numPr>
          <w:ilvl w:val="0"/>
          <w:numId w:val="6"/>
        </w:numPr>
        <w:jc w:val="both"/>
      </w:pPr>
      <w:r>
        <w:t xml:space="preserve">Negative serum pregnancy test in female patients of childbearing potential at screening. Confirmation of negative pregnancy test result from urine within 24 hours prior to receiving investigational product. </w:t>
      </w:r>
    </w:p>
    <w:p w14:paraId="186BD059" w14:textId="64EFD6D7" w:rsidR="0086773D" w:rsidRDefault="0086773D">
      <w:pPr>
        <w:pStyle w:val="ListParagraph"/>
        <w:numPr>
          <w:ilvl w:val="0"/>
          <w:numId w:val="6"/>
        </w:numPr>
        <w:jc w:val="both"/>
      </w:pPr>
      <w:r>
        <w:t xml:space="preserve">Consent to practise double-barrier contraception until a minimum of 42 days after </w:t>
      </w:r>
      <w:r w:rsidR="00D825AA" w:rsidRPr="009D2267">
        <w:rPr>
          <w:bCs/>
          <w:vertAlign w:val="superscript"/>
        </w:rPr>
        <w:t>89</w:t>
      </w:r>
      <w:r w:rsidR="00D825AA" w:rsidRPr="009D2267">
        <w:rPr>
          <w:bCs/>
        </w:rPr>
        <w:t>Zr-TLX250</w:t>
      </w:r>
      <w:r w:rsidR="00D825AA">
        <w:rPr>
          <w:b/>
        </w:rPr>
        <w:t xml:space="preserve"> </w:t>
      </w:r>
      <w:r>
        <w:t>administration.</w:t>
      </w:r>
    </w:p>
    <w:p w14:paraId="5E7CC8B3" w14:textId="429430A6" w:rsidR="005E654F" w:rsidRPr="005E654F" w:rsidRDefault="0086773D" w:rsidP="005E654F">
      <w:pPr>
        <w:ind w:left="360"/>
        <w:jc w:val="both"/>
        <w:rPr>
          <w:b/>
        </w:rPr>
      </w:pPr>
      <w:r>
        <w:rPr>
          <w:b/>
        </w:rPr>
        <w:t xml:space="preserve">4.2.2 </w:t>
      </w:r>
      <w:r w:rsidR="005E654F" w:rsidRPr="00632FB8">
        <w:rPr>
          <w:b/>
          <w:i/>
          <w:iCs/>
        </w:rPr>
        <w:t>Exclusion criteria</w:t>
      </w:r>
      <w:r w:rsidR="005E654F" w:rsidRPr="005E654F">
        <w:rPr>
          <w:b/>
        </w:rPr>
        <w:t xml:space="preserve"> </w:t>
      </w:r>
    </w:p>
    <w:p w14:paraId="2A074F00" w14:textId="77777777" w:rsidR="0022788A" w:rsidRDefault="0022788A" w:rsidP="005E1225">
      <w:pPr>
        <w:jc w:val="both"/>
      </w:pPr>
      <w:r>
        <w:t xml:space="preserve">Patients must not meet any of the following criteria for study entry: </w:t>
      </w:r>
    </w:p>
    <w:p w14:paraId="1A39B7ED" w14:textId="77777777" w:rsidR="0086773D" w:rsidRPr="00CA5EC5" w:rsidRDefault="0086773D" w:rsidP="0086773D">
      <w:pPr>
        <w:pStyle w:val="ListParagraph"/>
        <w:numPr>
          <w:ilvl w:val="0"/>
          <w:numId w:val="7"/>
        </w:numPr>
        <w:tabs>
          <w:tab w:val="left" w:pos="1185"/>
        </w:tabs>
        <w:jc w:val="both"/>
      </w:pPr>
      <w:r w:rsidRPr="5B433211">
        <w:t xml:space="preserve">Active malignancy other than urothelial carcinoma </w:t>
      </w:r>
      <w:r>
        <w:t>or bladder cancer</w:t>
      </w:r>
    </w:p>
    <w:p w14:paraId="3351D0FF" w14:textId="11C1462F" w:rsidR="0086773D" w:rsidRPr="00CA5EC5" w:rsidRDefault="0086773D" w:rsidP="0086773D">
      <w:pPr>
        <w:pStyle w:val="ListParagraph"/>
        <w:numPr>
          <w:ilvl w:val="0"/>
          <w:numId w:val="7"/>
        </w:numPr>
        <w:tabs>
          <w:tab w:val="left" w:pos="1185"/>
        </w:tabs>
        <w:jc w:val="both"/>
      </w:pPr>
      <w:r w:rsidRPr="740C3A20">
        <w:t xml:space="preserve">Administration of a radioisotope within 10 physical half-lives </w:t>
      </w:r>
      <w:r w:rsidR="00475ED7">
        <w:t xml:space="preserve">of </w:t>
      </w:r>
      <w:r w:rsidR="00475ED7" w:rsidRPr="00475ED7">
        <w:rPr>
          <w:vertAlign w:val="superscript"/>
        </w:rPr>
        <w:t>89</w:t>
      </w:r>
      <w:r w:rsidR="00475ED7">
        <w:t xml:space="preserve">Zr prior </w:t>
      </w:r>
      <w:r w:rsidRPr="740C3A20">
        <w:t>to study enrolment</w:t>
      </w:r>
      <w:r>
        <w:t xml:space="preserve">. </w:t>
      </w:r>
    </w:p>
    <w:p w14:paraId="64CB8E91" w14:textId="5603F354" w:rsidR="0086773D" w:rsidRPr="00A503FA" w:rsidRDefault="0086773D" w:rsidP="0086773D">
      <w:pPr>
        <w:pStyle w:val="ListParagraph"/>
        <w:numPr>
          <w:ilvl w:val="0"/>
          <w:numId w:val="7"/>
        </w:numPr>
        <w:tabs>
          <w:tab w:val="left" w:pos="1185"/>
        </w:tabs>
        <w:jc w:val="both"/>
      </w:pPr>
      <w:r w:rsidRPr="740C3A20">
        <w:t xml:space="preserve">Administration of chemotherapy, radiotherapy, or immunotherapy within 4 weeks prior to planned administration of </w:t>
      </w:r>
      <w:r w:rsidR="005A47EA" w:rsidRPr="009D2267">
        <w:rPr>
          <w:bCs/>
          <w:vertAlign w:val="superscript"/>
        </w:rPr>
        <w:t>89</w:t>
      </w:r>
      <w:r w:rsidR="005A47EA" w:rsidRPr="009D2267">
        <w:rPr>
          <w:bCs/>
        </w:rPr>
        <w:t>Zr-TLX250</w:t>
      </w:r>
      <w:r w:rsidR="005A47EA">
        <w:rPr>
          <w:b/>
        </w:rPr>
        <w:t xml:space="preserve"> </w:t>
      </w:r>
      <w:r w:rsidRPr="740C3A20">
        <w:t xml:space="preserve">or continuing adverse effects from such therapy </w:t>
      </w:r>
    </w:p>
    <w:p w14:paraId="702938E6" w14:textId="50094DA3" w:rsidR="0086773D" w:rsidRPr="00A503FA" w:rsidRDefault="0086773D" w:rsidP="0086773D">
      <w:pPr>
        <w:pStyle w:val="ListParagraph"/>
        <w:numPr>
          <w:ilvl w:val="0"/>
          <w:numId w:val="7"/>
        </w:numPr>
        <w:tabs>
          <w:tab w:val="left" w:pos="1185"/>
        </w:tabs>
        <w:jc w:val="both"/>
      </w:pPr>
      <w:r w:rsidRPr="740C3A20">
        <w:rPr>
          <w:color w:val="000000"/>
          <w:shd w:val="clear" w:color="auto" w:fill="FFFFFF"/>
        </w:rPr>
        <w:t xml:space="preserve">Planned antineoplastic therapies for the period between administration of </w:t>
      </w:r>
      <w:r w:rsidR="005A47EA" w:rsidRPr="009D2267">
        <w:rPr>
          <w:bCs/>
          <w:vertAlign w:val="superscript"/>
        </w:rPr>
        <w:t>89</w:t>
      </w:r>
      <w:r w:rsidR="005A47EA" w:rsidRPr="009D2267">
        <w:rPr>
          <w:bCs/>
        </w:rPr>
        <w:t>Zr-TLX250</w:t>
      </w:r>
      <w:r w:rsidR="005A47EA">
        <w:rPr>
          <w:b/>
        </w:rPr>
        <w:t xml:space="preserve"> </w:t>
      </w:r>
      <w:r w:rsidRPr="740C3A20">
        <w:rPr>
          <w:color w:val="000000"/>
          <w:shd w:val="clear" w:color="auto" w:fill="FFFFFF"/>
        </w:rPr>
        <w:t>and imaging</w:t>
      </w:r>
    </w:p>
    <w:p w14:paraId="7878C2CB" w14:textId="77777777" w:rsidR="0086773D" w:rsidRPr="00A503FA" w:rsidRDefault="0086773D" w:rsidP="0086773D">
      <w:pPr>
        <w:pStyle w:val="ListParagraph"/>
        <w:numPr>
          <w:ilvl w:val="0"/>
          <w:numId w:val="7"/>
        </w:numPr>
        <w:tabs>
          <w:tab w:val="left" w:pos="1185"/>
        </w:tabs>
        <w:jc w:val="both"/>
      </w:pPr>
      <w:r w:rsidRPr="740C3A20">
        <w:t xml:space="preserve">Serious non-malignant disease that may interfere with the objectives of the study </w:t>
      </w:r>
    </w:p>
    <w:p w14:paraId="4BD5CDAC" w14:textId="77777777" w:rsidR="0086773D" w:rsidRPr="00A503FA" w:rsidRDefault="0086773D" w:rsidP="0086773D">
      <w:pPr>
        <w:pStyle w:val="ListParagraph"/>
        <w:numPr>
          <w:ilvl w:val="0"/>
          <w:numId w:val="7"/>
        </w:numPr>
        <w:tabs>
          <w:tab w:val="left" w:pos="1185"/>
        </w:tabs>
        <w:jc w:val="both"/>
      </w:pPr>
      <w:r>
        <w:t>Renal insufficiency with glomerular filtration rate ≤45 mL/min/1.73m</w:t>
      </w:r>
      <w:r w:rsidRPr="740C3A20">
        <w:rPr>
          <w:vertAlign w:val="superscript"/>
        </w:rPr>
        <w:t>2</w:t>
      </w:r>
    </w:p>
    <w:p w14:paraId="644016EC" w14:textId="77777777" w:rsidR="0086773D" w:rsidRPr="00CA5EC5" w:rsidRDefault="0086773D" w:rsidP="0086773D">
      <w:pPr>
        <w:pStyle w:val="ListParagraph"/>
        <w:numPr>
          <w:ilvl w:val="0"/>
          <w:numId w:val="7"/>
        </w:numPr>
        <w:tabs>
          <w:tab w:val="left" w:pos="1185"/>
        </w:tabs>
        <w:jc w:val="both"/>
      </w:pPr>
      <w:r w:rsidRPr="740C3A20">
        <w:t>Pregnancy or lactation</w:t>
      </w:r>
    </w:p>
    <w:p w14:paraId="09BC5AF7" w14:textId="77777777" w:rsidR="0086773D" w:rsidRPr="00CA5EC5" w:rsidRDefault="0086773D" w:rsidP="0086773D">
      <w:pPr>
        <w:pStyle w:val="ListParagraph"/>
        <w:numPr>
          <w:ilvl w:val="0"/>
          <w:numId w:val="7"/>
        </w:numPr>
        <w:tabs>
          <w:tab w:val="left" w:pos="1185"/>
        </w:tabs>
        <w:jc w:val="both"/>
      </w:pPr>
      <w:r w:rsidRPr="740C3A20">
        <w:t>Exposure to murine or chimeric antibodies within the last 5 years</w:t>
      </w:r>
    </w:p>
    <w:p w14:paraId="19FA798B" w14:textId="77777777" w:rsidR="0086773D" w:rsidRPr="00CA5EC5" w:rsidRDefault="0086773D" w:rsidP="0086773D">
      <w:pPr>
        <w:pStyle w:val="ListParagraph"/>
        <w:numPr>
          <w:ilvl w:val="0"/>
          <w:numId w:val="7"/>
        </w:numPr>
        <w:tabs>
          <w:tab w:val="left" w:pos="1185"/>
        </w:tabs>
        <w:jc w:val="both"/>
      </w:pPr>
      <w:r w:rsidRPr="5B433211">
        <w:t>Known hypersensitivity or human anti-chimeric antibodies against girentuximab</w:t>
      </w:r>
    </w:p>
    <w:p w14:paraId="39158BBC" w14:textId="140CA5E9" w:rsidR="0086773D" w:rsidRDefault="0086773D" w:rsidP="0086773D">
      <w:pPr>
        <w:pStyle w:val="ListParagraph"/>
        <w:numPr>
          <w:ilvl w:val="0"/>
          <w:numId w:val="7"/>
        </w:numPr>
        <w:tabs>
          <w:tab w:val="left" w:pos="1185"/>
        </w:tabs>
        <w:jc w:val="both"/>
      </w:pPr>
      <w:r w:rsidRPr="5B433211">
        <w:t xml:space="preserve">Exposure to any experimental diagnostic or therapeutic drug 30 days </w:t>
      </w:r>
      <w:r>
        <w:t>prior to</w:t>
      </w:r>
      <w:r w:rsidRPr="5B433211">
        <w:t xml:space="preserve"> the date of planned administration of </w:t>
      </w:r>
      <w:r w:rsidR="005A47EA" w:rsidRPr="009D2267">
        <w:rPr>
          <w:bCs/>
          <w:vertAlign w:val="superscript"/>
        </w:rPr>
        <w:t>89</w:t>
      </w:r>
      <w:r w:rsidR="005A47EA" w:rsidRPr="009D2267">
        <w:rPr>
          <w:bCs/>
        </w:rPr>
        <w:t>Zr-TLX250</w:t>
      </w:r>
      <w:r w:rsidR="005A47EA">
        <w:rPr>
          <w:b/>
        </w:rPr>
        <w:t xml:space="preserve"> </w:t>
      </w:r>
    </w:p>
    <w:p w14:paraId="4F838760" w14:textId="1BD6AEE6" w:rsidR="0086773D" w:rsidRPr="00305BC5" w:rsidRDefault="0086773D" w:rsidP="00632FB8">
      <w:pPr>
        <w:pStyle w:val="ListParagraph"/>
        <w:numPr>
          <w:ilvl w:val="0"/>
          <w:numId w:val="7"/>
        </w:numPr>
        <w:tabs>
          <w:tab w:val="left" w:pos="1185"/>
        </w:tabs>
        <w:spacing w:after="0" w:line="240" w:lineRule="auto"/>
        <w:jc w:val="both"/>
        <w:rPr>
          <w:rFonts w:cstheme="minorHAnsi"/>
        </w:rPr>
      </w:pPr>
      <w:r>
        <w:t>Contraindications to FDG PET</w:t>
      </w:r>
      <w:r w:rsidR="005A47EA">
        <w:t>/</w:t>
      </w:r>
      <w:r>
        <w:t>CT</w:t>
      </w:r>
    </w:p>
    <w:p w14:paraId="59DFC45B" w14:textId="77777777" w:rsidR="0086773D" w:rsidRDefault="0086773D" w:rsidP="00632FB8">
      <w:pPr>
        <w:pStyle w:val="ListParagraph"/>
      </w:pPr>
    </w:p>
    <w:p w14:paraId="4173DF4C" w14:textId="28107DC6" w:rsidR="0086773D" w:rsidRDefault="0086773D" w:rsidP="0086773D">
      <w:pPr>
        <w:pStyle w:val="ListParagraph"/>
        <w:spacing w:after="0" w:line="240" w:lineRule="auto"/>
        <w:ind w:left="397"/>
        <w:jc w:val="both"/>
        <w:rPr>
          <w:b/>
          <w:i/>
          <w:iCs/>
        </w:rPr>
      </w:pPr>
      <w:r w:rsidRPr="00632FB8">
        <w:rPr>
          <w:b/>
          <w:i/>
          <w:iCs/>
        </w:rPr>
        <w:t>4.2.3 Recruitment</w:t>
      </w:r>
    </w:p>
    <w:p w14:paraId="1BB5CD34" w14:textId="288E072E" w:rsidR="0086773D" w:rsidRDefault="0086773D" w:rsidP="0086773D">
      <w:pPr>
        <w:pStyle w:val="ListParagraph"/>
        <w:spacing w:after="0" w:line="240" w:lineRule="auto"/>
        <w:ind w:left="397"/>
        <w:jc w:val="both"/>
        <w:rPr>
          <w:b/>
          <w:i/>
          <w:iCs/>
        </w:rPr>
      </w:pPr>
    </w:p>
    <w:p w14:paraId="6BB62788" w14:textId="326BE540" w:rsidR="0086773D" w:rsidRDefault="0086773D" w:rsidP="00632FB8">
      <w:pPr>
        <w:spacing w:after="0" w:line="240" w:lineRule="auto"/>
        <w:jc w:val="both"/>
      </w:pPr>
      <w:r w:rsidRPr="005E1225">
        <w:rPr>
          <w:bCs/>
        </w:rPr>
        <w:t xml:space="preserve">Potential patients of this study will be recruited by the urological and the medical oncology service at the study site and undergo a formal screening visit. Patients will be approached to </w:t>
      </w:r>
      <w:r w:rsidR="00475ED7">
        <w:rPr>
          <w:bCs/>
        </w:rPr>
        <w:t>determine if</w:t>
      </w:r>
      <w:r w:rsidRPr="00BF49CE">
        <w:rPr>
          <w:bCs/>
        </w:rPr>
        <w:t xml:space="preserve"> they would be interested in participating in the</w:t>
      </w:r>
      <w:r w:rsidR="00475ED7">
        <w:rPr>
          <w:bCs/>
        </w:rPr>
        <w:t xml:space="preserve"> ZiPUP</w:t>
      </w:r>
      <w:r w:rsidRPr="00BF49CE">
        <w:rPr>
          <w:bCs/>
        </w:rPr>
        <w:t xml:space="preserve"> study. Interested patients will be pr</w:t>
      </w:r>
      <w:r w:rsidRPr="006949F2">
        <w:rPr>
          <w:bCs/>
        </w:rPr>
        <w:t>ovided with an information sheet and will undergo an infor</w:t>
      </w:r>
      <w:r w:rsidRPr="00176B9F">
        <w:rPr>
          <w:bCs/>
        </w:rPr>
        <w:t>med consent procedure prior to any study procedures. Should the patient consent to the study, a study schedule will be planned. A</w:t>
      </w:r>
      <w:r w:rsidRPr="008D4C74">
        <w:rPr>
          <w:bCs/>
        </w:rPr>
        <w:t xml:space="preserve">dministration of </w:t>
      </w:r>
      <w:r w:rsidR="005A47EA" w:rsidRPr="009D2267">
        <w:rPr>
          <w:bCs/>
          <w:vertAlign w:val="superscript"/>
        </w:rPr>
        <w:t>89</w:t>
      </w:r>
      <w:r w:rsidR="005A47EA" w:rsidRPr="009D2267">
        <w:rPr>
          <w:bCs/>
        </w:rPr>
        <w:t>Zr-TLX250</w:t>
      </w:r>
      <w:r w:rsidR="005A47EA">
        <w:rPr>
          <w:b/>
        </w:rPr>
        <w:t xml:space="preserve"> </w:t>
      </w:r>
      <w:r>
        <w:t xml:space="preserve">on Day 0 will be performed. Recruitment would be stopped </w:t>
      </w:r>
      <w:r w:rsidR="00475ED7">
        <w:t xml:space="preserve">after </w:t>
      </w:r>
      <w:r>
        <w:t xml:space="preserve">10 metastatic urothelial carcinoma or bladder cancer patients and 10 primary staging urothelial carcinoma or bladder cancer patients have been recruited. </w:t>
      </w:r>
    </w:p>
    <w:p w14:paraId="5E9610AB" w14:textId="3E0A54C0" w:rsidR="0086773D" w:rsidRDefault="0086773D" w:rsidP="0086773D">
      <w:pPr>
        <w:pStyle w:val="ListParagraph"/>
        <w:spacing w:after="0" w:line="240" w:lineRule="auto"/>
        <w:ind w:left="397"/>
        <w:jc w:val="both"/>
      </w:pPr>
    </w:p>
    <w:p w14:paraId="434C6325" w14:textId="38B59D51" w:rsidR="0086773D" w:rsidRDefault="0086773D" w:rsidP="0086773D">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4.3 Withdrawal of Patients from Study Participation or Medication </w:t>
      </w:r>
    </w:p>
    <w:p w14:paraId="703A1AE4" w14:textId="77777777" w:rsidR="0086773D" w:rsidRPr="00632FB8" w:rsidRDefault="0086773D" w:rsidP="00632FB8">
      <w:pPr>
        <w:pStyle w:val="Default"/>
        <w:ind w:left="397"/>
        <w:rPr>
          <w:rFonts w:asciiTheme="minorHAnsi" w:hAnsiTheme="minorHAnsi" w:cstheme="minorHAnsi"/>
          <w:sz w:val="22"/>
          <w:szCs w:val="22"/>
        </w:rPr>
      </w:pPr>
    </w:p>
    <w:p w14:paraId="64845622" w14:textId="00268701" w:rsidR="0086773D" w:rsidRDefault="0086773D" w:rsidP="0086773D">
      <w:pPr>
        <w:pStyle w:val="Default"/>
        <w:ind w:left="397"/>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4.3.1 Withdrawal </w:t>
      </w:r>
    </w:p>
    <w:p w14:paraId="6115F3AC" w14:textId="77777777" w:rsidR="0086773D" w:rsidRPr="00632FB8" w:rsidRDefault="0086773D" w:rsidP="00632FB8">
      <w:pPr>
        <w:pStyle w:val="Default"/>
        <w:ind w:left="397"/>
        <w:rPr>
          <w:rFonts w:asciiTheme="minorHAnsi" w:hAnsiTheme="minorHAnsi" w:cstheme="minorHAnsi"/>
          <w:i/>
          <w:iCs/>
          <w:sz w:val="22"/>
          <w:szCs w:val="22"/>
        </w:rPr>
      </w:pPr>
    </w:p>
    <w:p w14:paraId="3E0C3828" w14:textId="77777777" w:rsidR="00E94960" w:rsidRDefault="0086773D"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Patients may decide to withdraw from the study at any time for any reason without prejudice to their further medical care. </w:t>
      </w:r>
    </w:p>
    <w:p w14:paraId="413B8676" w14:textId="77777777" w:rsidR="00E94960" w:rsidRDefault="00E94960" w:rsidP="00632FB8">
      <w:pPr>
        <w:pStyle w:val="Default"/>
        <w:jc w:val="both"/>
        <w:rPr>
          <w:rFonts w:asciiTheme="minorHAnsi" w:hAnsiTheme="minorHAnsi" w:cstheme="minorHAnsi"/>
          <w:sz w:val="22"/>
          <w:szCs w:val="22"/>
        </w:rPr>
      </w:pPr>
    </w:p>
    <w:p w14:paraId="43E9526F" w14:textId="75D32B92" w:rsidR="0086773D" w:rsidRPr="00632FB8" w:rsidRDefault="0086773D"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investigator may withdraw a patient for any of the following reasons: </w:t>
      </w:r>
    </w:p>
    <w:p w14:paraId="690C3E5E" w14:textId="65C95CE3" w:rsidR="0086773D" w:rsidRPr="00632FB8" w:rsidRDefault="0086773D" w:rsidP="00632FB8">
      <w:pPr>
        <w:pStyle w:val="Default"/>
        <w:numPr>
          <w:ilvl w:val="0"/>
          <w:numId w:val="23"/>
        </w:numPr>
        <w:rPr>
          <w:rFonts w:asciiTheme="minorHAnsi" w:hAnsiTheme="minorHAnsi" w:cstheme="minorHAnsi"/>
          <w:sz w:val="22"/>
          <w:szCs w:val="22"/>
        </w:rPr>
      </w:pPr>
      <w:r w:rsidRPr="00632FB8">
        <w:rPr>
          <w:rFonts w:asciiTheme="minorHAnsi" w:hAnsiTheme="minorHAnsi" w:cstheme="minorHAnsi"/>
          <w:sz w:val="22"/>
          <w:szCs w:val="22"/>
        </w:rPr>
        <w:lastRenderedPageBreak/>
        <w:t>Adverse event (AE): if patient is unwilling to continue because of an AE or if continued participation of the patient would be an unnecessary risk to the patien</w:t>
      </w:r>
      <w:r>
        <w:rPr>
          <w:rFonts w:asciiTheme="minorHAnsi" w:hAnsiTheme="minorHAnsi" w:cstheme="minorHAnsi"/>
          <w:sz w:val="22"/>
          <w:szCs w:val="22"/>
        </w:rPr>
        <w:t>t’</w:t>
      </w:r>
      <w:r w:rsidRPr="00632FB8">
        <w:rPr>
          <w:rFonts w:asciiTheme="minorHAnsi" w:hAnsiTheme="minorHAnsi" w:cstheme="minorHAnsi"/>
          <w:sz w:val="22"/>
          <w:szCs w:val="22"/>
        </w:rPr>
        <w:t xml:space="preserve">s health, in the opinion of the investigator. </w:t>
      </w:r>
    </w:p>
    <w:p w14:paraId="15C19862" w14:textId="0F63973F" w:rsidR="0086773D" w:rsidRPr="00632FB8" w:rsidRDefault="0086773D" w:rsidP="00632FB8">
      <w:pPr>
        <w:pStyle w:val="Default"/>
        <w:numPr>
          <w:ilvl w:val="0"/>
          <w:numId w:val="23"/>
        </w:numPr>
        <w:rPr>
          <w:rFonts w:asciiTheme="minorHAnsi" w:hAnsiTheme="minorHAnsi" w:cstheme="minorHAnsi"/>
          <w:sz w:val="22"/>
          <w:szCs w:val="22"/>
        </w:rPr>
      </w:pPr>
      <w:r w:rsidRPr="00632FB8">
        <w:rPr>
          <w:rFonts w:asciiTheme="minorHAnsi" w:hAnsiTheme="minorHAnsi" w:cstheme="minorHAnsi"/>
          <w:sz w:val="22"/>
          <w:szCs w:val="22"/>
        </w:rPr>
        <w:t xml:space="preserve">Non-compliance </w:t>
      </w:r>
    </w:p>
    <w:p w14:paraId="3EFFA139" w14:textId="17A8B90C" w:rsidR="0086773D" w:rsidRPr="00632FB8" w:rsidRDefault="0086773D" w:rsidP="00632FB8">
      <w:pPr>
        <w:pStyle w:val="Default"/>
        <w:numPr>
          <w:ilvl w:val="0"/>
          <w:numId w:val="23"/>
        </w:numPr>
        <w:rPr>
          <w:rFonts w:asciiTheme="minorHAnsi" w:hAnsiTheme="minorHAnsi" w:cstheme="minorHAnsi"/>
          <w:sz w:val="22"/>
          <w:szCs w:val="22"/>
        </w:rPr>
      </w:pPr>
      <w:r w:rsidRPr="00632FB8">
        <w:rPr>
          <w:rFonts w:asciiTheme="minorHAnsi" w:hAnsiTheme="minorHAnsi" w:cstheme="minorHAnsi"/>
          <w:sz w:val="22"/>
          <w:szCs w:val="22"/>
        </w:rPr>
        <w:t xml:space="preserve">Protocol violation </w:t>
      </w:r>
    </w:p>
    <w:p w14:paraId="6FD8D555" w14:textId="45389ED2" w:rsidR="0086773D" w:rsidRPr="00632FB8" w:rsidRDefault="0086773D" w:rsidP="00632FB8">
      <w:pPr>
        <w:pStyle w:val="Default"/>
        <w:numPr>
          <w:ilvl w:val="0"/>
          <w:numId w:val="23"/>
        </w:numPr>
        <w:rPr>
          <w:rFonts w:asciiTheme="minorHAnsi" w:hAnsiTheme="minorHAnsi" w:cstheme="minorHAnsi"/>
          <w:sz w:val="22"/>
          <w:szCs w:val="22"/>
        </w:rPr>
      </w:pPr>
      <w:r w:rsidRPr="00632FB8">
        <w:rPr>
          <w:rFonts w:asciiTheme="minorHAnsi" w:hAnsiTheme="minorHAnsi" w:cstheme="minorHAnsi"/>
          <w:sz w:val="22"/>
          <w:szCs w:val="22"/>
        </w:rPr>
        <w:t xml:space="preserve">Pregnancy </w:t>
      </w:r>
    </w:p>
    <w:p w14:paraId="6C7CFE9C" w14:textId="4A93B082" w:rsidR="0086773D" w:rsidRDefault="0086773D" w:rsidP="005E1225">
      <w:pPr>
        <w:pStyle w:val="Default"/>
        <w:numPr>
          <w:ilvl w:val="0"/>
          <w:numId w:val="23"/>
        </w:numPr>
        <w:rPr>
          <w:rFonts w:asciiTheme="minorHAnsi" w:hAnsiTheme="minorHAnsi" w:cstheme="minorHAnsi"/>
          <w:sz w:val="22"/>
          <w:szCs w:val="22"/>
        </w:rPr>
      </w:pPr>
      <w:r w:rsidRPr="00632FB8">
        <w:rPr>
          <w:rFonts w:asciiTheme="minorHAnsi" w:hAnsiTheme="minorHAnsi" w:cstheme="minorHAnsi"/>
          <w:sz w:val="22"/>
          <w:szCs w:val="22"/>
        </w:rPr>
        <w:t xml:space="preserve">Lost to follow-up </w:t>
      </w:r>
    </w:p>
    <w:p w14:paraId="1EE757F3" w14:textId="2C25CE42" w:rsidR="0086773D" w:rsidRDefault="0086773D" w:rsidP="00BF49CE">
      <w:pPr>
        <w:pStyle w:val="Default"/>
        <w:rPr>
          <w:rFonts w:asciiTheme="minorHAnsi" w:hAnsiTheme="minorHAnsi" w:cstheme="minorHAnsi"/>
          <w:sz w:val="22"/>
          <w:szCs w:val="22"/>
        </w:rPr>
      </w:pPr>
    </w:p>
    <w:p w14:paraId="416690AB" w14:textId="71248FFA" w:rsidR="0086773D" w:rsidRDefault="0086773D" w:rsidP="0086773D">
      <w:pPr>
        <w:pStyle w:val="Default"/>
        <w:ind w:left="360"/>
        <w:rPr>
          <w:rFonts w:asciiTheme="minorHAnsi" w:hAnsiTheme="minorHAnsi" w:cstheme="minorHAnsi"/>
          <w:b/>
          <w:bCs/>
          <w:i/>
          <w:iCs/>
          <w:sz w:val="22"/>
          <w:szCs w:val="22"/>
        </w:rPr>
      </w:pPr>
      <w:r w:rsidRPr="00632FB8">
        <w:rPr>
          <w:rFonts w:asciiTheme="minorHAnsi" w:hAnsiTheme="minorHAnsi" w:cstheme="minorHAnsi"/>
          <w:b/>
          <w:bCs/>
          <w:i/>
          <w:iCs/>
          <w:sz w:val="22"/>
          <w:szCs w:val="22"/>
        </w:rPr>
        <w:t>4.3.2 Replacement</w:t>
      </w:r>
    </w:p>
    <w:p w14:paraId="22B45798" w14:textId="7B9119BD" w:rsidR="0086773D" w:rsidRDefault="0086773D" w:rsidP="0086773D">
      <w:pPr>
        <w:pStyle w:val="Default"/>
        <w:ind w:left="360"/>
        <w:rPr>
          <w:rFonts w:asciiTheme="minorHAnsi" w:hAnsiTheme="minorHAnsi" w:cstheme="minorHAnsi"/>
          <w:b/>
          <w:bCs/>
          <w:i/>
          <w:iCs/>
          <w:sz w:val="22"/>
          <w:szCs w:val="22"/>
        </w:rPr>
      </w:pPr>
    </w:p>
    <w:p w14:paraId="72D75CDA" w14:textId="271E8703" w:rsidR="0086773D" w:rsidRPr="00632FB8" w:rsidRDefault="0086773D"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 patient who is included in the study, but then fulfils any one of the following, will be considered </w:t>
      </w:r>
      <w:r w:rsidR="005E1225">
        <w:rPr>
          <w:rFonts w:asciiTheme="minorHAnsi" w:hAnsiTheme="minorHAnsi" w:cstheme="minorHAnsi"/>
          <w:sz w:val="22"/>
          <w:szCs w:val="22"/>
        </w:rPr>
        <w:t xml:space="preserve">to have </w:t>
      </w:r>
      <w:r w:rsidRPr="00632FB8">
        <w:rPr>
          <w:rFonts w:asciiTheme="minorHAnsi" w:hAnsiTheme="minorHAnsi" w:cstheme="minorHAnsi"/>
          <w:sz w:val="22"/>
          <w:szCs w:val="22"/>
        </w:rPr>
        <w:t>drop</w:t>
      </w:r>
      <w:r w:rsidR="005E1225">
        <w:rPr>
          <w:rFonts w:asciiTheme="minorHAnsi" w:hAnsiTheme="minorHAnsi" w:cstheme="minorHAnsi"/>
          <w:sz w:val="22"/>
          <w:szCs w:val="22"/>
        </w:rPr>
        <w:t>ped</w:t>
      </w:r>
      <w:r w:rsidRPr="00632FB8">
        <w:rPr>
          <w:rFonts w:asciiTheme="minorHAnsi" w:hAnsiTheme="minorHAnsi" w:cstheme="minorHAnsi"/>
          <w:sz w:val="22"/>
          <w:szCs w:val="22"/>
        </w:rPr>
        <w:t xml:space="preserve">-out: </w:t>
      </w:r>
    </w:p>
    <w:p w14:paraId="4B121274" w14:textId="7046926D" w:rsidR="0086773D" w:rsidRPr="00632FB8" w:rsidRDefault="0086773D" w:rsidP="00632FB8">
      <w:pPr>
        <w:pStyle w:val="Default"/>
        <w:numPr>
          <w:ilvl w:val="0"/>
          <w:numId w:val="29"/>
        </w:numPr>
        <w:rPr>
          <w:rFonts w:asciiTheme="minorHAnsi" w:hAnsiTheme="minorHAnsi" w:cstheme="minorHAnsi"/>
          <w:sz w:val="22"/>
          <w:szCs w:val="22"/>
        </w:rPr>
      </w:pPr>
      <w:r w:rsidRPr="00632FB8">
        <w:rPr>
          <w:rFonts w:asciiTheme="minorHAnsi" w:hAnsiTheme="minorHAnsi" w:cstheme="minorHAnsi"/>
          <w:sz w:val="22"/>
          <w:szCs w:val="22"/>
        </w:rPr>
        <w:t xml:space="preserve">Has not received </w:t>
      </w:r>
      <w:r w:rsidR="00475ED7">
        <w:rPr>
          <w:rFonts w:asciiTheme="minorHAnsi" w:hAnsiTheme="minorHAnsi" w:cstheme="minorHAnsi"/>
          <w:sz w:val="22"/>
          <w:szCs w:val="22"/>
        </w:rPr>
        <w:t xml:space="preserve">an administration of intravenous </w:t>
      </w:r>
      <w:r w:rsidR="005A47EA" w:rsidRPr="00632FB8">
        <w:rPr>
          <w:rFonts w:asciiTheme="minorHAnsi" w:hAnsiTheme="minorHAnsi" w:cstheme="minorHAnsi"/>
          <w:bCs/>
          <w:sz w:val="22"/>
          <w:szCs w:val="22"/>
          <w:vertAlign w:val="superscript"/>
        </w:rPr>
        <w:t>89</w:t>
      </w:r>
      <w:r w:rsidR="005A47EA" w:rsidRPr="00632FB8">
        <w:rPr>
          <w:rFonts w:asciiTheme="minorHAnsi" w:hAnsiTheme="minorHAnsi" w:cstheme="minorHAnsi"/>
          <w:bCs/>
          <w:sz w:val="22"/>
          <w:szCs w:val="22"/>
        </w:rPr>
        <w:t>Zr-TLX250</w:t>
      </w:r>
    </w:p>
    <w:p w14:paraId="0F5ABE57" w14:textId="4C7F977D" w:rsidR="0086773D" w:rsidRPr="00632FB8" w:rsidRDefault="0086773D" w:rsidP="00632FB8">
      <w:pPr>
        <w:pStyle w:val="Default"/>
        <w:numPr>
          <w:ilvl w:val="0"/>
          <w:numId w:val="29"/>
        </w:numPr>
        <w:jc w:val="both"/>
        <w:rPr>
          <w:rFonts w:asciiTheme="minorHAnsi" w:hAnsiTheme="minorHAnsi" w:cstheme="minorHAnsi"/>
          <w:sz w:val="22"/>
          <w:szCs w:val="22"/>
        </w:rPr>
      </w:pPr>
      <w:r w:rsidRPr="00632FB8">
        <w:rPr>
          <w:rFonts w:asciiTheme="minorHAnsi" w:hAnsiTheme="minorHAnsi" w:cstheme="minorHAnsi"/>
          <w:sz w:val="22"/>
          <w:szCs w:val="22"/>
        </w:rPr>
        <w:t>Did not undergo PET/CT imaging after IV administration of study drug</w:t>
      </w:r>
    </w:p>
    <w:p w14:paraId="2744CD0C" w14:textId="4D5ABC49" w:rsidR="0086773D" w:rsidRDefault="0086773D" w:rsidP="00632FB8">
      <w:pPr>
        <w:pStyle w:val="Default"/>
        <w:numPr>
          <w:ilvl w:val="0"/>
          <w:numId w:val="29"/>
        </w:numPr>
        <w:jc w:val="both"/>
        <w:rPr>
          <w:rFonts w:asciiTheme="minorHAnsi" w:hAnsiTheme="minorHAnsi" w:cstheme="minorHAnsi"/>
          <w:sz w:val="22"/>
          <w:szCs w:val="22"/>
        </w:rPr>
      </w:pPr>
      <w:r w:rsidRPr="00632FB8">
        <w:rPr>
          <w:rFonts w:asciiTheme="minorHAnsi" w:hAnsiTheme="minorHAnsi" w:cstheme="minorHAnsi"/>
          <w:sz w:val="22"/>
          <w:szCs w:val="22"/>
        </w:rPr>
        <w:t>Whose PET/CT images can</w:t>
      </w:r>
      <w:r>
        <w:rPr>
          <w:rFonts w:asciiTheme="minorHAnsi" w:hAnsiTheme="minorHAnsi" w:cstheme="minorHAnsi"/>
          <w:sz w:val="22"/>
          <w:szCs w:val="22"/>
        </w:rPr>
        <w:t>n</w:t>
      </w:r>
      <w:r w:rsidRPr="00632FB8">
        <w:rPr>
          <w:rFonts w:asciiTheme="minorHAnsi" w:hAnsiTheme="minorHAnsi" w:cstheme="minorHAnsi"/>
          <w:sz w:val="22"/>
          <w:szCs w:val="22"/>
        </w:rPr>
        <w:t xml:space="preserve">ot be analysed due to technical failure </w:t>
      </w:r>
    </w:p>
    <w:p w14:paraId="2CF6189C" w14:textId="77777777" w:rsidR="00DE0565" w:rsidRDefault="00DE0565" w:rsidP="00632FB8">
      <w:pPr>
        <w:pStyle w:val="Default"/>
        <w:ind w:left="1080"/>
        <w:jc w:val="both"/>
        <w:rPr>
          <w:rFonts w:asciiTheme="minorHAnsi" w:hAnsiTheme="minorHAnsi" w:cstheme="minorHAnsi"/>
          <w:sz w:val="22"/>
          <w:szCs w:val="22"/>
        </w:rPr>
      </w:pPr>
    </w:p>
    <w:p w14:paraId="6ACBEB88" w14:textId="5E6C590E" w:rsidR="0086773D" w:rsidRDefault="0086773D"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Patients who drop</w:t>
      </w:r>
      <w:r w:rsidR="005E1225">
        <w:rPr>
          <w:rFonts w:asciiTheme="minorHAnsi" w:hAnsiTheme="minorHAnsi" w:cstheme="minorHAnsi"/>
          <w:sz w:val="22"/>
          <w:szCs w:val="22"/>
        </w:rPr>
        <w:t>-</w:t>
      </w:r>
      <w:r w:rsidRPr="00632FB8">
        <w:rPr>
          <w:rFonts w:asciiTheme="minorHAnsi" w:hAnsiTheme="minorHAnsi" w:cstheme="minorHAnsi"/>
          <w:sz w:val="22"/>
          <w:szCs w:val="22"/>
        </w:rPr>
        <w:t>out of the study will be replaced. All patients who drop</w:t>
      </w:r>
      <w:r w:rsidR="005E1225">
        <w:rPr>
          <w:rFonts w:asciiTheme="minorHAnsi" w:hAnsiTheme="minorHAnsi" w:cstheme="minorHAnsi"/>
          <w:sz w:val="22"/>
          <w:szCs w:val="22"/>
        </w:rPr>
        <w:t>-</w:t>
      </w:r>
      <w:r w:rsidRPr="00632FB8">
        <w:rPr>
          <w:rFonts w:asciiTheme="minorHAnsi" w:hAnsiTheme="minorHAnsi" w:cstheme="minorHAnsi"/>
          <w:sz w:val="22"/>
          <w:szCs w:val="22"/>
        </w:rPr>
        <w:t xml:space="preserve">out after receiving IV </w:t>
      </w:r>
      <w:r w:rsidR="005A47EA" w:rsidRPr="00632FB8">
        <w:rPr>
          <w:rFonts w:asciiTheme="minorHAnsi" w:hAnsiTheme="minorHAnsi" w:cstheme="minorHAnsi"/>
          <w:bCs/>
          <w:sz w:val="22"/>
          <w:szCs w:val="22"/>
          <w:vertAlign w:val="superscript"/>
        </w:rPr>
        <w:t>89</w:t>
      </w:r>
      <w:r w:rsidR="005A47EA" w:rsidRPr="00632FB8">
        <w:rPr>
          <w:rFonts w:asciiTheme="minorHAnsi" w:hAnsiTheme="minorHAnsi" w:cstheme="minorHAnsi"/>
          <w:bCs/>
          <w:sz w:val="22"/>
          <w:szCs w:val="22"/>
        </w:rPr>
        <w:t>Zr-TLX250</w:t>
      </w:r>
      <w:r w:rsidR="005A47EA">
        <w:t xml:space="preserve"> </w:t>
      </w:r>
      <w:r w:rsidRPr="00632FB8">
        <w:rPr>
          <w:rFonts w:asciiTheme="minorHAnsi" w:hAnsiTheme="minorHAnsi" w:cstheme="minorHAnsi"/>
          <w:sz w:val="22"/>
          <w:szCs w:val="22"/>
        </w:rPr>
        <w:t xml:space="preserve">will need to </w:t>
      </w:r>
      <w:r w:rsidR="002F06D1">
        <w:rPr>
          <w:rFonts w:asciiTheme="minorHAnsi" w:hAnsiTheme="minorHAnsi" w:cstheme="minorHAnsi"/>
          <w:sz w:val="22"/>
          <w:szCs w:val="22"/>
        </w:rPr>
        <w:t xml:space="preserve">undergo all study </w:t>
      </w:r>
      <w:r w:rsidR="005E1225">
        <w:rPr>
          <w:rFonts w:asciiTheme="minorHAnsi" w:hAnsiTheme="minorHAnsi" w:cstheme="minorHAnsi"/>
          <w:sz w:val="22"/>
          <w:szCs w:val="22"/>
        </w:rPr>
        <w:t>assessments (as set out by the schedule of evaluation in Table 3) until</w:t>
      </w:r>
      <w:r w:rsidRPr="00632FB8">
        <w:rPr>
          <w:rFonts w:asciiTheme="minorHAnsi" w:hAnsiTheme="minorHAnsi" w:cstheme="minorHAnsi"/>
          <w:sz w:val="22"/>
          <w:szCs w:val="22"/>
        </w:rPr>
        <w:t xml:space="preserve"> the final </w:t>
      </w:r>
      <w:r w:rsidR="00475ED7">
        <w:rPr>
          <w:rFonts w:asciiTheme="minorHAnsi" w:hAnsiTheme="minorHAnsi" w:cstheme="minorHAnsi"/>
          <w:sz w:val="22"/>
          <w:szCs w:val="22"/>
        </w:rPr>
        <w:t>follow-up phone call</w:t>
      </w:r>
      <w:r w:rsidRPr="00632FB8">
        <w:rPr>
          <w:rFonts w:asciiTheme="minorHAnsi" w:hAnsiTheme="minorHAnsi" w:cstheme="minorHAnsi"/>
          <w:sz w:val="22"/>
          <w:szCs w:val="22"/>
        </w:rPr>
        <w:t xml:space="preserve">. </w:t>
      </w:r>
    </w:p>
    <w:p w14:paraId="0ADC1139" w14:textId="77777777" w:rsidR="0086773D" w:rsidRPr="00632FB8" w:rsidRDefault="0086773D" w:rsidP="00632FB8">
      <w:pPr>
        <w:pStyle w:val="Default"/>
        <w:ind w:left="397"/>
        <w:jc w:val="both"/>
        <w:rPr>
          <w:rFonts w:asciiTheme="minorHAnsi" w:hAnsiTheme="minorHAnsi" w:cstheme="minorHAnsi"/>
          <w:sz w:val="22"/>
          <w:szCs w:val="22"/>
        </w:rPr>
      </w:pPr>
    </w:p>
    <w:p w14:paraId="1078C2E2" w14:textId="68DDD27A" w:rsidR="0086773D" w:rsidRDefault="0086773D"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Patients who have received study drug and are withdrawn due to an AE will not be replaced</w:t>
      </w:r>
      <w:r w:rsidR="005E1225">
        <w:rPr>
          <w:rFonts w:asciiTheme="minorHAnsi" w:hAnsiTheme="minorHAnsi" w:cstheme="minorHAnsi"/>
          <w:sz w:val="22"/>
          <w:szCs w:val="22"/>
        </w:rPr>
        <w:t xml:space="preserve">. </w:t>
      </w:r>
    </w:p>
    <w:p w14:paraId="26AC4692" w14:textId="3A1C16BF" w:rsidR="00DE0565" w:rsidRDefault="00DE0565" w:rsidP="0086773D">
      <w:pPr>
        <w:pStyle w:val="Default"/>
        <w:ind w:left="397"/>
        <w:rPr>
          <w:rFonts w:asciiTheme="minorHAnsi" w:hAnsiTheme="minorHAnsi" w:cstheme="minorHAnsi"/>
          <w:sz w:val="22"/>
          <w:szCs w:val="22"/>
        </w:rPr>
      </w:pPr>
    </w:p>
    <w:p w14:paraId="62A170B5" w14:textId="0DEA4A71" w:rsidR="00DE0565" w:rsidRPr="00632FB8" w:rsidRDefault="00DE0565" w:rsidP="0086773D">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4.4 Patient Identification</w:t>
      </w:r>
    </w:p>
    <w:p w14:paraId="70367696" w14:textId="747058C4" w:rsidR="00DE0565" w:rsidRDefault="00DE0565" w:rsidP="0086773D">
      <w:pPr>
        <w:pStyle w:val="Default"/>
        <w:ind w:left="397"/>
        <w:rPr>
          <w:rFonts w:asciiTheme="minorHAnsi" w:hAnsiTheme="minorHAnsi" w:cstheme="minorHAnsi"/>
          <w:sz w:val="22"/>
          <w:szCs w:val="22"/>
        </w:rPr>
      </w:pPr>
    </w:p>
    <w:p w14:paraId="150A5636" w14:textId="76666B6B" w:rsidR="00DE0565" w:rsidRPr="00632FB8" w:rsidRDefault="00DE0565" w:rsidP="00632FB8">
      <w:pPr>
        <w:pStyle w:val="Default"/>
        <w:jc w:val="both"/>
        <w:rPr>
          <w:rFonts w:asciiTheme="minorHAnsi" w:hAnsiTheme="minorHAnsi" w:cstheme="minorHAnsi"/>
          <w:sz w:val="22"/>
          <w:szCs w:val="22"/>
        </w:rPr>
      </w:pPr>
      <w:r>
        <w:rPr>
          <w:rFonts w:asciiTheme="minorHAnsi" w:hAnsiTheme="minorHAnsi" w:cstheme="minorHAnsi"/>
          <w:sz w:val="22"/>
          <w:szCs w:val="22"/>
        </w:rPr>
        <w:t>All patients who provide informed consent for the study w</w:t>
      </w:r>
      <w:r w:rsidR="00CB33E1">
        <w:rPr>
          <w:rFonts w:asciiTheme="minorHAnsi" w:hAnsiTheme="minorHAnsi" w:cstheme="minorHAnsi"/>
          <w:sz w:val="22"/>
          <w:szCs w:val="22"/>
        </w:rPr>
        <w:t>ill</w:t>
      </w:r>
      <w:r>
        <w:rPr>
          <w:rFonts w:asciiTheme="minorHAnsi" w:hAnsiTheme="minorHAnsi" w:cstheme="minorHAnsi"/>
          <w:sz w:val="22"/>
          <w:szCs w:val="22"/>
        </w:rPr>
        <w:t xml:space="preserve"> be assigned a unique identification number (“Patient Number”) that consists of 5 digits. </w:t>
      </w:r>
      <w:r w:rsidR="005E1225">
        <w:rPr>
          <w:rFonts w:asciiTheme="minorHAnsi" w:hAnsiTheme="minorHAnsi" w:cstheme="minorHAnsi"/>
          <w:sz w:val="22"/>
          <w:szCs w:val="22"/>
        </w:rPr>
        <w:t>Each patient’s p</w:t>
      </w:r>
      <w:r>
        <w:rPr>
          <w:rFonts w:asciiTheme="minorHAnsi" w:hAnsiTheme="minorHAnsi" w:cstheme="minorHAnsi"/>
          <w:sz w:val="22"/>
          <w:szCs w:val="22"/>
        </w:rPr>
        <w:t>atient number w</w:t>
      </w:r>
      <w:r w:rsidR="005E1225">
        <w:rPr>
          <w:rFonts w:asciiTheme="minorHAnsi" w:hAnsiTheme="minorHAnsi" w:cstheme="minorHAnsi"/>
          <w:sz w:val="22"/>
          <w:szCs w:val="22"/>
        </w:rPr>
        <w:t>ill</w:t>
      </w:r>
      <w:r>
        <w:rPr>
          <w:rFonts w:asciiTheme="minorHAnsi" w:hAnsiTheme="minorHAnsi" w:cstheme="minorHAnsi"/>
          <w:sz w:val="22"/>
          <w:szCs w:val="22"/>
        </w:rPr>
        <w:t xml:space="preserve"> be assigned at the time of recruitment. The study site is required to keep a patient identification list in the trial master file (TMF), identifying their patients by name, date of birth, patient number and status (screen failure/completed stud /withdrawn). This list will remain on site to protect confidentiality. </w:t>
      </w:r>
    </w:p>
    <w:p w14:paraId="0895585B" w14:textId="3F28F01B" w:rsidR="0086773D" w:rsidRDefault="0086773D" w:rsidP="00632FB8">
      <w:pPr>
        <w:pStyle w:val="Default"/>
        <w:ind w:left="360"/>
        <w:jc w:val="both"/>
        <w:rPr>
          <w:rFonts w:asciiTheme="minorHAnsi" w:hAnsiTheme="minorHAnsi" w:cstheme="minorHAnsi"/>
          <w:sz w:val="22"/>
          <w:szCs w:val="22"/>
        </w:rPr>
      </w:pPr>
    </w:p>
    <w:p w14:paraId="209000BF" w14:textId="19E411B3" w:rsidR="00DE0565" w:rsidRDefault="00DE0565" w:rsidP="0086773D">
      <w:pPr>
        <w:pStyle w:val="Default"/>
        <w:ind w:left="360"/>
        <w:rPr>
          <w:rFonts w:asciiTheme="minorHAnsi" w:hAnsiTheme="minorHAnsi" w:cstheme="minorHAnsi"/>
          <w:b/>
          <w:bCs/>
          <w:sz w:val="22"/>
          <w:szCs w:val="22"/>
        </w:rPr>
      </w:pPr>
      <w:r w:rsidRPr="00632FB8">
        <w:rPr>
          <w:rFonts w:asciiTheme="minorHAnsi" w:hAnsiTheme="minorHAnsi" w:cstheme="minorHAnsi"/>
          <w:b/>
          <w:bCs/>
          <w:sz w:val="22"/>
          <w:szCs w:val="22"/>
        </w:rPr>
        <w:t>5. Study Treatment</w:t>
      </w:r>
    </w:p>
    <w:p w14:paraId="5D87CFE6" w14:textId="3E3F9C85" w:rsidR="00DE0565" w:rsidRDefault="00DE0565" w:rsidP="0086773D">
      <w:pPr>
        <w:pStyle w:val="Default"/>
        <w:ind w:left="360"/>
        <w:rPr>
          <w:rFonts w:asciiTheme="minorHAnsi" w:hAnsiTheme="minorHAnsi" w:cstheme="minorHAnsi"/>
          <w:b/>
          <w:bCs/>
          <w:sz w:val="22"/>
          <w:szCs w:val="22"/>
        </w:rPr>
      </w:pPr>
    </w:p>
    <w:p w14:paraId="29647EB9" w14:textId="5D93CE2B" w:rsidR="00DE0565" w:rsidRDefault="00DE0565" w:rsidP="0086773D">
      <w:pPr>
        <w:pStyle w:val="Default"/>
        <w:ind w:left="360"/>
        <w:rPr>
          <w:rFonts w:asciiTheme="minorHAnsi" w:hAnsiTheme="minorHAnsi" w:cstheme="minorHAnsi"/>
          <w:b/>
          <w:bCs/>
          <w:sz w:val="22"/>
          <w:szCs w:val="22"/>
        </w:rPr>
      </w:pPr>
      <w:r>
        <w:rPr>
          <w:rFonts w:asciiTheme="minorHAnsi" w:hAnsiTheme="minorHAnsi" w:cstheme="minorHAnsi"/>
          <w:b/>
          <w:bCs/>
          <w:sz w:val="22"/>
          <w:szCs w:val="22"/>
        </w:rPr>
        <w:t xml:space="preserve">5.1 Study drug </w:t>
      </w:r>
      <w:r w:rsidR="005A47EA" w:rsidRPr="00632FB8">
        <w:rPr>
          <w:rFonts w:asciiTheme="minorHAnsi" w:hAnsiTheme="minorHAnsi" w:cstheme="minorHAnsi"/>
          <w:b/>
          <w:sz w:val="22"/>
          <w:szCs w:val="22"/>
          <w:vertAlign w:val="superscript"/>
        </w:rPr>
        <w:t>89</w:t>
      </w:r>
      <w:r w:rsidR="005A47EA" w:rsidRPr="00632FB8">
        <w:rPr>
          <w:rFonts w:asciiTheme="minorHAnsi" w:hAnsiTheme="minorHAnsi" w:cstheme="minorHAnsi"/>
          <w:b/>
          <w:sz w:val="22"/>
          <w:szCs w:val="22"/>
        </w:rPr>
        <w:t xml:space="preserve">Zr-TLX250 </w:t>
      </w:r>
    </w:p>
    <w:p w14:paraId="07946BE8" w14:textId="63FC6A89" w:rsidR="00DE0565" w:rsidRDefault="00DE0565" w:rsidP="0086773D">
      <w:pPr>
        <w:pStyle w:val="Default"/>
        <w:ind w:left="360"/>
        <w:rPr>
          <w:rFonts w:asciiTheme="minorHAnsi" w:hAnsiTheme="minorHAnsi" w:cstheme="minorHAnsi"/>
          <w:b/>
          <w:bCs/>
          <w:sz w:val="22"/>
          <w:szCs w:val="22"/>
        </w:rPr>
      </w:pPr>
    </w:p>
    <w:p w14:paraId="65900001" w14:textId="79586A7D" w:rsidR="00DE0565" w:rsidRDefault="00DE0565" w:rsidP="0086773D">
      <w:pPr>
        <w:pStyle w:val="Default"/>
        <w:ind w:left="360"/>
        <w:rPr>
          <w:rFonts w:asciiTheme="minorHAnsi" w:hAnsiTheme="minorHAnsi" w:cstheme="minorHAnsi"/>
          <w:b/>
          <w:bCs/>
          <w:sz w:val="22"/>
          <w:szCs w:val="22"/>
        </w:rPr>
      </w:pPr>
      <w:r>
        <w:rPr>
          <w:rFonts w:asciiTheme="minorHAnsi" w:hAnsiTheme="minorHAnsi" w:cstheme="minorHAnsi"/>
          <w:b/>
          <w:bCs/>
          <w:sz w:val="22"/>
          <w:szCs w:val="22"/>
        </w:rPr>
        <w:t>5.1.1 Chemical Properties</w:t>
      </w:r>
    </w:p>
    <w:p w14:paraId="374A0EFC" w14:textId="77777777" w:rsidR="00043073" w:rsidRDefault="00043073" w:rsidP="0086773D">
      <w:pPr>
        <w:pStyle w:val="Default"/>
        <w:ind w:left="360"/>
        <w:rPr>
          <w:rFonts w:asciiTheme="minorHAnsi" w:hAnsiTheme="minorHAnsi" w:cstheme="minorHAnsi"/>
          <w:b/>
          <w:bCs/>
          <w:sz w:val="22"/>
          <w:szCs w:val="22"/>
        </w:rPr>
      </w:pPr>
    </w:p>
    <w:p w14:paraId="51ABC338" w14:textId="1C0DAFBF" w:rsidR="00DE0565" w:rsidRDefault="005A47EA" w:rsidP="00632FB8">
      <w:pPr>
        <w:pStyle w:val="Default"/>
        <w:rPr>
          <w:rFonts w:asciiTheme="minorHAnsi" w:hAnsiTheme="minorHAnsi" w:cstheme="minorHAnsi"/>
          <w:sz w:val="22"/>
          <w:szCs w:val="22"/>
        </w:rPr>
      </w:pPr>
      <w:r w:rsidRPr="00632FB8">
        <w:rPr>
          <w:rFonts w:asciiTheme="minorHAnsi" w:hAnsiTheme="minorHAnsi" w:cstheme="minorHAnsi"/>
          <w:bCs/>
          <w:sz w:val="22"/>
          <w:szCs w:val="22"/>
          <w:vertAlign w:val="superscript"/>
        </w:rPr>
        <w:t>89</w:t>
      </w:r>
      <w:r w:rsidRPr="00632FB8">
        <w:rPr>
          <w:rFonts w:asciiTheme="minorHAnsi" w:hAnsiTheme="minorHAnsi" w:cstheme="minorHAnsi"/>
          <w:bCs/>
          <w:sz w:val="22"/>
          <w:szCs w:val="22"/>
        </w:rPr>
        <w:t>Zr-TLX250</w:t>
      </w:r>
      <w:r>
        <w:rPr>
          <w:rFonts w:eastAsiaTheme="minorEastAsia"/>
        </w:rPr>
        <w:t xml:space="preserve"> </w:t>
      </w:r>
      <w:r w:rsidR="00DE0565">
        <w:rPr>
          <w:rFonts w:asciiTheme="minorHAnsi" w:hAnsiTheme="minorHAnsi" w:cstheme="minorHAnsi"/>
          <w:sz w:val="22"/>
          <w:szCs w:val="22"/>
        </w:rPr>
        <w:t xml:space="preserve">is a chimeric monoclonal antibody with specificity for the CAIX antigen, radiolabeled with the positron emitting radio-metal zirconium-89. Girentuximab has a CAS number of 916128-87-9. </w:t>
      </w:r>
    </w:p>
    <w:p w14:paraId="561FEE6D" w14:textId="220AAEE1" w:rsidR="00DE0565" w:rsidRDefault="00DE0565" w:rsidP="0086773D">
      <w:pPr>
        <w:pStyle w:val="Default"/>
        <w:ind w:left="360"/>
        <w:rPr>
          <w:rFonts w:asciiTheme="minorHAnsi" w:hAnsiTheme="minorHAnsi" w:cstheme="minorHAnsi"/>
          <w:sz w:val="22"/>
          <w:szCs w:val="22"/>
        </w:rPr>
      </w:pPr>
    </w:p>
    <w:p w14:paraId="0EE3BB11" w14:textId="4FFA415C" w:rsidR="00DE0565" w:rsidRPr="00632FB8"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The chemical formula, without the 89Zr, is C</w:t>
      </w:r>
      <w:r w:rsidRPr="00632FB8">
        <w:rPr>
          <w:rFonts w:asciiTheme="minorHAnsi" w:hAnsiTheme="minorHAnsi" w:cstheme="minorHAnsi"/>
          <w:sz w:val="22"/>
          <w:szCs w:val="22"/>
          <w:vertAlign w:val="subscript"/>
        </w:rPr>
        <w:t>6460</w:t>
      </w:r>
      <w:r w:rsidRPr="00632FB8">
        <w:rPr>
          <w:rFonts w:asciiTheme="minorHAnsi" w:hAnsiTheme="minorHAnsi" w:cstheme="minorHAnsi"/>
          <w:sz w:val="22"/>
          <w:szCs w:val="22"/>
        </w:rPr>
        <w:t>H</w:t>
      </w:r>
      <w:r w:rsidRPr="00632FB8">
        <w:rPr>
          <w:rFonts w:asciiTheme="minorHAnsi" w:hAnsiTheme="minorHAnsi" w:cstheme="minorHAnsi"/>
          <w:sz w:val="22"/>
          <w:szCs w:val="22"/>
          <w:vertAlign w:val="subscript"/>
        </w:rPr>
        <w:t>1006</w:t>
      </w:r>
      <w:r w:rsidRPr="00632FB8">
        <w:rPr>
          <w:rFonts w:asciiTheme="minorHAnsi" w:hAnsiTheme="minorHAnsi" w:cstheme="minorHAnsi"/>
          <w:sz w:val="22"/>
          <w:szCs w:val="22"/>
        </w:rPr>
        <w:t>N</w:t>
      </w:r>
      <w:r w:rsidRPr="00632FB8">
        <w:rPr>
          <w:rFonts w:asciiTheme="minorHAnsi" w:hAnsiTheme="minorHAnsi" w:cstheme="minorHAnsi"/>
          <w:sz w:val="22"/>
          <w:szCs w:val="22"/>
          <w:vertAlign w:val="subscript"/>
        </w:rPr>
        <w:t>1718</w:t>
      </w:r>
      <w:r w:rsidRPr="00632FB8">
        <w:rPr>
          <w:rFonts w:asciiTheme="minorHAnsi" w:hAnsiTheme="minorHAnsi" w:cstheme="minorHAnsi"/>
          <w:sz w:val="22"/>
          <w:szCs w:val="22"/>
        </w:rPr>
        <w:t>O</w:t>
      </w:r>
      <w:r w:rsidRPr="00632FB8">
        <w:rPr>
          <w:rFonts w:asciiTheme="minorHAnsi" w:hAnsiTheme="minorHAnsi" w:cstheme="minorHAnsi"/>
          <w:sz w:val="22"/>
          <w:szCs w:val="22"/>
          <w:vertAlign w:val="subscript"/>
        </w:rPr>
        <w:t>2018</w:t>
      </w:r>
      <w:r w:rsidRPr="00632FB8">
        <w:rPr>
          <w:rFonts w:asciiTheme="minorHAnsi" w:hAnsiTheme="minorHAnsi" w:cstheme="minorHAnsi"/>
          <w:sz w:val="22"/>
          <w:szCs w:val="22"/>
        </w:rPr>
        <w:t>S</w:t>
      </w:r>
      <w:r w:rsidRPr="00632FB8">
        <w:rPr>
          <w:rFonts w:asciiTheme="minorHAnsi" w:hAnsiTheme="minorHAnsi" w:cstheme="minorHAnsi"/>
          <w:sz w:val="22"/>
          <w:szCs w:val="22"/>
          <w:vertAlign w:val="subscript"/>
        </w:rPr>
        <w:t>48</w:t>
      </w:r>
      <w:r w:rsidRPr="00632FB8">
        <w:rPr>
          <w:rFonts w:asciiTheme="minorHAnsi" w:hAnsiTheme="minorHAnsi" w:cstheme="minorHAnsi"/>
          <w:sz w:val="22"/>
          <w:szCs w:val="22"/>
        </w:rPr>
        <w:t xml:space="preserve"> with a molecular mass of 146.5 kg/mol.</w:t>
      </w:r>
    </w:p>
    <w:p w14:paraId="4EAA3B51" w14:textId="73B2648B" w:rsidR="00DE0565" w:rsidRDefault="00DE0565" w:rsidP="0086773D">
      <w:pPr>
        <w:pStyle w:val="Default"/>
        <w:ind w:left="360"/>
        <w:rPr>
          <w:sz w:val="22"/>
          <w:szCs w:val="22"/>
        </w:rPr>
      </w:pPr>
    </w:p>
    <w:p w14:paraId="63C58372" w14:textId="1991B72B" w:rsidR="00DE0565" w:rsidRPr="00632FB8" w:rsidRDefault="00DE0565" w:rsidP="00632FB8">
      <w:pPr>
        <w:pStyle w:val="Default"/>
        <w:ind w:left="360"/>
        <w:rPr>
          <w:rFonts w:asciiTheme="minorHAnsi" w:hAnsiTheme="minorHAnsi" w:cstheme="minorHAnsi"/>
          <w:b/>
          <w:bCs/>
          <w:sz w:val="22"/>
          <w:szCs w:val="22"/>
        </w:rPr>
      </w:pPr>
      <w:r w:rsidRPr="00632FB8">
        <w:rPr>
          <w:rFonts w:asciiTheme="minorHAnsi" w:hAnsiTheme="minorHAnsi" w:cstheme="minorHAnsi"/>
          <w:b/>
          <w:bCs/>
          <w:sz w:val="22"/>
          <w:szCs w:val="22"/>
        </w:rPr>
        <w:t xml:space="preserve">5.1.2 Pharmaceutical Properties </w:t>
      </w:r>
    </w:p>
    <w:p w14:paraId="062CA7D1" w14:textId="77777777" w:rsidR="00DE0565" w:rsidRPr="00632FB8" w:rsidRDefault="00DE0565" w:rsidP="00DE0565">
      <w:pPr>
        <w:pStyle w:val="Default"/>
        <w:rPr>
          <w:rFonts w:asciiTheme="minorHAnsi" w:hAnsiTheme="minorHAnsi" w:cstheme="minorHAnsi"/>
          <w:sz w:val="22"/>
          <w:szCs w:val="22"/>
        </w:rPr>
      </w:pPr>
    </w:p>
    <w:p w14:paraId="1DC82BB3" w14:textId="308C7A3F" w:rsidR="00DE0565" w:rsidRPr="00632FB8" w:rsidRDefault="005A47EA" w:rsidP="00632FB8">
      <w:pPr>
        <w:pStyle w:val="Default"/>
        <w:rPr>
          <w:rFonts w:asciiTheme="minorHAnsi" w:hAnsiTheme="minorHAnsi" w:cstheme="minorHAnsi"/>
          <w:sz w:val="22"/>
          <w:szCs w:val="22"/>
        </w:rPr>
      </w:pPr>
      <w:r w:rsidRPr="00632FB8">
        <w:rPr>
          <w:rFonts w:asciiTheme="minorHAnsi" w:hAnsiTheme="minorHAnsi" w:cstheme="minorHAnsi"/>
          <w:bCs/>
          <w:sz w:val="22"/>
          <w:szCs w:val="22"/>
          <w:vertAlign w:val="superscript"/>
        </w:rPr>
        <w:t>89</w:t>
      </w:r>
      <w:r w:rsidRPr="00632FB8">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 xml:space="preserve">is formulated as a solution for intravenous administration in glass vials at the nominal dosage strength 37 MBq (±10%) for single intravenous use. The </w:t>
      </w: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 xml:space="preserve">is manufactured as “ready-to-use”. The composition of </w:t>
      </w: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solution for IV administration includes the active pharmaceutical ingredient in a buffered solution without other excipients</w:t>
      </w:r>
      <w:r w:rsidR="00475ED7">
        <w:rPr>
          <w:rFonts w:asciiTheme="minorHAnsi" w:hAnsiTheme="minorHAnsi" w:cstheme="minorHAnsi"/>
          <w:sz w:val="22"/>
          <w:szCs w:val="22"/>
        </w:rPr>
        <w:t xml:space="preserve">. Table 2 provides a detailed listing of the specifications of the </w:t>
      </w:r>
      <w:r w:rsidR="00475ED7" w:rsidRPr="00AC6DBC">
        <w:rPr>
          <w:rFonts w:asciiTheme="minorHAnsi" w:hAnsiTheme="minorHAnsi" w:cstheme="minorHAnsi"/>
          <w:sz w:val="22"/>
          <w:szCs w:val="22"/>
          <w:vertAlign w:val="superscript"/>
        </w:rPr>
        <w:t>89</w:t>
      </w:r>
      <w:r w:rsidR="00475ED7">
        <w:rPr>
          <w:rFonts w:asciiTheme="minorHAnsi" w:hAnsiTheme="minorHAnsi" w:cstheme="minorHAnsi"/>
          <w:sz w:val="22"/>
          <w:szCs w:val="22"/>
        </w:rPr>
        <w:t>Zr-TLX250 IMP.</w:t>
      </w:r>
    </w:p>
    <w:p w14:paraId="6F0C503D" w14:textId="2A0817FB" w:rsidR="00DE0565" w:rsidRDefault="00DE0565" w:rsidP="00DE0565">
      <w:pPr>
        <w:pStyle w:val="Default"/>
        <w:ind w:left="360"/>
        <w:rPr>
          <w:rFonts w:asciiTheme="minorHAnsi" w:hAnsiTheme="minorHAnsi" w:cstheme="minorHAnsi"/>
          <w:sz w:val="22"/>
          <w:szCs w:val="22"/>
        </w:rPr>
      </w:pPr>
    </w:p>
    <w:p w14:paraId="138CB840" w14:textId="183A990F" w:rsidR="00DE0565" w:rsidRPr="00632FB8" w:rsidRDefault="00DE0565" w:rsidP="00632FB8">
      <w:pPr>
        <w:autoSpaceDE w:val="0"/>
        <w:autoSpaceDN w:val="0"/>
        <w:adjustRightInd w:val="0"/>
        <w:spacing w:after="0" w:line="240" w:lineRule="auto"/>
        <w:ind w:left="360"/>
        <w:rPr>
          <w:rFonts w:cstheme="minorHAnsi"/>
          <w:b/>
          <w:bCs/>
        </w:rPr>
      </w:pPr>
      <w:r w:rsidRPr="000F1283">
        <w:rPr>
          <w:rFonts w:cstheme="minorHAnsi"/>
          <w:b/>
          <w:bCs/>
          <w:color w:val="000000"/>
          <w:lang w:val="en-GB"/>
        </w:rPr>
        <w:lastRenderedPageBreak/>
        <w:t xml:space="preserve">Table </w:t>
      </w:r>
      <w:r w:rsidR="00475ED7">
        <w:rPr>
          <w:rFonts w:cstheme="minorHAnsi"/>
          <w:b/>
          <w:bCs/>
          <w:color w:val="000000"/>
          <w:lang w:val="en-GB"/>
        </w:rPr>
        <w:t>2</w:t>
      </w:r>
      <w:r w:rsidRPr="000F1283">
        <w:rPr>
          <w:rFonts w:cstheme="minorHAnsi"/>
          <w:b/>
          <w:bCs/>
          <w:color w:val="000000"/>
          <w:lang w:val="en-GB"/>
        </w:rPr>
        <w:t xml:space="preserve">: Specifications of </w:t>
      </w:r>
      <w:r w:rsidR="005A47EA" w:rsidRPr="00632FB8">
        <w:rPr>
          <w:rFonts w:cstheme="minorHAnsi"/>
          <w:b/>
          <w:vertAlign w:val="superscript"/>
        </w:rPr>
        <w:t>89</w:t>
      </w:r>
      <w:r w:rsidR="005A47EA" w:rsidRPr="00632FB8">
        <w:rPr>
          <w:rFonts w:cstheme="minorHAnsi"/>
          <w:b/>
        </w:rPr>
        <w:t>Zr-TLX250</w:t>
      </w:r>
      <w:r w:rsidR="005A47EA" w:rsidRPr="00632FB8">
        <w:rPr>
          <w:rFonts w:eastAsiaTheme="minorEastAsia"/>
          <w:b/>
        </w:rPr>
        <w:t xml:space="preserve"> </w:t>
      </w:r>
      <w:r w:rsidRPr="00632FB8">
        <w:rPr>
          <w:rFonts w:cstheme="minorHAnsi"/>
          <w:b/>
          <w:bCs/>
        </w:rPr>
        <w:t>Solution for Intravenous Administration</w:t>
      </w:r>
    </w:p>
    <w:p w14:paraId="35AAA2CA" w14:textId="77777777" w:rsidR="00DE0565" w:rsidRPr="00632FB8" w:rsidRDefault="00DE0565" w:rsidP="00DE0565">
      <w:pPr>
        <w:autoSpaceDE w:val="0"/>
        <w:autoSpaceDN w:val="0"/>
        <w:adjustRightInd w:val="0"/>
        <w:spacing w:after="0" w:line="240" w:lineRule="auto"/>
        <w:rPr>
          <w:rFonts w:cstheme="minorHAnsi"/>
          <w:b/>
          <w:bCs/>
        </w:rPr>
      </w:pPr>
    </w:p>
    <w:tbl>
      <w:tblPr>
        <w:tblStyle w:val="TableGrid"/>
        <w:tblW w:w="0" w:type="auto"/>
        <w:tblInd w:w="421" w:type="dxa"/>
        <w:tblLayout w:type="fixed"/>
        <w:tblLook w:val="0000" w:firstRow="0" w:lastRow="0" w:firstColumn="0" w:lastColumn="0" w:noHBand="0" w:noVBand="0"/>
      </w:tblPr>
      <w:tblGrid>
        <w:gridCol w:w="4019"/>
        <w:gridCol w:w="4440"/>
      </w:tblGrid>
      <w:tr w:rsidR="00DE0565" w:rsidRPr="00DE0565" w14:paraId="569C2C31" w14:textId="77777777" w:rsidTr="00632FB8">
        <w:trPr>
          <w:trHeight w:val="118"/>
        </w:trPr>
        <w:tc>
          <w:tcPr>
            <w:tcW w:w="4019" w:type="dxa"/>
          </w:tcPr>
          <w:p w14:paraId="7538E71A" w14:textId="20ABCEC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Active component: </w:t>
            </w:r>
          </w:p>
        </w:tc>
        <w:tc>
          <w:tcPr>
            <w:tcW w:w="4440" w:type="dxa"/>
          </w:tcPr>
          <w:p w14:paraId="2306CABB" w14:textId="76E77F35" w:rsidR="00DE0565" w:rsidRPr="00632FB8" w:rsidRDefault="00DE0565" w:rsidP="00DE0565">
            <w:pPr>
              <w:autoSpaceDE w:val="0"/>
              <w:autoSpaceDN w:val="0"/>
              <w:adjustRightInd w:val="0"/>
              <w:rPr>
                <w:rFonts w:cstheme="minorHAnsi"/>
                <w:color w:val="000000"/>
                <w:lang w:val="en-GB"/>
              </w:rPr>
            </w:pPr>
            <w:r>
              <w:rPr>
                <w:rFonts w:cstheme="minorHAnsi"/>
                <w:color w:val="000000"/>
                <w:lang w:val="en-GB"/>
              </w:rPr>
              <w:t>3</w:t>
            </w:r>
            <w:r w:rsidRPr="00632FB8">
              <w:rPr>
                <w:rFonts w:cstheme="minorHAnsi"/>
                <w:color w:val="000000"/>
                <w:lang w:val="en-GB"/>
              </w:rPr>
              <w:t xml:space="preserve">7 MBq 89Zr-TLX250 </w:t>
            </w:r>
          </w:p>
        </w:tc>
      </w:tr>
      <w:tr w:rsidR="00DE0565" w:rsidRPr="00DE0565" w14:paraId="62F4FA12" w14:textId="77777777" w:rsidTr="00632FB8">
        <w:trPr>
          <w:trHeight w:val="93"/>
        </w:trPr>
        <w:tc>
          <w:tcPr>
            <w:tcW w:w="4019" w:type="dxa"/>
          </w:tcPr>
          <w:p w14:paraId="40583FD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Batch volume: </w:t>
            </w:r>
          </w:p>
        </w:tc>
        <w:tc>
          <w:tcPr>
            <w:tcW w:w="4440" w:type="dxa"/>
          </w:tcPr>
          <w:p w14:paraId="14963ED4"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 10 mL </w:t>
            </w:r>
          </w:p>
        </w:tc>
      </w:tr>
      <w:tr w:rsidR="00DE0565" w:rsidRPr="00DE0565" w14:paraId="130C2840" w14:textId="77777777" w:rsidTr="00632FB8">
        <w:trPr>
          <w:trHeight w:val="93"/>
        </w:trPr>
        <w:tc>
          <w:tcPr>
            <w:tcW w:w="4019" w:type="dxa"/>
          </w:tcPr>
          <w:p w14:paraId="6B2A6113"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Mass dose girentuximab </w:t>
            </w:r>
          </w:p>
        </w:tc>
        <w:tc>
          <w:tcPr>
            <w:tcW w:w="4440" w:type="dxa"/>
          </w:tcPr>
          <w:p w14:paraId="53DAFC41"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10 mg </w:t>
            </w:r>
          </w:p>
        </w:tc>
      </w:tr>
      <w:tr w:rsidR="00DE0565" w:rsidRPr="00DE0565" w14:paraId="2CCC99D8" w14:textId="77777777" w:rsidTr="00632FB8">
        <w:trPr>
          <w:trHeight w:val="118"/>
        </w:trPr>
        <w:tc>
          <w:tcPr>
            <w:tcW w:w="4019" w:type="dxa"/>
          </w:tcPr>
          <w:p w14:paraId="5470E28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Other ingredients: </w:t>
            </w:r>
          </w:p>
        </w:tc>
        <w:tc>
          <w:tcPr>
            <w:tcW w:w="4440" w:type="dxa"/>
          </w:tcPr>
          <w:p w14:paraId="09AF7FF5"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Girentuximab, 89Zr-DFO-girentuximab </w:t>
            </w:r>
          </w:p>
        </w:tc>
      </w:tr>
      <w:tr w:rsidR="00DE0565" w:rsidRPr="00DE0565" w14:paraId="0544C876" w14:textId="77777777" w:rsidTr="00632FB8">
        <w:trPr>
          <w:trHeight w:val="93"/>
        </w:trPr>
        <w:tc>
          <w:tcPr>
            <w:tcW w:w="4019" w:type="dxa"/>
          </w:tcPr>
          <w:p w14:paraId="4036C404"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Solvent: </w:t>
            </w:r>
          </w:p>
        </w:tc>
        <w:tc>
          <w:tcPr>
            <w:tcW w:w="4440" w:type="dxa"/>
          </w:tcPr>
          <w:p w14:paraId="100AB16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NaCl 0.9% </w:t>
            </w:r>
          </w:p>
        </w:tc>
      </w:tr>
      <w:tr w:rsidR="00DE0565" w:rsidRPr="00DE0565" w14:paraId="1807A2BF" w14:textId="77777777" w:rsidTr="00632FB8">
        <w:trPr>
          <w:trHeight w:val="231"/>
        </w:trPr>
        <w:tc>
          <w:tcPr>
            <w:tcW w:w="4019" w:type="dxa"/>
          </w:tcPr>
          <w:p w14:paraId="3ACB1D00"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Appearance: </w:t>
            </w:r>
          </w:p>
        </w:tc>
        <w:tc>
          <w:tcPr>
            <w:tcW w:w="4440" w:type="dxa"/>
          </w:tcPr>
          <w:p w14:paraId="1D246371"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Clear, colourless to light yellow and free from visible particles </w:t>
            </w:r>
          </w:p>
        </w:tc>
      </w:tr>
      <w:tr w:rsidR="00DE0565" w:rsidRPr="00DE0565" w14:paraId="32343C2E" w14:textId="77777777" w:rsidTr="00632FB8">
        <w:trPr>
          <w:trHeight w:val="93"/>
        </w:trPr>
        <w:tc>
          <w:tcPr>
            <w:tcW w:w="4019" w:type="dxa"/>
          </w:tcPr>
          <w:p w14:paraId="77FB31CE"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pH: </w:t>
            </w:r>
          </w:p>
        </w:tc>
        <w:tc>
          <w:tcPr>
            <w:tcW w:w="4440" w:type="dxa"/>
          </w:tcPr>
          <w:p w14:paraId="7AB2A36B"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5.0 – 8.0 </w:t>
            </w:r>
          </w:p>
        </w:tc>
      </w:tr>
      <w:tr w:rsidR="00DE0565" w:rsidRPr="00DE0565" w14:paraId="19B07352" w14:textId="77777777" w:rsidTr="00632FB8">
        <w:trPr>
          <w:trHeight w:val="118"/>
        </w:trPr>
        <w:tc>
          <w:tcPr>
            <w:tcW w:w="4019" w:type="dxa"/>
          </w:tcPr>
          <w:p w14:paraId="18F57160"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Radiochemical purity: (ITLC after purification) </w:t>
            </w:r>
          </w:p>
        </w:tc>
        <w:tc>
          <w:tcPr>
            <w:tcW w:w="4440" w:type="dxa"/>
          </w:tcPr>
          <w:p w14:paraId="1B0B405A"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89Zr-TLX250 ≥ 90% </w:t>
            </w:r>
          </w:p>
        </w:tc>
      </w:tr>
      <w:tr w:rsidR="00DE0565" w:rsidRPr="00DE0565" w14:paraId="02C317D0" w14:textId="77777777" w:rsidTr="00632FB8">
        <w:trPr>
          <w:trHeight w:val="454"/>
        </w:trPr>
        <w:tc>
          <w:tcPr>
            <w:tcW w:w="4019" w:type="dxa"/>
          </w:tcPr>
          <w:p w14:paraId="2144D43A"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Radiochemical purity (SE-HPLC after purification) </w:t>
            </w:r>
          </w:p>
        </w:tc>
        <w:tc>
          <w:tcPr>
            <w:tcW w:w="4440" w:type="dxa"/>
          </w:tcPr>
          <w:p w14:paraId="688E7AD4"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89Zr-DFO-girentuximab ≥ 90% </w:t>
            </w:r>
          </w:p>
          <w:p w14:paraId="3D0AF4FA"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89Zr / 89Zr-DFO ≤ 10% </w:t>
            </w:r>
          </w:p>
          <w:p w14:paraId="6864EC1E"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Aggregates ≤ 5% </w:t>
            </w:r>
          </w:p>
        </w:tc>
      </w:tr>
      <w:tr w:rsidR="00DE0565" w:rsidRPr="00DE0565" w14:paraId="47303A9C" w14:textId="77777777" w:rsidTr="00632FB8">
        <w:trPr>
          <w:trHeight w:val="101"/>
        </w:trPr>
        <w:tc>
          <w:tcPr>
            <w:tcW w:w="4019" w:type="dxa"/>
          </w:tcPr>
          <w:p w14:paraId="11754308"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Identity: </w:t>
            </w:r>
          </w:p>
        </w:tc>
        <w:tc>
          <w:tcPr>
            <w:tcW w:w="4440" w:type="dxa"/>
          </w:tcPr>
          <w:p w14:paraId="5A9953C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Rt</w:t>
            </w:r>
            <w:r w:rsidRPr="00632FB8">
              <w:rPr>
                <w:rFonts w:cstheme="minorHAnsi"/>
                <w:color w:val="000000"/>
                <w:vertAlign w:val="subscript"/>
                <w:lang w:val="en-GB"/>
              </w:rPr>
              <w:t>sample</w:t>
            </w:r>
            <w:r w:rsidRPr="00632FB8">
              <w:rPr>
                <w:rFonts w:cstheme="minorHAnsi"/>
                <w:color w:val="000000"/>
                <w:lang w:val="en-GB"/>
              </w:rPr>
              <w:t xml:space="preserve"> = Rt</w:t>
            </w:r>
            <w:r w:rsidRPr="00632FB8">
              <w:rPr>
                <w:rFonts w:cstheme="minorHAnsi"/>
                <w:color w:val="000000"/>
                <w:vertAlign w:val="subscript"/>
                <w:lang w:val="en-GB"/>
              </w:rPr>
              <w:t>reference</w:t>
            </w:r>
            <w:r w:rsidRPr="00632FB8">
              <w:rPr>
                <w:rFonts w:cstheme="minorHAnsi"/>
                <w:color w:val="000000"/>
                <w:lang w:val="en-GB"/>
              </w:rPr>
              <w:t xml:space="preserve"> ± 10% </w:t>
            </w:r>
          </w:p>
        </w:tc>
      </w:tr>
      <w:tr w:rsidR="00DE0565" w:rsidRPr="00DE0565" w14:paraId="7EC19348" w14:textId="77777777" w:rsidTr="00632FB8">
        <w:trPr>
          <w:trHeight w:val="93"/>
        </w:trPr>
        <w:tc>
          <w:tcPr>
            <w:tcW w:w="4019" w:type="dxa"/>
          </w:tcPr>
          <w:p w14:paraId="20453E6D"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Sterility </w:t>
            </w:r>
          </w:p>
        </w:tc>
        <w:tc>
          <w:tcPr>
            <w:tcW w:w="4440" w:type="dxa"/>
          </w:tcPr>
          <w:p w14:paraId="1B78A794"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No growth </w:t>
            </w:r>
          </w:p>
        </w:tc>
      </w:tr>
      <w:tr w:rsidR="00DE0565" w:rsidRPr="00DE0565" w14:paraId="3AA4DBDF" w14:textId="77777777" w:rsidTr="00632FB8">
        <w:trPr>
          <w:trHeight w:val="93"/>
        </w:trPr>
        <w:tc>
          <w:tcPr>
            <w:tcW w:w="4019" w:type="dxa"/>
          </w:tcPr>
          <w:p w14:paraId="633C2C0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Endotoxins </w:t>
            </w:r>
          </w:p>
        </w:tc>
        <w:tc>
          <w:tcPr>
            <w:tcW w:w="4440" w:type="dxa"/>
          </w:tcPr>
          <w:p w14:paraId="16725147"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 17.5 EU/mL </w:t>
            </w:r>
          </w:p>
        </w:tc>
      </w:tr>
      <w:tr w:rsidR="00DE0565" w:rsidRPr="00DE0565" w14:paraId="6C566F22" w14:textId="77777777" w:rsidTr="00632FB8">
        <w:trPr>
          <w:trHeight w:val="93"/>
        </w:trPr>
        <w:tc>
          <w:tcPr>
            <w:tcW w:w="4019" w:type="dxa"/>
          </w:tcPr>
          <w:p w14:paraId="0FE38AD0"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Expiry time </w:t>
            </w:r>
          </w:p>
        </w:tc>
        <w:tc>
          <w:tcPr>
            <w:tcW w:w="4440" w:type="dxa"/>
          </w:tcPr>
          <w:p w14:paraId="27511319"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96 hours at 15°C - 30°C in bulk vial </w:t>
            </w:r>
          </w:p>
        </w:tc>
      </w:tr>
      <w:tr w:rsidR="00DE0565" w:rsidRPr="00DE0565" w14:paraId="2491AD88" w14:textId="77777777" w:rsidTr="00DE0565">
        <w:trPr>
          <w:trHeight w:val="93"/>
        </w:trPr>
        <w:tc>
          <w:tcPr>
            <w:tcW w:w="4019" w:type="dxa"/>
          </w:tcPr>
          <w:p w14:paraId="4AF26F60"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Primary packaging </w:t>
            </w:r>
          </w:p>
        </w:tc>
        <w:tc>
          <w:tcPr>
            <w:tcW w:w="4440" w:type="dxa"/>
          </w:tcPr>
          <w:p w14:paraId="51A791D0" w14:textId="77777777" w:rsidR="00DE0565" w:rsidRPr="00632FB8" w:rsidRDefault="00DE0565" w:rsidP="00DE0565">
            <w:pPr>
              <w:autoSpaceDE w:val="0"/>
              <w:autoSpaceDN w:val="0"/>
              <w:adjustRightInd w:val="0"/>
              <w:rPr>
                <w:rFonts w:cstheme="minorHAnsi"/>
                <w:color w:val="000000"/>
                <w:lang w:val="en-GB"/>
              </w:rPr>
            </w:pPr>
            <w:r w:rsidRPr="00632FB8">
              <w:rPr>
                <w:rFonts w:cstheme="minorHAnsi"/>
                <w:color w:val="000000"/>
                <w:lang w:val="en-GB"/>
              </w:rPr>
              <w:t xml:space="preserve">Type 1 glass vials </w:t>
            </w:r>
          </w:p>
        </w:tc>
      </w:tr>
    </w:tbl>
    <w:p w14:paraId="2D5105BA" w14:textId="77777777" w:rsidR="00DE0565" w:rsidRDefault="00DE0565" w:rsidP="00DE0565">
      <w:pPr>
        <w:pStyle w:val="Default"/>
        <w:rPr>
          <w:rFonts w:asciiTheme="minorHAnsi" w:hAnsiTheme="minorHAnsi" w:cstheme="minorHAnsi"/>
          <w:sz w:val="22"/>
          <w:szCs w:val="22"/>
        </w:rPr>
      </w:pPr>
    </w:p>
    <w:p w14:paraId="4E8070B0" w14:textId="06455BC8"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 complete record of batch numbers and expiry dates of all study medication will be maintained in the trial master file (TMF). </w:t>
      </w:r>
    </w:p>
    <w:p w14:paraId="29C05071" w14:textId="77777777" w:rsidR="00043073" w:rsidRPr="00632FB8" w:rsidRDefault="00043073" w:rsidP="00632FB8">
      <w:pPr>
        <w:pStyle w:val="Default"/>
        <w:ind w:left="397"/>
        <w:rPr>
          <w:rFonts w:asciiTheme="minorHAnsi" w:hAnsiTheme="minorHAnsi" w:cstheme="minorHAnsi"/>
          <w:sz w:val="22"/>
          <w:szCs w:val="22"/>
        </w:rPr>
      </w:pPr>
    </w:p>
    <w:p w14:paraId="306FF877" w14:textId="0E046703"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5.1.3 Storage and Handling </w:t>
      </w:r>
    </w:p>
    <w:p w14:paraId="2F2DA60D" w14:textId="77777777" w:rsidR="00043073" w:rsidRPr="00632FB8" w:rsidRDefault="00043073" w:rsidP="00632FB8">
      <w:pPr>
        <w:pStyle w:val="Default"/>
        <w:ind w:left="397"/>
        <w:rPr>
          <w:rFonts w:asciiTheme="minorHAnsi" w:hAnsiTheme="minorHAnsi" w:cstheme="minorHAnsi"/>
          <w:sz w:val="22"/>
          <w:szCs w:val="22"/>
        </w:rPr>
      </w:pPr>
    </w:p>
    <w:p w14:paraId="529BAF9E" w14:textId="0E1E1C6F"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product is to be shipped and stored at room temperature (15°C to 30°C) inside the lead-shielded container provided and protected from light. </w:t>
      </w:r>
    </w:p>
    <w:p w14:paraId="51DAD7D7" w14:textId="77777777" w:rsidR="00043073" w:rsidRPr="00632FB8" w:rsidRDefault="00043073" w:rsidP="00632FB8">
      <w:pPr>
        <w:pStyle w:val="Default"/>
        <w:jc w:val="both"/>
        <w:rPr>
          <w:rFonts w:asciiTheme="minorHAnsi" w:hAnsiTheme="minorHAnsi" w:cstheme="minorHAnsi"/>
          <w:sz w:val="22"/>
          <w:szCs w:val="22"/>
        </w:rPr>
      </w:pPr>
    </w:p>
    <w:p w14:paraId="39AD17B1" w14:textId="7CA00CA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product must be handled within a hospital environment only, by an accredited radiopharmacist and/or nuclear medicine physician according to international and local radiation protection guidelines. </w:t>
      </w:r>
    </w:p>
    <w:p w14:paraId="23115C19" w14:textId="77777777" w:rsidR="00DE0565" w:rsidRPr="00632FB8" w:rsidRDefault="00DE0565" w:rsidP="00632FB8">
      <w:pPr>
        <w:pStyle w:val="Default"/>
        <w:ind w:left="397"/>
        <w:jc w:val="both"/>
        <w:rPr>
          <w:rFonts w:asciiTheme="minorHAnsi" w:hAnsiTheme="minorHAnsi" w:cstheme="minorHAnsi"/>
          <w:sz w:val="22"/>
          <w:szCs w:val="22"/>
        </w:rPr>
      </w:pPr>
    </w:p>
    <w:p w14:paraId="4072AC3B" w14:textId="6C06FC3A"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5.1.4 Dosage and Administration </w:t>
      </w:r>
    </w:p>
    <w:p w14:paraId="63073268" w14:textId="77777777" w:rsidR="00DE0565" w:rsidRPr="00632FB8" w:rsidRDefault="00DE0565" w:rsidP="00632FB8">
      <w:pPr>
        <w:pStyle w:val="Default"/>
        <w:ind w:left="397"/>
        <w:rPr>
          <w:rFonts w:asciiTheme="minorHAnsi" w:hAnsiTheme="minorHAnsi" w:cstheme="minorHAnsi"/>
          <w:sz w:val="22"/>
          <w:szCs w:val="22"/>
        </w:rPr>
      </w:pPr>
    </w:p>
    <w:p w14:paraId="0A461F7D" w14:textId="1B0E8395"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mass dose of </w:t>
      </w:r>
      <w:r w:rsidR="005A47EA" w:rsidRPr="009D2267">
        <w:rPr>
          <w:rFonts w:asciiTheme="minorHAnsi" w:hAnsiTheme="minorHAnsi" w:cstheme="minorHAnsi"/>
          <w:bCs/>
          <w:sz w:val="22"/>
          <w:szCs w:val="22"/>
          <w:vertAlign w:val="superscript"/>
        </w:rPr>
        <w:t>89</w:t>
      </w:r>
      <w:r w:rsidR="005A47EA" w:rsidRPr="009D2267">
        <w:rPr>
          <w:rFonts w:asciiTheme="minorHAnsi" w:hAnsiTheme="minorHAnsi" w:cstheme="minorHAnsi"/>
          <w:bCs/>
          <w:sz w:val="22"/>
          <w:szCs w:val="22"/>
        </w:rPr>
        <w:t>Zr-TLX250</w:t>
      </w:r>
      <w:r w:rsidR="005A47EA">
        <w:rPr>
          <w:rFonts w:eastAsiaTheme="minorEastAsia"/>
        </w:rPr>
        <w:t xml:space="preserve"> </w:t>
      </w:r>
      <w:r w:rsidRPr="00632FB8">
        <w:rPr>
          <w:rFonts w:asciiTheme="minorHAnsi" w:hAnsiTheme="minorHAnsi" w:cstheme="minorHAnsi"/>
          <w:sz w:val="22"/>
          <w:szCs w:val="22"/>
        </w:rPr>
        <w:t xml:space="preserve">to be used in this phase </w:t>
      </w:r>
      <w:r w:rsidR="00915A79">
        <w:rPr>
          <w:rFonts w:asciiTheme="minorHAnsi" w:hAnsiTheme="minorHAnsi" w:cstheme="minorHAnsi"/>
          <w:sz w:val="22"/>
          <w:szCs w:val="22"/>
        </w:rPr>
        <w:t>1</w:t>
      </w:r>
      <w:r w:rsidRPr="00632FB8">
        <w:rPr>
          <w:rFonts w:asciiTheme="minorHAnsi" w:hAnsiTheme="minorHAnsi" w:cstheme="minorHAnsi"/>
          <w:sz w:val="22"/>
          <w:szCs w:val="22"/>
        </w:rPr>
        <w:t xml:space="preserve"> study will be 10 mg, labelled with 37 MBq (±10%) </w:t>
      </w:r>
      <w:r w:rsidRPr="00660135">
        <w:rPr>
          <w:rFonts w:asciiTheme="minorHAnsi" w:hAnsiTheme="minorHAnsi" w:cstheme="minorHAnsi"/>
          <w:sz w:val="22"/>
          <w:szCs w:val="22"/>
          <w:vertAlign w:val="superscript"/>
        </w:rPr>
        <w:t>89</w:t>
      </w:r>
      <w:r w:rsidRPr="00632FB8">
        <w:rPr>
          <w:rFonts w:asciiTheme="minorHAnsi" w:hAnsiTheme="minorHAnsi" w:cstheme="minorHAnsi"/>
          <w:sz w:val="22"/>
          <w:szCs w:val="22"/>
        </w:rPr>
        <w:t xml:space="preserve">Zr per dose. </w:t>
      </w:r>
    </w:p>
    <w:p w14:paraId="52F8E01D" w14:textId="77777777" w:rsidR="00DE0565" w:rsidRPr="00632FB8" w:rsidRDefault="00DE0565" w:rsidP="00632FB8">
      <w:pPr>
        <w:pStyle w:val="Default"/>
        <w:ind w:left="397"/>
        <w:jc w:val="both"/>
        <w:rPr>
          <w:rFonts w:asciiTheme="minorHAnsi" w:hAnsiTheme="minorHAnsi" w:cstheme="minorHAnsi"/>
          <w:sz w:val="22"/>
          <w:szCs w:val="22"/>
        </w:rPr>
      </w:pPr>
    </w:p>
    <w:p w14:paraId="3F32BFE6" w14:textId="30BA938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Each patient will receive a single slow intravenous (IV) administration over a minimum of 3 minutes on Day 0 (after pre-dose assessments), at the nuclear medicine service of the study site. </w:t>
      </w:r>
    </w:p>
    <w:p w14:paraId="00B95C9C" w14:textId="77777777" w:rsidR="00DE0565" w:rsidRPr="00632FB8" w:rsidRDefault="00DE0565" w:rsidP="00632FB8">
      <w:pPr>
        <w:pStyle w:val="Default"/>
        <w:ind w:left="397"/>
        <w:jc w:val="both"/>
        <w:rPr>
          <w:rFonts w:asciiTheme="minorHAnsi" w:hAnsiTheme="minorHAnsi" w:cstheme="minorHAnsi"/>
          <w:sz w:val="22"/>
          <w:szCs w:val="22"/>
        </w:rPr>
      </w:pPr>
    </w:p>
    <w:p w14:paraId="18F8AAF5" w14:textId="62228E9B"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No dietary constrictions prior to dosing are necessary. </w:t>
      </w:r>
    </w:p>
    <w:p w14:paraId="62C5CA84" w14:textId="77777777" w:rsidR="00DE0565" w:rsidRPr="00632FB8" w:rsidRDefault="00DE0565" w:rsidP="00632FB8">
      <w:pPr>
        <w:pStyle w:val="Default"/>
        <w:ind w:left="397"/>
        <w:jc w:val="both"/>
        <w:rPr>
          <w:rFonts w:asciiTheme="minorHAnsi" w:hAnsiTheme="minorHAnsi" w:cstheme="minorHAnsi"/>
          <w:sz w:val="22"/>
          <w:szCs w:val="22"/>
        </w:rPr>
      </w:pPr>
    </w:p>
    <w:p w14:paraId="16C328A9" w14:textId="2F25DF36"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Prior to administration, an indwelling intravenous catheter has to be placed into the antecubital vein or an equivalent venous access. The radiopharmaceutical will be slowly administered through the indwelling catheter and followed with a saline flush. </w:t>
      </w:r>
    </w:p>
    <w:p w14:paraId="4EF40284" w14:textId="02117246" w:rsidR="00DE0565" w:rsidRPr="00632FB8" w:rsidRDefault="00DE0565" w:rsidP="00632FB8">
      <w:pPr>
        <w:pStyle w:val="Default"/>
        <w:ind w:left="397"/>
        <w:jc w:val="both"/>
        <w:rPr>
          <w:rFonts w:asciiTheme="minorHAnsi" w:hAnsiTheme="minorHAnsi" w:cstheme="minorHAnsi"/>
          <w:sz w:val="22"/>
          <w:szCs w:val="22"/>
        </w:rPr>
      </w:pPr>
    </w:p>
    <w:p w14:paraId="7AF4A8D2" w14:textId="65D40139"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5.1.5 Packaging and Labelling </w:t>
      </w:r>
    </w:p>
    <w:p w14:paraId="113FC55F" w14:textId="77777777" w:rsidR="00DE0565" w:rsidRPr="00632FB8" w:rsidRDefault="00DE0565" w:rsidP="00632FB8">
      <w:pPr>
        <w:pStyle w:val="Default"/>
        <w:ind w:left="397"/>
        <w:rPr>
          <w:rFonts w:asciiTheme="minorHAnsi" w:hAnsiTheme="minorHAnsi" w:cstheme="minorHAnsi"/>
          <w:sz w:val="22"/>
          <w:szCs w:val="22"/>
        </w:rPr>
      </w:pPr>
    </w:p>
    <w:p w14:paraId="16FD6ED0" w14:textId="01517223" w:rsidR="00DE0565" w:rsidRDefault="005A47EA" w:rsidP="00632FB8">
      <w:pPr>
        <w:pStyle w:val="Default"/>
        <w:jc w:val="both"/>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 xml:space="preserve">solution for IV administration will be supplied in glass vials in appropriate packaging (lead-shielded containers bearing a radioactive warning symbol in accordance with radioactive </w:t>
      </w:r>
      <w:r w:rsidR="00DE0565" w:rsidRPr="00632FB8">
        <w:rPr>
          <w:rFonts w:asciiTheme="minorHAnsi" w:hAnsiTheme="minorHAnsi" w:cstheme="minorHAnsi"/>
          <w:sz w:val="22"/>
          <w:szCs w:val="22"/>
        </w:rPr>
        <w:lastRenderedPageBreak/>
        <w:t xml:space="preserve">pharmaceutical requirements). The labels of the packaging supplied by </w:t>
      </w:r>
      <w:r>
        <w:rPr>
          <w:rFonts w:asciiTheme="minorHAnsi" w:hAnsiTheme="minorHAnsi" w:cstheme="minorHAnsi"/>
          <w:sz w:val="22"/>
          <w:szCs w:val="22"/>
        </w:rPr>
        <w:t xml:space="preserve">Telix International Pty Ltd </w:t>
      </w:r>
      <w:r w:rsidR="00DE0565" w:rsidRPr="00632FB8">
        <w:rPr>
          <w:rFonts w:asciiTheme="minorHAnsi" w:hAnsiTheme="minorHAnsi" w:cstheme="minorHAnsi"/>
          <w:sz w:val="22"/>
          <w:szCs w:val="22"/>
        </w:rPr>
        <w:t xml:space="preserve">will include the following information as a minimum: </w:t>
      </w:r>
    </w:p>
    <w:p w14:paraId="0E42F839" w14:textId="77777777" w:rsidR="00DE0565" w:rsidRPr="00632FB8" w:rsidRDefault="00DE0565" w:rsidP="00632FB8">
      <w:pPr>
        <w:pStyle w:val="Default"/>
        <w:ind w:left="397"/>
        <w:jc w:val="both"/>
        <w:rPr>
          <w:rFonts w:asciiTheme="minorHAnsi" w:hAnsiTheme="minorHAnsi" w:cstheme="minorHAnsi"/>
          <w:sz w:val="22"/>
          <w:szCs w:val="22"/>
        </w:rPr>
      </w:pPr>
    </w:p>
    <w:p w14:paraId="1390D20B" w14:textId="3D54C984"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Name and address of sponsor </w:t>
      </w:r>
    </w:p>
    <w:p w14:paraId="35D6B77B" w14:textId="1DA4C32A" w:rsidR="00DE0565" w:rsidRPr="00632FB8" w:rsidRDefault="00DE0565" w:rsidP="00632FB8">
      <w:pPr>
        <w:pStyle w:val="Default"/>
        <w:numPr>
          <w:ilvl w:val="0"/>
          <w:numId w:val="29"/>
        </w:numPr>
        <w:ind w:left="1077" w:hanging="357"/>
        <w:rPr>
          <w:rFonts w:asciiTheme="minorHAnsi" w:hAnsiTheme="minorHAnsi" w:cstheme="minorHAnsi"/>
          <w:sz w:val="22"/>
          <w:szCs w:val="22"/>
        </w:rPr>
      </w:pPr>
      <w:r>
        <w:rPr>
          <w:rFonts w:asciiTheme="minorHAnsi" w:hAnsiTheme="minorHAnsi" w:cstheme="minorHAnsi"/>
          <w:sz w:val="22"/>
          <w:szCs w:val="22"/>
        </w:rPr>
        <w:t>S</w:t>
      </w:r>
      <w:r w:rsidRPr="00632FB8">
        <w:rPr>
          <w:rFonts w:asciiTheme="minorHAnsi" w:hAnsiTheme="minorHAnsi" w:cstheme="minorHAnsi"/>
          <w:sz w:val="22"/>
          <w:szCs w:val="22"/>
        </w:rPr>
        <w:t xml:space="preserve">tudy number </w:t>
      </w:r>
    </w:p>
    <w:p w14:paraId="0949A81A" w14:textId="54DFD210"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Name of study drug and formulation </w:t>
      </w:r>
    </w:p>
    <w:p w14:paraId="69C2ACAF" w14:textId="298A854F"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Dose strength </w:t>
      </w:r>
    </w:p>
    <w:p w14:paraId="6C679B1A" w14:textId="4228E4D7"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Batch number </w:t>
      </w:r>
    </w:p>
    <w:p w14:paraId="5DB61301" w14:textId="35DFEE56"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Expiry date </w:t>
      </w:r>
    </w:p>
    <w:p w14:paraId="2D03F032" w14:textId="1CF91C64"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Storage instructions </w:t>
      </w:r>
    </w:p>
    <w:p w14:paraId="0B22780C" w14:textId="1BC2F522"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Radioactive warning symbol </w:t>
      </w:r>
    </w:p>
    <w:p w14:paraId="44641B95" w14:textId="2142D3CC"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“For Clinical Trial Use only”. </w:t>
      </w:r>
    </w:p>
    <w:p w14:paraId="4F82F7F2" w14:textId="77777777" w:rsidR="00DE0565" w:rsidRPr="00632FB8" w:rsidRDefault="00DE0565" w:rsidP="00632FB8">
      <w:pPr>
        <w:pStyle w:val="Default"/>
        <w:ind w:left="397"/>
        <w:rPr>
          <w:rFonts w:asciiTheme="minorHAnsi" w:hAnsiTheme="minorHAnsi" w:cstheme="minorHAnsi"/>
          <w:sz w:val="22"/>
          <w:szCs w:val="22"/>
        </w:rPr>
      </w:pPr>
    </w:p>
    <w:p w14:paraId="6E6EF06E" w14:textId="1BC406AA"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All manufacturing, formulation and labelling will be done in accordance with applicable current GMP and local guidelines and laws. </w:t>
      </w:r>
    </w:p>
    <w:p w14:paraId="4A405B29" w14:textId="77777777" w:rsidR="00DE0565" w:rsidRPr="00632FB8" w:rsidRDefault="00DE0565" w:rsidP="00632FB8">
      <w:pPr>
        <w:pStyle w:val="Default"/>
        <w:ind w:left="397"/>
        <w:rPr>
          <w:rFonts w:asciiTheme="minorHAnsi" w:hAnsiTheme="minorHAnsi" w:cstheme="minorHAnsi"/>
          <w:sz w:val="22"/>
          <w:szCs w:val="22"/>
        </w:rPr>
      </w:pPr>
    </w:p>
    <w:p w14:paraId="4FC7503B" w14:textId="77777777" w:rsidR="00915A79" w:rsidRDefault="00915A79" w:rsidP="00DE0565">
      <w:pPr>
        <w:pStyle w:val="Default"/>
        <w:ind w:left="397"/>
        <w:rPr>
          <w:rFonts w:asciiTheme="minorHAnsi" w:hAnsiTheme="minorHAnsi" w:cstheme="minorHAnsi"/>
          <w:b/>
          <w:bCs/>
          <w:sz w:val="22"/>
          <w:szCs w:val="22"/>
        </w:rPr>
      </w:pPr>
    </w:p>
    <w:p w14:paraId="310A8CEB" w14:textId="034D83D6"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5.1.5.1 Medication Numbering </w:t>
      </w:r>
    </w:p>
    <w:p w14:paraId="75351117" w14:textId="77777777" w:rsidR="00DE0565" w:rsidRPr="00632FB8" w:rsidRDefault="00DE0565" w:rsidP="00632FB8">
      <w:pPr>
        <w:pStyle w:val="Default"/>
        <w:ind w:left="397"/>
        <w:rPr>
          <w:rFonts w:asciiTheme="minorHAnsi" w:hAnsiTheme="minorHAnsi" w:cstheme="minorHAnsi"/>
          <w:sz w:val="22"/>
          <w:szCs w:val="22"/>
        </w:rPr>
      </w:pPr>
    </w:p>
    <w:p w14:paraId="7CCCEF01" w14:textId="77777777"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 system of medication numbering in accordance with all requirements of Good Manufacturing Practice (GMP) and any applicable regulatory requirement will be used for all study drugs. This will ensure that, for each patient, any dosing of study drug can be identified and traced back to the original bulk ware of the active ingredients. </w:t>
      </w:r>
    </w:p>
    <w:p w14:paraId="5CF9FF2F" w14:textId="0FDD9393"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Lists linking all numbering levels will be maintained by the institutions in charge of study drug packaging. </w:t>
      </w:r>
    </w:p>
    <w:p w14:paraId="42731763" w14:textId="77777777" w:rsidR="00DE0565" w:rsidRPr="00632FB8" w:rsidRDefault="00DE0565" w:rsidP="00632FB8">
      <w:pPr>
        <w:pStyle w:val="Default"/>
        <w:ind w:left="397"/>
        <w:rPr>
          <w:rFonts w:asciiTheme="minorHAnsi" w:hAnsiTheme="minorHAnsi" w:cstheme="minorHAnsi"/>
          <w:sz w:val="22"/>
          <w:szCs w:val="22"/>
        </w:rPr>
      </w:pPr>
    </w:p>
    <w:p w14:paraId="7DBF97CB" w14:textId="54551884"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5.1.6 Drug Logistics and Accountability </w:t>
      </w:r>
    </w:p>
    <w:p w14:paraId="5F9A5AD7" w14:textId="77777777" w:rsidR="00DE0565" w:rsidRPr="00632FB8" w:rsidRDefault="00DE0565" w:rsidP="00632FB8">
      <w:pPr>
        <w:pStyle w:val="Default"/>
        <w:ind w:left="397"/>
        <w:rPr>
          <w:rFonts w:asciiTheme="minorHAnsi" w:hAnsiTheme="minorHAnsi" w:cstheme="minorHAnsi"/>
          <w:sz w:val="22"/>
          <w:szCs w:val="22"/>
        </w:rPr>
      </w:pPr>
    </w:p>
    <w:p w14:paraId="3A2F5243" w14:textId="3F9BD09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5.1.6.1 Supply, Storage, Dispensation and Return </w:t>
      </w:r>
    </w:p>
    <w:p w14:paraId="579EB6BB" w14:textId="77777777" w:rsidR="00DE0565" w:rsidRPr="00632FB8" w:rsidRDefault="00DE0565" w:rsidP="00632FB8">
      <w:pPr>
        <w:pStyle w:val="Default"/>
        <w:ind w:left="397"/>
        <w:rPr>
          <w:rFonts w:asciiTheme="minorHAnsi" w:hAnsiTheme="minorHAnsi" w:cstheme="minorHAnsi"/>
          <w:sz w:val="22"/>
          <w:szCs w:val="22"/>
        </w:rPr>
      </w:pPr>
    </w:p>
    <w:p w14:paraId="7259A59E" w14:textId="7FCA4D19" w:rsidR="00DE0565" w:rsidRDefault="005A47EA" w:rsidP="00632FB8">
      <w:pPr>
        <w:pStyle w:val="Default"/>
        <w:jc w:val="both"/>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 xml:space="preserve">solution for IV administration will be manufactured, handled and stored in accordance with GMP. </w:t>
      </w: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eastAsiaTheme="minorEastAsia"/>
        </w:rPr>
        <w:t xml:space="preserve"> </w:t>
      </w:r>
      <w:r w:rsidR="00DE0565" w:rsidRPr="00632FB8">
        <w:rPr>
          <w:rFonts w:asciiTheme="minorHAnsi" w:hAnsiTheme="minorHAnsi" w:cstheme="minorHAnsi"/>
          <w:sz w:val="22"/>
          <w:szCs w:val="22"/>
        </w:rPr>
        <w:t xml:space="preserve">contains radioactive material and should only be handled by personnel trained in the use of radioactive isotopes with proper shielding and monitoring. </w:t>
      </w:r>
    </w:p>
    <w:p w14:paraId="0EFCC733" w14:textId="77777777" w:rsidR="00915A79" w:rsidRPr="00DE0565" w:rsidRDefault="00915A79" w:rsidP="00632FB8">
      <w:pPr>
        <w:pStyle w:val="Default"/>
        <w:jc w:val="both"/>
        <w:rPr>
          <w:rFonts w:asciiTheme="minorHAnsi" w:hAnsiTheme="minorHAnsi" w:cstheme="minorHAnsi"/>
          <w:sz w:val="22"/>
          <w:szCs w:val="22"/>
        </w:rPr>
      </w:pPr>
    </w:p>
    <w:p w14:paraId="5084961F" w14:textId="02889028"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dose order will be a direct order from the study site to </w:t>
      </w:r>
      <w:r w:rsidR="00A257FA" w:rsidRPr="00632FB8">
        <w:rPr>
          <w:rFonts w:asciiTheme="minorHAnsi" w:hAnsiTheme="minorHAnsi" w:cstheme="minorHAnsi"/>
          <w:sz w:val="22"/>
          <w:szCs w:val="22"/>
        </w:rPr>
        <w:t xml:space="preserve">Telix International Pty Ltd </w:t>
      </w:r>
      <w:r w:rsidRPr="00632FB8">
        <w:rPr>
          <w:rFonts w:asciiTheme="minorHAnsi" w:hAnsiTheme="minorHAnsi" w:cstheme="minorHAnsi"/>
          <w:sz w:val="22"/>
          <w:szCs w:val="22"/>
        </w:rPr>
        <w:t xml:space="preserve">who shall arrange appropriate supply of </w:t>
      </w:r>
      <w:r w:rsidR="005A47EA" w:rsidRPr="009D2267">
        <w:rPr>
          <w:rFonts w:asciiTheme="minorHAnsi" w:hAnsiTheme="minorHAnsi" w:cstheme="minorHAnsi"/>
          <w:bCs/>
          <w:sz w:val="22"/>
          <w:szCs w:val="22"/>
          <w:vertAlign w:val="superscript"/>
        </w:rPr>
        <w:t>89</w:t>
      </w:r>
      <w:r w:rsidR="005A47EA" w:rsidRPr="009D2267">
        <w:rPr>
          <w:rFonts w:asciiTheme="minorHAnsi" w:hAnsiTheme="minorHAnsi" w:cstheme="minorHAnsi"/>
          <w:bCs/>
          <w:sz w:val="22"/>
          <w:szCs w:val="22"/>
        </w:rPr>
        <w:t>Zr-TLX250</w:t>
      </w:r>
      <w:r w:rsidRPr="00632FB8">
        <w:rPr>
          <w:rFonts w:asciiTheme="minorHAnsi" w:hAnsiTheme="minorHAnsi" w:cstheme="minorHAnsi"/>
          <w:sz w:val="22"/>
          <w:szCs w:val="22"/>
        </w:rPr>
        <w:t xml:space="preserve">. Upon establishment of patient eligibility (see Section 4.2), the clinical site manager will order </w:t>
      </w:r>
      <w:r w:rsidRPr="00DE0565">
        <w:rPr>
          <w:rFonts w:asciiTheme="minorHAnsi" w:hAnsiTheme="minorHAnsi" w:cstheme="minorHAnsi"/>
          <w:sz w:val="22"/>
          <w:szCs w:val="22"/>
        </w:rPr>
        <w:t>individualized</w:t>
      </w:r>
      <w:r w:rsidRPr="00632FB8">
        <w:rPr>
          <w:rFonts w:asciiTheme="minorHAnsi" w:hAnsiTheme="minorHAnsi" w:cstheme="minorHAnsi"/>
          <w:sz w:val="22"/>
          <w:szCs w:val="22"/>
        </w:rPr>
        <w:t xml:space="preserve"> doses of </w:t>
      </w:r>
      <w:r w:rsidR="005A47EA" w:rsidRPr="009D2267">
        <w:rPr>
          <w:rFonts w:asciiTheme="minorHAnsi" w:hAnsiTheme="minorHAnsi" w:cstheme="minorHAnsi"/>
          <w:bCs/>
          <w:sz w:val="22"/>
          <w:szCs w:val="22"/>
          <w:vertAlign w:val="superscript"/>
        </w:rPr>
        <w:t>89</w:t>
      </w:r>
      <w:r w:rsidR="005A47EA" w:rsidRPr="009D2267">
        <w:rPr>
          <w:rFonts w:asciiTheme="minorHAnsi" w:hAnsiTheme="minorHAnsi" w:cstheme="minorHAnsi"/>
          <w:bCs/>
          <w:sz w:val="22"/>
          <w:szCs w:val="22"/>
        </w:rPr>
        <w:t>Zr-TLX250</w:t>
      </w:r>
      <w:r w:rsidR="005A47EA">
        <w:rPr>
          <w:rFonts w:eastAsiaTheme="minorEastAsia"/>
        </w:rPr>
        <w:t xml:space="preserve"> </w:t>
      </w:r>
      <w:r w:rsidRPr="00632FB8">
        <w:rPr>
          <w:rFonts w:asciiTheme="minorHAnsi" w:hAnsiTheme="minorHAnsi" w:cstheme="minorHAnsi"/>
          <w:sz w:val="22"/>
          <w:szCs w:val="22"/>
        </w:rPr>
        <w:t xml:space="preserve">solution for IV administration, via </w:t>
      </w:r>
      <w:r w:rsidR="00664E6F">
        <w:rPr>
          <w:rFonts w:asciiTheme="minorHAnsi" w:hAnsiTheme="minorHAnsi" w:cstheme="minorHAnsi"/>
          <w:sz w:val="22"/>
          <w:szCs w:val="22"/>
        </w:rPr>
        <w:t>Telix International Pty Ltd,</w:t>
      </w:r>
      <w:r w:rsidRPr="00632FB8">
        <w:rPr>
          <w:rFonts w:asciiTheme="minorHAnsi" w:hAnsiTheme="minorHAnsi" w:cstheme="minorHAnsi"/>
          <w:sz w:val="22"/>
          <w:szCs w:val="22"/>
        </w:rPr>
        <w:t xml:space="preserve"> for direct delivery to the study site. A dose can be cancelled at any time however if the cancellation is less than 2 days prior to administration date then the site will need</w:t>
      </w:r>
      <w:r w:rsidR="00A338D6">
        <w:rPr>
          <w:rFonts w:asciiTheme="minorHAnsi" w:hAnsiTheme="minorHAnsi" w:cstheme="minorHAnsi"/>
          <w:sz w:val="22"/>
          <w:szCs w:val="22"/>
        </w:rPr>
        <w:t xml:space="preserve"> to dispose of the product appropriately</w:t>
      </w:r>
      <w:r w:rsidRPr="00632FB8">
        <w:rPr>
          <w:rFonts w:asciiTheme="minorHAnsi" w:hAnsiTheme="minorHAnsi" w:cstheme="minorHAnsi"/>
          <w:sz w:val="22"/>
          <w:szCs w:val="22"/>
        </w:rPr>
        <w:t xml:space="preserve">. </w:t>
      </w:r>
      <w:r w:rsidR="00664E6F" w:rsidRPr="009D2267">
        <w:rPr>
          <w:rFonts w:asciiTheme="minorHAnsi" w:hAnsiTheme="minorHAnsi" w:cstheme="minorHAnsi"/>
          <w:bCs/>
          <w:sz w:val="22"/>
          <w:szCs w:val="22"/>
          <w:vertAlign w:val="superscript"/>
        </w:rPr>
        <w:t>89</w:t>
      </w:r>
      <w:r w:rsidR="00664E6F" w:rsidRPr="009D2267">
        <w:rPr>
          <w:rFonts w:asciiTheme="minorHAnsi" w:hAnsiTheme="minorHAnsi" w:cstheme="minorHAnsi"/>
          <w:bCs/>
          <w:sz w:val="22"/>
          <w:szCs w:val="22"/>
        </w:rPr>
        <w:t>Zr-TLX250</w:t>
      </w:r>
      <w:r w:rsidR="00664E6F">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for IV administration will be provided by Telix International Pty Ltd and used unchanged from the original state. The treating investigator at the site will delegate ordering of </w:t>
      </w:r>
      <w:r w:rsidR="00664E6F" w:rsidRPr="009D2267">
        <w:rPr>
          <w:rFonts w:asciiTheme="minorHAnsi" w:hAnsiTheme="minorHAnsi" w:cstheme="minorHAnsi"/>
          <w:bCs/>
          <w:sz w:val="22"/>
          <w:szCs w:val="22"/>
          <w:vertAlign w:val="superscript"/>
        </w:rPr>
        <w:t>89</w:t>
      </w:r>
      <w:r w:rsidR="00664E6F" w:rsidRPr="009D2267">
        <w:rPr>
          <w:rFonts w:asciiTheme="minorHAnsi" w:hAnsiTheme="minorHAnsi" w:cstheme="minorHAnsi"/>
          <w:bCs/>
          <w:sz w:val="22"/>
          <w:szCs w:val="22"/>
        </w:rPr>
        <w:t>Zr-TLX250</w:t>
      </w:r>
      <w:r w:rsidR="00664E6F">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solution for IV administration to the clinical site manager, overseeing eligibility and planned treatment dates, for direct delivery to the site to the attention of the radiopharmacist. </w:t>
      </w:r>
    </w:p>
    <w:p w14:paraId="4957CA17" w14:textId="77777777" w:rsidR="00DE0565" w:rsidRPr="00632FB8" w:rsidRDefault="00DE0565" w:rsidP="00632FB8">
      <w:pPr>
        <w:pStyle w:val="Default"/>
        <w:ind w:left="397"/>
        <w:jc w:val="both"/>
        <w:rPr>
          <w:rFonts w:asciiTheme="minorHAnsi" w:hAnsiTheme="minorHAnsi" w:cstheme="minorHAnsi"/>
          <w:sz w:val="22"/>
          <w:szCs w:val="22"/>
        </w:rPr>
      </w:pPr>
    </w:p>
    <w:p w14:paraId="09800EB6" w14:textId="47F0B73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IMP will be shipped at room temperature (15°C to 30°C) inside an appropriately shielded container. </w:t>
      </w:r>
    </w:p>
    <w:p w14:paraId="78B07650" w14:textId="77777777" w:rsidR="00DE0565" w:rsidRPr="00632FB8" w:rsidRDefault="00DE0565" w:rsidP="00632FB8">
      <w:pPr>
        <w:pStyle w:val="Default"/>
        <w:ind w:left="397"/>
        <w:jc w:val="both"/>
        <w:rPr>
          <w:rFonts w:asciiTheme="minorHAnsi" w:hAnsiTheme="minorHAnsi" w:cstheme="minorHAnsi"/>
          <w:sz w:val="22"/>
          <w:szCs w:val="22"/>
        </w:rPr>
      </w:pPr>
    </w:p>
    <w:p w14:paraId="10C121BB" w14:textId="7876F602"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Upon receipt at site, </w:t>
      </w:r>
      <w:r w:rsidR="00664E6F" w:rsidRPr="009D2267">
        <w:rPr>
          <w:rFonts w:asciiTheme="minorHAnsi" w:hAnsiTheme="minorHAnsi" w:cstheme="minorHAnsi"/>
          <w:bCs/>
          <w:sz w:val="22"/>
          <w:szCs w:val="22"/>
          <w:vertAlign w:val="superscript"/>
        </w:rPr>
        <w:t>89</w:t>
      </w:r>
      <w:r w:rsidR="00664E6F" w:rsidRPr="009D2267">
        <w:rPr>
          <w:rFonts w:asciiTheme="minorHAnsi" w:hAnsiTheme="minorHAnsi" w:cstheme="minorHAnsi"/>
          <w:bCs/>
          <w:sz w:val="22"/>
          <w:szCs w:val="22"/>
        </w:rPr>
        <w:t>Zr-TLX250</w:t>
      </w:r>
      <w:r w:rsidR="00664E6F">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solution for IV administration will be kept in a secure, temperature-controlled, restricted-access location and in accordance with applicable regulatory requirements at </w:t>
      </w:r>
      <w:r w:rsidRPr="00632FB8">
        <w:rPr>
          <w:rFonts w:asciiTheme="minorHAnsi" w:hAnsiTheme="minorHAnsi" w:cstheme="minorHAnsi"/>
          <w:sz w:val="22"/>
          <w:szCs w:val="22"/>
        </w:rPr>
        <w:lastRenderedPageBreak/>
        <w:t xml:space="preserve">the </w:t>
      </w:r>
      <w:r>
        <w:rPr>
          <w:rFonts w:asciiTheme="minorHAnsi" w:hAnsiTheme="minorHAnsi" w:cstheme="minorHAnsi"/>
          <w:sz w:val="22"/>
          <w:szCs w:val="22"/>
        </w:rPr>
        <w:t xml:space="preserve">study </w:t>
      </w:r>
      <w:r w:rsidRPr="00632FB8">
        <w:rPr>
          <w:rFonts w:asciiTheme="minorHAnsi" w:hAnsiTheme="minorHAnsi" w:cstheme="minorHAnsi"/>
          <w:sz w:val="22"/>
          <w:szCs w:val="22"/>
        </w:rPr>
        <w:t xml:space="preserve">site. The IMP should be stored at ambient temperature (15°C to 30°C) without freezing, and should be used by the expiration date and time printed on the label. </w:t>
      </w:r>
    </w:p>
    <w:p w14:paraId="7A49C820" w14:textId="77777777" w:rsidR="00043073" w:rsidRDefault="00043073" w:rsidP="00632FB8">
      <w:pPr>
        <w:pStyle w:val="Default"/>
        <w:jc w:val="both"/>
        <w:rPr>
          <w:rFonts w:asciiTheme="minorHAnsi" w:hAnsiTheme="minorHAnsi" w:cstheme="minorHAnsi"/>
          <w:sz w:val="22"/>
          <w:szCs w:val="22"/>
          <w:vertAlign w:val="superscript"/>
        </w:rPr>
      </w:pPr>
    </w:p>
    <w:p w14:paraId="5C37AC98" w14:textId="5B4B92DD" w:rsidR="00DE0565" w:rsidRDefault="00664E6F" w:rsidP="00632FB8">
      <w:pPr>
        <w:pStyle w:val="Default"/>
        <w:jc w:val="both"/>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asciiTheme="minorHAnsi" w:hAnsiTheme="minorHAnsi" w:cstheme="minorHAnsi"/>
          <w:bCs/>
          <w:sz w:val="22"/>
          <w:szCs w:val="22"/>
        </w:rPr>
        <w:t xml:space="preserve"> </w:t>
      </w:r>
      <w:r w:rsidR="00DE0565" w:rsidRPr="00632FB8">
        <w:rPr>
          <w:rFonts w:asciiTheme="minorHAnsi" w:hAnsiTheme="minorHAnsi" w:cstheme="minorHAnsi"/>
          <w:sz w:val="22"/>
          <w:szCs w:val="22"/>
        </w:rPr>
        <w:t xml:space="preserve">doses will be accompanied by an individual certificate of analysis for each batch. Upon verification of the correct radioactive dose, as specified by the study protocol, the radiopharmacist will hand over the investigational product in a syringe, kept in a lead-shielded container, to the nuclear medicine investigator, or a designated and suitably qualified deputy for administration. This syringe will be labelled by the radiopharmacist according to institutional standards. </w:t>
      </w:r>
    </w:p>
    <w:p w14:paraId="7B8F7F96" w14:textId="77777777" w:rsidR="00043073" w:rsidRPr="00632FB8" w:rsidRDefault="00043073" w:rsidP="00632FB8">
      <w:pPr>
        <w:pStyle w:val="Default"/>
        <w:jc w:val="both"/>
        <w:rPr>
          <w:rFonts w:asciiTheme="minorHAnsi" w:hAnsiTheme="minorHAnsi" w:cstheme="minorHAnsi"/>
          <w:sz w:val="22"/>
          <w:szCs w:val="22"/>
        </w:rPr>
      </w:pPr>
    </w:p>
    <w:p w14:paraId="5EE51CC2" w14:textId="11578234"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Storage, handling and destruction must be performed according to local guidelines regarding radioactive waste management.</w:t>
      </w:r>
    </w:p>
    <w:p w14:paraId="0530EEE7" w14:textId="77777777" w:rsidR="00DE0565" w:rsidRPr="00632FB8" w:rsidRDefault="00DE0565" w:rsidP="00632FB8">
      <w:pPr>
        <w:pStyle w:val="Default"/>
        <w:ind w:left="397"/>
        <w:jc w:val="both"/>
        <w:rPr>
          <w:rFonts w:asciiTheme="minorHAnsi" w:hAnsiTheme="minorHAnsi" w:cstheme="minorHAnsi"/>
          <w:sz w:val="22"/>
          <w:szCs w:val="22"/>
        </w:rPr>
      </w:pPr>
    </w:p>
    <w:p w14:paraId="168D1AA4" w14:textId="4149CFD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5.1.6.2 Drug Accountability </w:t>
      </w:r>
    </w:p>
    <w:p w14:paraId="49536F7C" w14:textId="77777777" w:rsidR="00DE0565" w:rsidRPr="00632FB8" w:rsidRDefault="00DE0565" w:rsidP="00632FB8">
      <w:pPr>
        <w:pStyle w:val="Default"/>
        <w:ind w:left="397"/>
        <w:rPr>
          <w:rFonts w:asciiTheme="minorHAnsi" w:hAnsiTheme="minorHAnsi" w:cstheme="minorHAnsi"/>
          <w:sz w:val="22"/>
          <w:szCs w:val="22"/>
        </w:rPr>
      </w:pPr>
    </w:p>
    <w:p w14:paraId="4B1EA962" w14:textId="5233CC93" w:rsidR="00043073" w:rsidRPr="00915A79" w:rsidRDefault="00DE0565" w:rsidP="00632FB8">
      <w:pPr>
        <w:pStyle w:val="Default"/>
        <w:jc w:val="both"/>
        <w:rPr>
          <w:rFonts w:asciiTheme="minorHAnsi" w:hAnsiTheme="minorHAnsi" w:cstheme="minorHAnsi"/>
          <w:sz w:val="22"/>
          <w:szCs w:val="22"/>
        </w:rPr>
      </w:pPr>
      <w:r w:rsidRPr="00660135">
        <w:rPr>
          <w:rFonts w:asciiTheme="minorHAnsi" w:hAnsiTheme="minorHAnsi" w:cstheme="minorHAnsi"/>
          <w:sz w:val="22"/>
          <w:szCs w:val="22"/>
        </w:rPr>
        <w:t>Receipt, distribution and return of the study drug must be properly documented on the forms provided by the sponsor giving the following information: study protocol number, sender, receiver, date, mode of transport, quantity, batch number, expiration date and retest date, if applicable.</w:t>
      </w:r>
    </w:p>
    <w:p w14:paraId="1DE421CF" w14:textId="283C020A" w:rsidR="00DE0565" w:rsidRPr="00632FB8" w:rsidRDefault="00DE0565" w:rsidP="00632FB8">
      <w:pPr>
        <w:pStyle w:val="Default"/>
        <w:jc w:val="both"/>
        <w:rPr>
          <w:rFonts w:asciiTheme="minorHAnsi" w:hAnsiTheme="minorHAnsi" w:cstheme="minorHAnsi"/>
          <w:sz w:val="22"/>
          <w:szCs w:val="22"/>
        </w:rPr>
      </w:pPr>
    </w:p>
    <w:p w14:paraId="62B8EF39" w14:textId="53F1CC74"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5.2 Treatment Assignment </w:t>
      </w:r>
    </w:p>
    <w:p w14:paraId="7E3D5833" w14:textId="77777777" w:rsidR="00DE0565" w:rsidRPr="00632FB8" w:rsidRDefault="00DE0565" w:rsidP="00632FB8">
      <w:pPr>
        <w:pStyle w:val="Default"/>
        <w:ind w:left="397"/>
        <w:rPr>
          <w:rFonts w:asciiTheme="minorHAnsi" w:hAnsiTheme="minorHAnsi" w:cstheme="minorHAnsi"/>
          <w:sz w:val="22"/>
          <w:szCs w:val="22"/>
        </w:rPr>
      </w:pPr>
    </w:p>
    <w:p w14:paraId="6BBE3AEA" w14:textId="5D76414C" w:rsidR="00DE0565" w:rsidRDefault="00915A79" w:rsidP="00632FB8">
      <w:pPr>
        <w:pStyle w:val="Default"/>
        <w:jc w:val="both"/>
        <w:rPr>
          <w:rFonts w:asciiTheme="minorHAnsi" w:hAnsiTheme="minorHAnsi" w:cstheme="minorHAnsi"/>
          <w:sz w:val="22"/>
          <w:szCs w:val="22"/>
        </w:rPr>
      </w:pPr>
      <w:r>
        <w:rPr>
          <w:rFonts w:asciiTheme="minorHAnsi" w:hAnsiTheme="minorHAnsi" w:cstheme="minorHAnsi"/>
          <w:sz w:val="22"/>
          <w:szCs w:val="22"/>
        </w:rPr>
        <w:t xml:space="preserve">After fully establishing the eligibility of the patient by the clinical trial site staff, </w:t>
      </w:r>
      <w:r w:rsidR="00DE0565" w:rsidRPr="00632FB8">
        <w:rPr>
          <w:rFonts w:asciiTheme="minorHAnsi" w:hAnsiTheme="minorHAnsi" w:cstheme="minorHAnsi"/>
          <w:sz w:val="22"/>
          <w:szCs w:val="22"/>
        </w:rPr>
        <w:t xml:space="preserve">the screening physician will confirm eligibility and an imaging day </w:t>
      </w:r>
      <w:r>
        <w:rPr>
          <w:rFonts w:asciiTheme="minorHAnsi" w:hAnsiTheme="minorHAnsi" w:cstheme="minorHAnsi"/>
          <w:sz w:val="22"/>
          <w:szCs w:val="22"/>
        </w:rPr>
        <w:t>will</w:t>
      </w:r>
      <w:r w:rsidRPr="00632FB8">
        <w:rPr>
          <w:rFonts w:asciiTheme="minorHAnsi" w:hAnsiTheme="minorHAnsi" w:cstheme="minorHAnsi"/>
          <w:sz w:val="22"/>
          <w:szCs w:val="22"/>
        </w:rPr>
        <w:t xml:space="preserve"> </w:t>
      </w:r>
      <w:r w:rsidR="00DE0565" w:rsidRPr="00632FB8">
        <w:rPr>
          <w:rFonts w:asciiTheme="minorHAnsi" w:hAnsiTheme="minorHAnsi" w:cstheme="minorHAnsi"/>
          <w:sz w:val="22"/>
          <w:szCs w:val="22"/>
        </w:rPr>
        <w:t xml:space="preserve">be scheduled before the administration of the study drug. When the imaging day has been confirmed, the individual patient number will be allocated. </w:t>
      </w:r>
    </w:p>
    <w:p w14:paraId="140B2DB3" w14:textId="77777777" w:rsidR="00DE0565" w:rsidRPr="00632FB8" w:rsidRDefault="00DE0565" w:rsidP="00632FB8">
      <w:pPr>
        <w:pStyle w:val="Default"/>
        <w:ind w:left="397"/>
        <w:jc w:val="both"/>
        <w:rPr>
          <w:rFonts w:asciiTheme="minorHAnsi" w:hAnsiTheme="minorHAnsi" w:cstheme="minorHAnsi"/>
          <w:sz w:val="22"/>
          <w:szCs w:val="22"/>
        </w:rPr>
      </w:pPr>
    </w:p>
    <w:p w14:paraId="45F78E71" w14:textId="3DCF2CF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5.</w:t>
      </w:r>
      <w:r>
        <w:rPr>
          <w:rFonts w:asciiTheme="minorHAnsi" w:hAnsiTheme="minorHAnsi" w:cstheme="minorHAnsi"/>
          <w:b/>
          <w:bCs/>
          <w:sz w:val="22"/>
          <w:szCs w:val="22"/>
        </w:rPr>
        <w:t>3</w:t>
      </w:r>
      <w:r w:rsidRPr="00632FB8">
        <w:rPr>
          <w:rFonts w:asciiTheme="minorHAnsi" w:hAnsiTheme="minorHAnsi" w:cstheme="minorHAnsi"/>
          <w:b/>
          <w:bCs/>
          <w:sz w:val="22"/>
          <w:szCs w:val="22"/>
        </w:rPr>
        <w:t xml:space="preserve"> Treatment Compliance </w:t>
      </w:r>
    </w:p>
    <w:p w14:paraId="3D75E9D4" w14:textId="77777777" w:rsidR="00DE0565" w:rsidRPr="00632FB8" w:rsidRDefault="00DE0565" w:rsidP="00632FB8">
      <w:pPr>
        <w:pStyle w:val="Default"/>
        <w:ind w:left="397"/>
        <w:rPr>
          <w:rFonts w:asciiTheme="minorHAnsi" w:hAnsiTheme="minorHAnsi" w:cstheme="minorHAnsi"/>
          <w:sz w:val="22"/>
          <w:szCs w:val="22"/>
        </w:rPr>
      </w:pPr>
    </w:p>
    <w:p w14:paraId="45206D33" w14:textId="01B14E45" w:rsidR="00DE0565" w:rsidRDefault="00664E6F" w:rsidP="00632FB8">
      <w:pPr>
        <w:pStyle w:val="Default"/>
        <w:jc w:val="both"/>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asciiTheme="minorHAnsi" w:hAnsiTheme="minorHAnsi" w:cstheme="minorHAnsi"/>
          <w:bCs/>
          <w:sz w:val="22"/>
          <w:szCs w:val="22"/>
        </w:rPr>
        <w:t xml:space="preserve"> </w:t>
      </w:r>
      <w:r w:rsidR="00DE0565" w:rsidRPr="00632FB8">
        <w:rPr>
          <w:rFonts w:asciiTheme="minorHAnsi" w:hAnsiTheme="minorHAnsi" w:cstheme="minorHAnsi"/>
          <w:sz w:val="22"/>
          <w:szCs w:val="22"/>
        </w:rPr>
        <w:t xml:space="preserve">will be administered by study personnel at the site. Details of each administration will be recorded in the CRF. </w:t>
      </w:r>
    </w:p>
    <w:p w14:paraId="60A7D09F" w14:textId="77777777" w:rsidR="00DE0565" w:rsidRPr="00632FB8" w:rsidRDefault="00DE0565" w:rsidP="00632FB8">
      <w:pPr>
        <w:pStyle w:val="Default"/>
        <w:ind w:left="397"/>
        <w:jc w:val="both"/>
        <w:rPr>
          <w:rFonts w:asciiTheme="minorHAnsi" w:hAnsiTheme="minorHAnsi" w:cstheme="minorHAnsi"/>
          <w:sz w:val="22"/>
          <w:szCs w:val="22"/>
        </w:rPr>
      </w:pPr>
    </w:p>
    <w:p w14:paraId="080A29CD" w14:textId="48388950" w:rsidR="00DE0565" w:rsidRDefault="00DE0565" w:rsidP="00DE0565">
      <w:pPr>
        <w:pStyle w:val="Default"/>
        <w:ind w:left="397"/>
        <w:rPr>
          <w:rFonts w:asciiTheme="minorHAnsi" w:hAnsiTheme="minorHAnsi" w:cstheme="minorHAnsi"/>
          <w:b/>
          <w:bCs/>
          <w:sz w:val="22"/>
          <w:szCs w:val="22"/>
        </w:rPr>
      </w:pPr>
      <w:r>
        <w:rPr>
          <w:rFonts w:asciiTheme="minorHAnsi" w:hAnsiTheme="minorHAnsi" w:cstheme="minorHAnsi"/>
          <w:b/>
          <w:bCs/>
          <w:sz w:val="22"/>
          <w:szCs w:val="22"/>
        </w:rPr>
        <w:t xml:space="preserve">5.4 </w:t>
      </w:r>
      <w:r w:rsidRPr="00632FB8">
        <w:rPr>
          <w:rFonts w:asciiTheme="minorHAnsi" w:hAnsiTheme="minorHAnsi" w:cstheme="minorHAnsi"/>
          <w:b/>
          <w:bCs/>
          <w:sz w:val="22"/>
          <w:szCs w:val="22"/>
        </w:rPr>
        <w:t xml:space="preserve">Treatment of Overdose </w:t>
      </w:r>
    </w:p>
    <w:p w14:paraId="65CF7C91" w14:textId="77777777" w:rsidR="00DE0565" w:rsidRPr="00632FB8" w:rsidRDefault="00DE0565" w:rsidP="00632FB8">
      <w:pPr>
        <w:pStyle w:val="Default"/>
        <w:ind w:left="397"/>
        <w:rPr>
          <w:rFonts w:asciiTheme="minorHAnsi" w:hAnsiTheme="minorHAnsi" w:cstheme="minorHAnsi"/>
          <w:sz w:val="22"/>
          <w:szCs w:val="22"/>
        </w:rPr>
      </w:pPr>
    </w:p>
    <w:p w14:paraId="08F26303" w14:textId="5F440FCC" w:rsidR="00DE0565" w:rsidRDefault="00664E6F" w:rsidP="00632FB8">
      <w:pPr>
        <w:pStyle w:val="Default"/>
        <w:jc w:val="both"/>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asciiTheme="minorHAnsi" w:hAnsiTheme="minorHAnsi" w:cstheme="minorHAnsi"/>
          <w:bCs/>
          <w:sz w:val="22"/>
          <w:szCs w:val="22"/>
        </w:rPr>
        <w:t xml:space="preserve"> </w:t>
      </w:r>
      <w:r w:rsidR="00DE0565" w:rsidRPr="00632FB8">
        <w:rPr>
          <w:rFonts w:asciiTheme="minorHAnsi" w:hAnsiTheme="minorHAnsi" w:cstheme="minorHAnsi"/>
          <w:sz w:val="22"/>
          <w:szCs w:val="22"/>
        </w:rPr>
        <w:t xml:space="preserve">has a very favourable safety profile. </w:t>
      </w:r>
    </w:p>
    <w:p w14:paraId="0CFFD60A" w14:textId="77777777" w:rsidR="00DE0565" w:rsidRPr="00632FB8" w:rsidRDefault="00DE0565" w:rsidP="00632FB8">
      <w:pPr>
        <w:pStyle w:val="Default"/>
        <w:ind w:left="397"/>
        <w:jc w:val="both"/>
        <w:rPr>
          <w:rFonts w:asciiTheme="minorHAnsi" w:hAnsiTheme="minorHAnsi" w:cstheme="minorHAnsi"/>
          <w:sz w:val="22"/>
          <w:szCs w:val="22"/>
        </w:rPr>
      </w:pPr>
    </w:p>
    <w:p w14:paraId="55CD0CC8" w14:textId="4DC2F4DB"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risk of overdosing is minimal in this trial, as individual doses will be prepared centrally by a radiopharmaceutical contract manufacturer. Nevertheless, if accidental overdosing of radio-labelled product should occur, it will result in increased radioactive tissue exposure, with kidney and bone marrow as the critical organs. </w:t>
      </w:r>
    </w:p>
    <w:p w14:paraId="4B384A61" w14:textId="77777777" w:rsidR="00DE0565" w:rsidRPr="00632FB8" w:rsidRDefault="00DE0565" w:rsidP="00632FB8">
      <w:pPr>
        <w:pStyle w:val="Default"/>
        <w:ind w:left="397"/>
        <w:jc w:val="both"/>
        <w:rPr>
          <w:rFonts w:asciiTheme="minorHAnsi" w:hAnsiTheme="minorHAnsi" w:cstheme="minorHAnsi"/>
          <w:sz w:val="22"/>
          <w:szCs w:val="22"/>
        </w:rPr>
      </w:pPr>
    </w:p>
    <w:p w14:paraId="3B7B4B86" w14:textId="2E048D5B" w:rsidR="003F580D" w:rsidRDefault="00DE0565" w:rsidP="00632FB8">
      <w:pPr>
        <w:tabs>
          <w:tab w:val="left" w:pos="1185"/>
        </w:tabs>
        <w:spacing w:after="0" w:line="240" w:lineRule="auto"/>
        <w:jc w:val="both"/>
        <w:rPr>
          <w:rFonts w:cstheme="minorHAnsi"/>
        </w:rPr>
      </w:pPr>
      <w:r w:rsidRPr="00305BC5">
        <w:rPr>
          <w:rFonts w:cstheme="minorHAnsi"/>
        </w:rPr>
        <w:t xml:space="preserve">In the event of an overdose of </w:t>
      </w:r>
      <w:r w:rsidR="00664E6F" w:rsidRPr="009D2267">
        <w:rPr>
          <w:rFonts w:cstheme="minorHAnsi"/>
          <w:bCs/>
          <w:vertAlign w:val="superscript"/>
        </w:rPr>
        <w:t>89</w:t>
      </w:r>
      <w:r w:rsidR="00664E6F" w:rsidRPr="009D2267">
        <w:rPr>
          <w:rFonts w:cstheme="minorHAnsi"/>
          <w:bCs/>
        </w:rPr>
        <w:t>Zr-TLX250</w:t>
      </w:r>
      <w:r w:rsidRPr="00305BC5">
        <w:rPr>
          <w:rFonts w:cstheme="minorHAnsi"/>
        </w:rPr>
        <w:t>, no specific treatments are available, and the patient should be treated at the discretio</w:t>
      </w:r>
      <w:r w:rsidRPr="00556D59">
        <w:rPr>
          <w:rFonts w:cstheme="minorHAnsi"/>
        </w:rPr>
        <w:t>n of the investigator.</w:t>
      </w:r>
    </w:p>
    <w:p w14:paraId="49F4E8ED" w14:textId="53989F1E" w:rsidR="00DE0565" w:rsidRDefault="00DE0565" w:rsidP="00DE0565">
      <w:pPr>
        <w:tabs>
          <w:tab w:val="left" w:pos="1185"/>
        </w:tabs>
        <w:spacing w:after="0" w:line="240" w:lineRule="auto"/>
        <w:ind w:left="397"/>
        <w:jc w:val="both"/>
        <w:rPr>
          <w:rFonts w:cstheme="minorHAnsi"/>
        </w:rPr>
      </w:pPr>
    </w:p>
    <w:p w14:paraId="211D25A1" w14:textId="4B56A088" w:rsidR="00DE0565" w:rsidRDefault="00DE0565" w:rsidP="00DE0565">
      <w:pPr>
        <w:tabs>
          <w:tab w:val="left" w:pos="1185"/>
        </w:tabs>
        <w:spacing w:after="0" w:line="240" w:lineRule="auto"/>
        <w:ind w:left="397"/>
        <w:jc w:val="both"/>
        <w:rPr>
          <w:rFonts w:cstheme="minorHAnsi"/>
          <w:b/>
          <w:bCs/>
        </w:rPr>
      </w:pPr>
      <w:r w:rsidRPr="0081134C">
        <w:rPr>
          <w:rFonts w:cstheme="minorHAnsi"/>
          <w:b/>
          <w:bCs/>
        </w:rPr>
        <w:t>5.5 Radiation Precautions</w:t>
      </w:r>
    </w:p>
    <w:p w14:paraId="508DBDCD" w14:textId="6B05231D" w:rsidR="00DE0565" w:rsidRDefault="00DE0565" w:rsidP="00DE0565">
      <w:pPr>
        <w:tabs>
          <w:tab w:val="left" w:pos="1185"/>
        </w:tabs>
        <w:spacing w:after="0" w:line="240" w:lineRule="auto"/>
        <w:ind w:left="397"/>
        <w:jc w:val="both"/>
        <w:rPr>
          <w:rFonts w:cstheme="minorHAnsi"/>
          <w:b/>
          <w:bCs/>
        </w:rPr>
      </w:pPr>
    </w:p>
    <w:p w14:paraId="3F0CC28B" w14:textId="05EFEC98" w:rsidR="00A338D6" w:rsidRDefault="00A338D6"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Medical administration of radioactive diagnostic tracers such as </w:t>
      </w:r>
      <w:r w:rsidR="00664E6F" w:rsidRPr="009D2267">
        <w:rPr>
          <w:rFonts w:asciiTheme="minorHAnsi" w:hAnsiTheme="minorHAnsi" w:cstheme="minorHAnsi"/>
          <w:bCs/>
          <w:sz w:val="22"/>
          <w:szCs w:val="22"/>
          <w:vertAlign w:val="superscript"/>
        </w:rPr>
        <w:t>89</w:t>
      </w:r>
      <w:r w:rsidR="00664E6F" w:rsidRPr="009D2267">
        <w:rPr>
          <w:rFonts w:asciiTheme="minorHAnsi" w:hAnsiTheme="minorHAnsi" w:cstheme="minorHAnsi"/>
          <w:bCs/>
          <w:sz w:val="22"/>
          <w:szCs w:val="22"/>
        </w:rPr>
        <w:t>Zr-TLX250</w:t>
      </w:r>
      <w:r w:rsidR="00664E6F">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is guided by national radiation safety regulations, differing extensively between countries. </w:t>
      </w:r>
    </w:p>
    <w:p w14:paraId="3DBB364C" w14:textId="77777777" w:rsidR="00A338D6" w:rsidRPr="00632FB8" w:rsidRDefault="00A338D6" w:rsidP="00632FB8">
      <w:pPr>
        <w:pStyle w:val="Default"/>
        <w:ind w:left="397"/>
        <w:jc w:val="both"/>
        <w:rPr>
          <w:rFonts w:asciiTheme="minorHAnsi" w:hAnsiTheme="minorHAnsi" w:cstheme="minorHAnsi"/>
          <w:sz w:val="22"/>
          <w:szCs w:val="22"/>
        </w:rPr>
      </w:pPr>
    </w:p>
    <w:p w14:paraId="3F20F763" w14:textId="521555B9" w:rsidR="00A338D6" w:rsidRPr="00556D59" w:rsidRDefault="00A338D6" w:rsidP="00632FB8">
      <w:pPr>
        <w:tabs>
          <w:tab w:val="left" w:pos="1185"/>
        </w:tabs>
        <w:spacing w:after="0" w:line="240" w:lineRule="auto"/>
        <w:jc w:val="both"/>
        <w:rPr>
          <w:rFonts w:cstheme="minorHAnsi"/>
        </w:rPr>
      </w:pPr>
      <w:r w:rsidRPr="00305BC5">
        <w:rPr>
          <w:rFonts w:cstheme="minorHAnsi"/>
        </w:rPr>
        <w:t>Excretion limits acceptable for discharge will be defined by the investigators in compliance with the local regulations. Commonly, patients will be discharged from the hospital 2 hours p.a., unless the investigator decides otherwise.</w:t>
      </w:r>
    </w:p>
    <w:p w14:paraId="178671F3" w14:textId="1BCE45A8" w:rsidR="00A338D6" w:rsidRPr="00613F26" w:rsidRDefault="00A338D6" w:rsidP="00BF49CE">
      <w:pPr>
        <w:tabs>
          <w:tab w:val="left" w:pos="1185"/>
        </w:tabs>
        <w:spacing w:after="0" w:line="240" w:lineRule="auto"/>
        <w:ind w:left="397"/>
        <w:jc w:val="both"/>
        <w:rPr>
          <w:rFonts w:cstheme="minorHAnsi"/>
        </w:rPr>
      </w:pPr>
    </w:p>
    <w:p w14:paraId="76794CC0" w14:textId="2E71B0AD" w:rsidR="00A338D6" w:rsidRDefault="00A338D6"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lastRenderedPageBreak/>
        <w:t xml:space="preserve">Patients will be encouraged to increase fluid intake and to void frequently through the first day after administration. </w:t>
      </w:r>
    </w:p>
    <w:p w14:paraId="5A93B57D" w14:textId="77777777" w:rsidR="00A338D6" w:rsidRPr="00632FB8" w:rsidRDefault="00A338D6" w:rsidP="00632FB8">
      <w:pPr>
        <w:pStyle w:val="Default"/>
        <w:ind w:left="397"/>
        <w:rPr>
          <w:rFonts w:asciiTheme="minorHAnsi" w:hAnsiTheme="minorHAnsi" w:cstheme="minorHAnsi"/>
          <w:sz w:val="22"/>
          <w:szCs w:val="22"/>
        </w:rPr>
      </w:pPr>
    </w:p>
    <w:p w14:paraId="268267B9" w14:textId="77777777" w:rsidR="00A338D6" w:rsidRPr="00632FB8" w:rsidRDefault="00A338D6"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following safety precautions apply for patients: </w:t>
      </w:r>
    </w:p>
    <w:p w14:paraId="73D1F55A" w14:textId="53E2F17E" w:rsidR="00A338D6" w:rsidRPr="00632FB8" w:rsidRDefault="00A338D6" w:rsidP="00632FB8">
      <w:pPr>
        <w:pStyle w:val="Default"/>
        <w:numPr>
          <w:ilvl w:val="0"/>
          <w:numId w:val="29"/>
        </w:numPr>
        <w:rPr>
          <w:rFonts w:asciiTheme="minorHAnsi" w:hAnsiTheme="minorHAnsi" w:cstheme="minorHAnsi"/>
          <w:sz w:val="22"/>
          <w:szCs w:val="22"/>
        </w:rPr>
      </w:pPr>
      <w:r w:rsidRPr="00632FB8">
        <w:rPr>
          <w:rFonts w:asciiTheme="minorHAnsi" w:hAnsiTheme="minorHAnsi" w:cstheme="minorHAnsi"/>
          <w:sz w:val="22"/>
          <w:szCs w:val="22"/>
        </w:rPr>
        <w:t xml:space="preserve">Patients should be advised to observe rigorous hygiene in order to avoid risk of contamination of others using the same toilet facility. </w:t>
      </w:r>
    </w:p>
    <w:p w14:paraId="58BE7308" w14:textId="44574371" w:rsidR="00A338D6" w:rsidRPr="00632FB8" w:rsidRDefault="00A338D6" w:rsidP="00632FB8">
      <w:pPr>
        <w:pStyle w:val="Default"/>
        <w:numPr>
          <w:ilvl w:val="0"/>
          <w:numId w:val="29"/>
        </w:numPr>
        <w:rPr>
          <w:rFonts w:asciiTheme="minorHAnsi" w:hAnsiTheme="minorHAnsi" w:cstheme="minorHAnsi"/>
          <w:sz w:val="22"/>
          <w:szCs w:val="22"/>
        </w:rPr>
      </w:pPr>
      <w:r w:rsidRPr="00632FB8">
        <w:rPr>
          <w:rFonts w:asciiTheme="minorHAnsi" w:hAnsiTheme="minorHAnsi" w:cstheme="minorHAnsi"/>
          <w:sz w:val="22"/>
          <w:szCs w:val="22"/>
        </w:rPr>
        <w:t xml:space="preserve">A double toilet flush is recommended. </w:t>
      </w:r>
    </w:p>
    <w:p w14:paraId="1D4FE522" w14:textId="62C329A1" w:rsidR="00A338D6" w:rsidRPr="00632FB8" w:rsidRDefault="00A338D6" w:rsidP="00632FB8">
      <w:pPr>
        <w:pStyle w:val="Default"/>
        <w:numPr>
          <w:ilvl w:val="0"/>
          <w:numId w:val="29"/>
        </w:numPr>
        <w:rPr>
          <w:rFonts w:asciiTheme="minorHAnsi" w:hAnsiTheme="minorHAnsi" w:cstheme="minorHAnsi"/>
          <w:sz w:val="22"/>
          <w:szCs w:val="22"/>
        </w:rPr>
      </w:pPr>
      <w:r w:rsidRPr="00632FB8">
        <w:rPr>
          <w:rFonts w:asciiTheme="minorHAnsi" w:hAnsiTheme="minorHAnsi" w:cstheme="minorHAnsi"/>
          <w:sz w:val="22"/>
          <w:szCs w:val="22"/>
        </w:rPr>
        <w:t xml:space="preserve">Patients should wash their hands thoroughly every time after using the toilet. </w:t>
      </w:r>
    </w:p>
    <w:p w14:paraId="1D15FA0F" w14:textId="7420EEAF" w:rsidR="00A338D6" w:rsidRPr="00632FB8" w:rsidRDefault="00A338D6" w:rsidP="00632FB8">
      <w:pPr>
        <w:pStyle w:val="Default"/>
        <w:numPr>
          <w:ilvl w:val="0"/>
          <w:numId w:val="29"/>
        </w:numPr>
        <w:rPr>
          <w:rFonts w:asciiTheme="minorHAnsi" w:hAnsiTheme="minorHAnsi" w:cstheme="minorHAnsi"/>
          <w:sz w:val="22"/>
          <w:szCs w:val="22"/>
        </w:rPr>
      </w:pPr>
      <w:r w:rsidRPr="00632FB8">
        <w:rPr>
          <w:rFonts w:asciiTheme="minorHAnsi" w:hAnsiTheme="minorHAnsi" w:cstheme="minorHAnsi"/>
          <w:sz w:val="22"/>
          <w:szCs w:val="22"/>
        </w:rPr>
        <w:t xml:space="preserve">During the first week after treatment, patients should follow detailed instructions, as given in the trial participant card, regarding their distance from and contact to other persons. </w:t>
      </w:r>
    </w:p>
    <w:p w14:paraId="6F26C778" w14:textId="77777777" w:rsidR="00A338D6" w:rsidRPr="00632FB8" w:rsidRDefault="00A338D6" w:rsidP="00632FB8">
      <w:pPr>
        <w:pStyle w:val="Default"/>
        <w:ind w:left="397"/>
        <w:rPr>
          <w:rFonts w:asciiTheme="minorHAnsi" w:hAnsiTheme="minorHAnsi" w:cstheme="minorHAnsi"/>
          <w:sz w:val="22"/>
          <w:szCs w:val="22"/>
        </w:rPr>
      </w:pPr>
    </w:p>
    <w:p w14:paraId="3DBF455F" w14:textId="6FA651AD" w:rsidR="00A338D6" w:rsidRDefault="00A338D6"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following precautions apply for health care workers and for laboratory assessments: </w:t>
      </w:r>
    </w:p>
    <w:p w14:paraId="5A984ECF" w14:textId="77777777" w:rsidR="00A338D6" w:rsidRPr="00632FB8" w:rsidRDefault="00A338D6" w:rsidP="00632FB8">
      <w:pPr>
        <w:pStyle w:val="Default"/>
        <w:ind w:left="397"/>
        <w:jc w:val="both"/>
        <w:rPr>
          <w:rFonts w:asciiTheme="minorHAnsi" w:hAnsiTheme="minorHAnsi" w:cstheme="minorHAnsi"/>
          <w:sz w:val="22"/>
          <w:szCs w:val="22"/>
        </w:rPr>
      </w:pPr>
    </w:p>
    <w:p w14:paraId="6DD5343C" w14:textId="201449DF" w:rsidR="00A338D6" w:rsidRDefault="00A338D6"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Healthcare personnel are advised to limit the time of close contact with patients injected with (</w:t>
      </w:r>
      <w:r w:rsidRPr="00660135">
        <w:rPr>
          <w:rFonts w:asciiTheme="minorHAnsi" w:hAnsiTheme="minorHAnsi" w:cstheme="minorHAnsi"/>
          <w:sz w:val="22"/>
          <w:szCs w:val="22"/>
          <w:vertAlign w:val="superscript"/>
        </w:rPr>
        <w:t>89</w:t>
      </w:r>
      <w:r w:rsidRPr="00632FB8">
        <w:rPr>
          <w:rFonts w:asciiTheme="minorHAnsi" w:hAnsiTheme="minorHAnsi" w:cstheme="minorHAnsi"/>
          <w:sz w:val="22"/>
          <w:szCs w:val="22"/>
        </w:rPr>
        <w:t xml:space="preserve">Zr)-labelled radiopharmaceuticals. Use appropriate shielding on the day of administration. Laboratory assessments will be performed by the central laboratory. Because of the potential for radioactivity in some blood and urine samples, the site personnel must adhere to their SOPs and/or any guidance and regulations for handling radioactive substances. It is mandatory to use protective high quality (latex/nitrile) gloves in any direct contact with the radiopharmaceutical (vial/syringe) and with the patient. </w:t>
      </w:r>
    </w:p>
    <w:p w14:paraId="1D4CFD0D" w14:textId="77777777" w:rsidR="00043073" w:rsidRPr="00632FB8" w:rsidRDefault="00043073" w:rsidP="00632FB8">
      <w:pPr>
        <w:pStyle w:val="Default"/>
        <w:ind w:left="397"/>
        <w:rPr>
          <w:rFonts w:asciiTheme="minorHAnsi" w:hAnsiTheme="minorHAnsi" w:cstheme="minorHAnsi"/>
          <w:sz w:val="22"/>
          <w:szCs w:val="22"/>
        </w:rPr>
      </w:pPr>
    </w:p>
    <w:p w14:paraId="5A9BC484" w14:textId="323D1FB4" w:rsidR="00DE0565" w:rsidRDefault="00DE0565" w:rsidP="00DE0565">
      <w:pPr>
        <w:tabs>
          <w:tab w:val="left" w:pos="1185"/>
        </w:tabs>
        <w:spacing w:after="0" w:line="240" w:lineRule="auto"/>
        <w:ind w:left="397"/>
        <w:jc w:val="both"/>
        <w:rPr>
          <w:rFonts w:cstheme="minorHAnsi"/>
          <w:b/>
          <w:bCs/>
        </w:rPr>
      </w:pPr>
      <w:r>
        <w:rPr>
          <w:rFonts w:cstheme="minorHAnsi"/>
          <w:b/>
          <w:bCs/>
        </w:rPr>
        <w:t>6. Therapies other than Study Treatment</w:t>
      </w:r>
    </w:p>
    <w:p w14:paraId="6DF5FD33" w14:textId="10FF924E" w:rsidR="00DE0565" w:rsidRDefault="00DE0565" w:rsidP="00DE0565">
      <w:pPr>
        <w:tabs>
          <w:tab w:val="left" w:pos="1185"/>
        </w:tabs>
        <w:spacing w:after="0" w:line="240" w:lineRule="auto"/>
        <w:ind w:left="397"/>
        <w:jc w:val="both"/>
        <w:rPr>
          <w:rFonts w:cstheme="minorHAnsi"/>
          <w:b/>
          <w:bCs/>
        </w:rPr>
      </w:pPr>
    </w:p>
    <w:p w14:paraId="718B563F" w14:textId="2126FCEC" w:rsidR="00820766" w:rsidRDefault="00DE0565">
      <w:pPr>
        <w:pStyle w:val="Default"/>
        <w:ind w:left="397"/>
        <w:rPr>
          <w:rFonts w:asciiTheme="minorHAnsi" w:hAnsiTheme="minorHAnsi" w:cstheme="minorHAnsi"/>
          <w:sz w:val="22"/>
          <w:szCs w:val="22"/>
        </w:rPr>
      </w:pPr>
      <w:r w:rsidRPr="00632FB8">
        <w:rPr>
          <w:rFonts w:asciiTheme="minorHAnsi" w:hAnsiTheme="minorHAnsi" w:cstheme="minorHAnsi"/>
          <w:b/>
          <w:bCs/>
          <w:sz w:val="22"/>
          <w:szCs w:val="22"/>
        </w:rPr>
        <w:t xml:space="preserve">6.1 Prior and Concomitant Therapy </w:t>
      </w:r>
    </w:p>
    <w:p w14:paraId="74470B5B" w14:textId="77777777" w:rsidR="00043073" w:rsidRDefault="00043073">
      <w:pPr>
        <w:pStyle w:val="Default"/>
        <w:ind w:left="397"/>
        <w:rPr>
          <w:rFonts w:asciiTheme="minorHAnsi" w:hAnsiTheme="minorHAnsi" w:cstheme="minorHAnsi"/>
          <w:b/>
          <w:bCs/>
          <w:sz w:val="22"/>
          <w:szCs w:val="22"/>
        </w:rPr>
      </w:pPr>
    </w:p>
    <w:p w14:paraId="4EDFB70E" w14:textId="7E844F8A"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Prior medications (within 30 days from planned dosing visit at Day 0) and all medications (including herbal medications) taken from Day 0 until EOS must be recorded in the patien</w:t>
      </w:r>
      <w:r>
        <w:rPr>
          <w:rFonts w:asciiTheme="minorHAnsi" w:hAnsiTheme="minorHAnsi" w:cstheme="minorHAnsi"/>
          <w:sz w:val="22"/>
          <w:szCs w:val="22"/>
        </w:rPr>
        <w:t>t’</w:t>
      </w:r>
      <w:r w:rsidRPr="00632FB8">
        <w:rPr>
          <w:rFonts w:asciiTheme="minorHAnsi" w:hAnsiTheme="minorHAnsi" w:cstheme="minorHAnsi"/>
          <w:sz w:val="22"/>
          <w:szCs w:val="22"/>
        </w:rPr>
        <w:t xml:space="preserve">s CRF. </w:t>
      </w:r>
    </w:p>
    <w:p w14:paraId="648B87BC" w14:textId="77777777" w:rsidR="00043073" w:rsidRPr="00632FB8" w:rsidRDefault="00043073" w:rsidP="00BF49CE">
      <w:pPr>
        <w:pStyle w:val="Default"/>
        <w:rPr>
          <w:rFonts w:asciiTheme="minorHAnsi" w:hAnsiTheme="minorHAnsi" w:cstheme="minorHAnsi"/>
          <w:sz w:val="22"/>
          <w:szCs w:val="22"/>
        </w:rPr>
      </w:pPr>
    </w:p>
    <w:p w14:paraId="777E70C5" w14:textId="34EC526D"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Treatment (concomitant medication or physical therapy) for AEs must be recorded in the AE section of the patien</w:t>
      </w:r>
      <w:r>
        <w:rPr>
          <w:rFonts w:asciiTheme="minorHAnsi" w:hAnsiTheme="minorHAnsi" w:cstheme="minorHAnsi"/>
          <w:sz w:val="22"/>
          <w:szCs w:val="22"/>
        </w:rPr>
        <w:t>t’</w:t>
      </w:r>
      <w:r w:rsidRPr="00632FB8">
        <w:rPr>
          <w:rFonts w:asciiTheme="minorHAnsi" w:hAnsiTheme="minorHAnsi" w:cstheme="minorHAnsi"/>
          <w:sz w:val="22"/>
          <w:szCs w:val="22"/>
        </w:rPr>
        <w:t xml:space="preserve">s CRF. </w:t>
      </w:r>
    </w:p>
    <w:p w14:paraId="167FA572" w14:textId="77777777" w:rsidR="00DE0565" w:rsidRPr="00632FB8" w:rsidRDefault="00DE0565" w:rsidP="00632FB8">
      <w:pPr>
        <w:pStyle w:val="Default"/>
        <w:ind w:left="397"/>
        <w:rPr>
          <w:rFonts w:asciiTheme="minorHAnsi" w:hAnsiTheme="minorHAnsi" w:cstheme="minorHAnsi"/>
          <w:sz w:val="22"/>
          <w:szCs w:val="22"/>
        </w:rPr>
      </w:pPr>
    </w:p>
    <w:p w14:paraId="379C68B8" w14:textId="425566F4" w:rsidR="00DE0565" w:rsidRPr="00632FB8" w:rsidRDefault="00DE0565" w:rsidP="00BF49CE">
      <w:pPr>
        <w:tabs>
          <w:tab w:val="left" w:pos="1185"/>
        </w:tabs>
        <w:spacing w:after="0" w:line="240" w:lineRule="auto"/>
        <w:jc w:val="both"/>
        <w:rPr>
          <w:rFonts w:cstheme="minorHAnsi"/>
          <w:b/>
          <w:bCs/>
        </w:rPr>
      </w:pPr>
      <w:r w:rsidRPr="00305BC5">
        <w:rPr>
          <w:rFonts w:cstheme="minorHAnsi"/>
        </w:rPr>
        <w:t>The reason for treatment, generic name, administration form, strength, dose, frequency of dosing, route of administration, start date and, if applicable, stop date should also be recorded in th</w:t>
      </w:r>
      <w:r w:rsidR="00A338D6">
        <w:rPr>
          <w:rFonts w:cstheme="minorHAnsi"/>
        </w:rPr>
        <w:t>e C</w:t>
      </w:r>
      <w:r w:rsidRPr="00305BC5">
        <w:rPr>
          <w:rFonts w:cstheme="minorHAnsi"/>
        </w:rPr>
        <w:t>RF. All therapies and medications will be encoded according to the World Health Organization Drug Dictionary classificatio</w:t>
      </w:r>
      <w:r>
        <w:rPr>
          <w:rFonts w:cstheme="minorHAnsi"/>
        </w:rPr>
        <w:t>n</w:t>
      </w:r>
    </w:p>
    <w:p w14:paraId="3A0FF5F2" w14:textId="77777777" w:rsidR="003F580D" w:rsidRPr="00DE0565" w:rsidRDefault="003F580D" w:rsidP="00632FB8">
      <w:pPr>
        <w:tabs>
          <w:tab w:val="left" w:pos="1185"/>
        </w:tabs>
        <w:spacing w:after="0" w:line="240" w:lineRule="auto"/>
        <w:ind w:left="397"/>
        <w:jc w:val="both"/>
        <w:rPr>
          <w:rFonts w:cstheme="minorHAnsi"/>
        </w:rPr>
      </w:pPr>
    </w:p>
    <w:p w14:paraId="512452A1" w14:textId="7F80BD53"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6.1.1 Prohibited Medication </w:t>
      </w:r>
    </w:p>
    <w:p w14:paraId="57E323DE" w14:textId="77777777" w:rsidR="00043073" w:rsidRPr="00632FB8" w:rsidRDefault="00043073" w:rsidP="00632FB8">
      <w:pPr>
        <w:pStyle w:val="Default"/>
        <w:ind w:left="397"/>
        <w:rPr>
          <w:rFonts w:asciiTheme="minorHAnsi" w:hAnsiTheme="minorHAnsi" w:cstheme="minorHAnsi"/>
          <w:sz w:val="22"/>
          <w:szCs w:val="22"/>
        </w:rPr>
      </w:pPr>
    </w:p>
    <w:p w14:paraId="5630AD66" w14:textId="1CB3DF79" w:rsidR="003F580D" w:rsidRPr="00305BC5" w:rsidRDefault="00DE0565" w:rsidP="00BF49CE">
      <w:pPr>
        <w:tabs>
          <w:tab w:val="left" w:pos="1185"/>
        </w:tabs>
        <w:spacing w:after="0" w:line="240" w:lineRule="auto"/>
        <w:jc w:val="both"/>
        <w:rPr>
          <w:rFonts w:cstheme="minorHAnsi"/>
        </w:rPr>
      </w:pPr>
      <w:r w:rsidRPr="00305BC5">
        <w:rPr>
          <w:rFonts w:cstheme="minorHAnsi"/>
        </w:rPr>
        <w:t>The following medications and therapies are forbidden, and patients will be withdrawn from the study, if one of the following will be administered during study participation. However, patients can be included when the respective washout period before enrolment into the study is considered (</w:t>
      </w:r>
      <w:r w:rsidR="009072BB">
        <w:rPr>
          <w:rFonts w:cstheme="minorHAnsi"/>
        </w:rPr>
        <w:t xml:space="preserve">refer to </w:t>
      </w:r>
      <w:r w:rsidRPr="00305BC5">
        <w:rPr>
          <w:rFonts w:cstheme="minorHAnsi"/>
        </w:rPr>
        <w:t xml:space="preserve">Table </w:t>
      </w:r>
      <w:r w:rsidR="006830D3">
        <w:rPr>
          <w:rFonts w:cstheme="minorHAnsi"/>
        </w:rPr>
        <w:t>3</w:t>
      </w:r>
      <w:r w:rsidRPr="00305BC5">
        <w:rPr>
          <w:rFonts w:cstheme="minorHAnsi"/>
        </w:rPr>
        <w:t>)</w:t>
      </w:r>
    </w:p>
    <w:p w14:paraId="2B2E6D23" w14:textId="2F1DA93D" w:rsidR="00DE0565" w:rsidRPr="0092499E" w:rsidRDefault="00DE0565" w:rsidP="00632FB8">
      <w:pPr>
        <w:tabs>
          <w:tab w:val="left" w:pos="1185"/>
        </w:tabs>
        <w:spacing w:after="0" w:line="240" w:lineRule="auto"/>
        <w:ind w:left="397"/>
        <w:jc w:val="both"/>
        <w:rPr>
          <w:rFonts w:cstheme="minorHAnsi"/>
        </w:rPr>
      </w:pPr>
    </w:p>
    <w:p w14:paraId="1FF2549D" w14:textId="3B90D6C9" w:rsidR="00DE0565" w:rsidRPr="00632FB8" w:rsidRDefault="00DE0565" w:rsidP="00632FB8">
      <w:pPr>
        <w:tabs>
          <w:tab w:val="left" w:pos="1185"/>
        </w:tabs>
        <w:spacing w:after="0" w:line="240" w:lineRule="auto"/>
        <w:ind w:left="397"/>
        <w:jc w:val="both"/>
        <w:rPr>
          <w:rFonts w:cstheme="minorHAnsi"/>
          <w:b/>
          <w:bCs/>
        </w:rPr>
      </w:pPr>
      <w:r w:rsidRPr="00632FB8">
        <w:rPr>
          <w:rFonts w:cstheme="minorHAnsi"/>
          <w:b/>
          <w:bCs/>
        </w:rPr>
        <w:t xml:space="preserve">Table </w:t>
      </w:r>
      <w:r w:rsidR="006830D3">
        <w:rPr>
          <w:rFonts w:cstheme="minorHAnsi"/>
          <w:b/>
          <w:bCs/>
        </w:rPr>
        <w:t>3</w:t>
      </w:r>
      <w:r w:rsidRPr="00632FB8">
        <w:rPr>
          <w:rFonts w:cstheme="minorHAnsi"/>
          <w:b/>
          <w:bCs/>
        </w:rPr>
        <w:t>: Forbidden Concomitant Medication</w:t>
      </w:r>
    </w:p>
    <w:p w14:paraId="066BDCDF" w14:textId="730503AB" w:rsidR="00DE0565" w:rsidRPr="00305BC5" w:rsidRDefault="00DE0565" w:rsidP="00BF49CE">
      <w:pPr>
        <w:tabs>
          <w:tab w:val="left" w:pos="1185"/>
        </w:tabs>
        <w:spacing w:after="0" w:line="240" w:lineRule="auto"/>
        <w:jc w:val="both"/>
        <w:rPr>
          <w:rFonts w:cstheme="minorHAnsi"/>
        </w:rPr>
      </w:pPr>
    </w:p>
    <w:tbl>
      <w:tblPr>
        <w:tblStyle w:val="TableGrid"/>
        <w:tblW w:w="8510" w:type="dxa"/>
        <w:tblInd w:w="421" w:type="dxa"/>
        <w:tblLayout w:type="fixed"/>
        <w:tblLook w:val="0000" w:firstRow="0" w:lastRow="0" w:firstColumn="0" w:lastColumn="0" w:noHBand="0" w:noVBand="0"/>
      </w:tblPr>
      <w:tblGrid>
        <w:gridCol w:w="4256"/>
        <w:gridCol w:w="4254"/>
      </w:tblGrid>
      <w:tr w:rsidR="00DE0565" w:rsidRPr="00DE0565" w14:paraId="7128C3F2" w14:textId="77777777" w:rsidTr="00632FB8">
        <w:trPr>
          <w:trHeight w:val="231"/>
        </w:trPr>
        <w:tc>
          <w:tcPr>
            <w:tcW w:w="4256" w:type="dxa"/>
          </w:tcPr>
          <w:p w14:paraId="50F3C3A0" w14:textId="77777777" w:rsidR="00DE0565" w:rsidRPr="00632FB8" w:rsidRDefault="00DE0565">
            <w:pPr>
              <w:autoSpaceDE w:val="0"/>
              <w:autoSpaceDN w:val="0"/>
              <w:adjustRightInd w:val="0"/>
              <w:rPr>
                <w:rFonts w:cstheme="minorHAnsi"/>
                <w:color w:val="000000"/>
                <w:lang w:val="en-GB"/>
              </w:rPr>
            </w:pPr>
            <w:r w:rsidRPr="00632FB8">
              <w:rPr>
                <w:rFonts w:cstheme="minorHAnsi"/>
                <w:b/>
                <w:bCs/>
                <w:color w:val="000000"/>
                <w:lang w:val="en-GB"/>
              </w:rPr>
              <w:t xml:space="preserve">Drug / Therapy </w:t>
            </w:r>
          </w:p>
        </w:tc>
        <w:tc>
          <w:tcPr>
            <w:tcW w:w="4254" w:type="dxa"/>
          </w:tcPr>
          <w:p w14:paraId="32A4A3B2" w14:textId="77777777" w:rsidR="00DE0565" w:rsidRPr="00632FB8" w:rsidRDefault="00DE0565">
            <w:pPr>
              <w:autoSpaceDE w:val="0"/>
              <w:autoSpaceDN w:val="0"/>
              <w:adjustRightInd w:val="0"/>
              <w:rPr>
                <w:rFonts w:cstheme="minorHAnsi"/>
                <w:color w:val="000000"/>
                <w:lang w:val="en-GB"/>
              </w:rPr>
            </w:pPr>
            <w:r w:rsidRPr="00632FB8">
              <w:rPr>
                <w:rFonts w:cstheme="minorHAnsi"/>
                <w:b/>
                <w:bCs/>
                <w:color w:val="000000"/>
                <w:lang w:val="en-GB"/>
              </w:rPr>
              <w:t xml:space="preserve">Washout Period (before first administration of study drug) </w:t>
            </w:r>
          </w:p>
        </w:tc>
      </w:tr>
      <w:tr w:rsidR="00DE0565" w:rsidRPr="00DE0565" w14:paraId="38FBA88F" w14:textId="77777777" w:rsidTr="00632FB8">
        <w:trPr>
          <w:trHeight w:val="103"/>
        </w:trPr>
        <w:tc>
          <w:tcPr>
            <w:tcW w:w="4256" w:type="dxa"/>
          </w:tcPr>
          <w:p w14:paraId="43F2046A"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Any radiopharmaceutical </w:t>
            </w:r>
          </w:p>
        </w:tc>
        <w:tc>
          <w:tcPr>
            <w:tcW w:w="4254" w:type="dxa"/>
          </w:tcPr>
          <w:p w14:paraId="36A026C2"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10 half-lives of the radionuclide </w:t>
            </w:r>
          </w:p>
        </w:tc>
      </w:tr>
      <w:tr w:rsidR="00DE0565" w:rsidRPr="00DE0565" w14:paraId="6BC3E720" w14:textId="77777777" w:rsidTr="00632FB8">
        <w:trPr>
          <w:trHeight w:val="229"/>
        </w:trPr>
        <w:tc>
          <w:tcPr>
            <w:tcW w:w="4256" w:type="dxa"/>
          </w:tcPr>
          <w:p w14:paraId="297E45C0"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Any other experimental diagnostic or therapeutic IMP </w:t>
            </w:r>
          </w:p>
        </w:tc>
        <w:tc>
          <w:tcPr>
            <w:tcW w:w="4254" w:type="dxa"/>
          </w:tcPr>
          <w:p w14:paraId="6C469B62"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4 weeks </w:t>
            </w:r>
          </w:p>
        </w:tc>
      </w:tr>
      <w:tr w:rsidR="00DE0565" w:rsidRPr="00DE0565" w14:paraId="17F26F50" w14:textId="77777777" w:rsidTr="00632FB8">
        <w:trPr>
          <w:trHeight w:val="103"/>
        </w:trPr>
        <w:tc>
          <w:tcPr>
            <w:tcW w:w="4256" w:type="dxa"/>
          </w:tcPr>
          <w:p w14:paraId="55869F73"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lastRenderedPageBreak/>
              <w:t xml:space="preserve">Any chemo-, radio- or immunotherapy </w:t>
            </w:r>
          </w:p>
        </w:tc>
        <w:tc>
          <w:tcPr>
            <w:tcW w:w="4254" w:type="dxa"/>
          </w:tcPr>
          <w:p w14:paraId="289FDD1D"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4 weeks </w:t>
            </w:r>
          </w:p>
        </w:tc>
      </w:tr>
      <w:tr w:rsidR="00DE0565" w:rsidRPr="00DE0565" w14:paraId="5B6E33D4" w14:textId="77777777" w:rsidTr="00632FB8">
        <w:trPr>
          <w:trHeight w:val="103"/>
        </w:trPr>
        <w:tc>
          <w:tcPr>
            <w:tcW w:w="4256" w:type="dxa"/>
          </w:tcPr>
          <w:p w14:paraId="4AA5185E"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Exposure to murine or chimeric antibodies </w:t>
            </w:r>
          </w:p>
        </w:tc>
        <w:tc>
          <w:tcPr>
            <w:tcW w:w="4254" w:type="dxa"/>
          </w:tcPr>
          <w:p w14:paraId="3AA4B2DA" w14:textId="77777777" w:rsidR="00DE0565" w:rsidRPr="00632FB8" w:rsidRDefault="00DE0565">
            <w:pPr>
              <w:autoSpaceDE w:val="0"/>
              <w:autoSpaceDN w:val="0"/>
              <w:adjustRightInd w:val="0"/>
              <w:rPr>
                <w:rFonts w:cstheme="minorHAnsi"/>
                <w:color w:val="000000"/>
                <w:lang w:val="en-GB"/>
              </w:rPr>
            </w:pPr>
            <w:r w:rsidRPr="00632FB8">
              <w:rPr>
                <w:rFonts w:cstheme="minorHAnsi"/>
                <w:color w:val="000000"/>
                <w:lang w:val="en-GB"/>
              </w:rPr>
              <w:t xml:space="preserve">5 years </w:t>
            </w:r>
          </w:p>
        </w:tc>
      </w:tr>
    </w:tbl>
    <w:p w14:paraId="61829076" w14:textId="77777777" w:rsidR="003F580D" w:rsidRPr="00DE0565" w:rsidRDefault="003F580D" w:rsidP="00632FB8">
      <w:pPr>
        <w:tabs>
          <w:tab w:val="left" w:pos="1185"/>
        </w:tabs>
        <w:spacing w:after="0" w:line="240" w:lineRule="auto"/>
        <w:ind w:left="397"/>
        <w:jc w:val="both"/>
        <w:rPr>
          <w:rFonts w:cstheme="minorHAnsi"/>
        </w:rPr>
      </w:pPr>
    </w:p>
    <w:p w14:paraId="4D474CDA" w14:textId="037B4C11"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Planned antineoplastic therapies are not allowed for the study period between administration of study drug and imaging. </w:t>
      </w:r>
    </w:p>
    <w:p w14:paraId="2C21D74F" w14:textId="77777777" w:rsidR="00DE0565" w:rsidRPr="00632FB8" w:rsidRDefault="00DE0565" w:rsidP="00632FB8">
      <w:pPr>
        <w:pStyle w:val="Default"/>
        <w:ind w:left="397"/>
        <w:rPr>
          <w:rFonts w:asciiTheme="minorHAnsi" w:hAnsiTheme="minorHAnsi" w:cstheme="minorHAnsi"/>
          <w:sz w:val="22"/>
          <w:szCs w:val="22"/>
        </w:rPr>
      </w:pPr>
    </w:p>
    <w:p w14:paraId="435C14AC" w14:textId="294DAED8"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6.1.2 Permitted Concomitant Medication </w:t>
      </w:r>
    </w:p>
    <w:p w14:paraId="24395057" w14:textId="77777777" w:rsidR="00DE0565" w:rsidRPr="00632FB8" w:rsidRDefault="00DE0565" w:rsidP="00632FB8">
      <w:pPr>
        <w:pStyle w:val="Default"/>
        <w:ind w:left="397"/>
        <w:rPr>
          <w:rFonts w:asciiTheme="minorHAnsi" w:hAnsiTheme="minorHAnsi" w:cstheme="minorHAnsi"/>
          <w:sz w:val="22"/>
          <w:szCs w:val="22"/>
        </w:rPr>
      </w:pPr>
    </w:p>
    <w:p w14:paraId="3E91DD48" w14:textId="45CBD21A"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Vitamins, herbal preparations and other nutritional supplements are permitted during this study but must be recorded. </w:t>
      </w:r>
    </w:p>
    <w:p w14:paraId="374807A3" w14:textId="77777777" w:rsidR="00DE0565" w:rsidRPr="00632FB8" w:rsidRDefault="00DE0565" w:rsidP="00632FB8">
      <w:pPr>
        <w:pStyle w:val="Default"/>
        <w:ind w:left="397"/>
        <w:jc w:val="both"/>
        <w:rPr>
          <w:rFonts w:asciiTheme="minorHAnsi" w:hAnsiTheme="minorHAnsi" w:cstheme="minorHAnsi"/>
          <w:sz w:val="22"/>
          <w:szCs w:val="22"/>
        </w:rPr>
      </w:pPr>
    </w:p>
    <w:p w14:paraId="7CE2E1FA" w14:textId="6159CA09"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At each visit, the investigator will ask the patient whether any medication was taken since the previous visit. </w:t>
      </w:r>
    </w:p>
    <w:p w14:paraId="4CA8A298" w14:textId="77777777" w:rsidR="00DE0565" w:rsidRPr="00632FB8" w:rsidRDefault="00DE0565" w:rsidP="00632FB8">
      <w:pPr>
        <w:pStyle w:val="Default"/>
        <w:ind w:left="397"/>
        <w:jc w:val="both"/>
        <w:rPr>
          <w:rFonts w:asciiTheme="minorHAnsi" w:hAnsiTheme="minorHAnsi" w:cstheme="minorHAnsi"/>
          <w:sz w:val="22"/>
          <w:szCs w:val="22"/>
        </w:rPr>
      </w:pPr>
    </w:p>
    <w:p w14:paraId="27043752" w14:textId="6E2404F9"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Other therapy considered necessary for the patient</w:t>
      </w:r>
      <w:r>
        <w:rPr>
          <w:rFonts w:asciiTheme="minorHAnsi" w:hAnsiTheme="minorHAnsi" w:cstheme="minorHAnsi"/>
          <w:sz w:val="22"/>
          <w:szCs w:val="22"/>
        </w:rPr>
        <w:t>’</w:t>
      </w:r>
      <w:r w:rsidRPr="00632FB8">
        <w:rPr>
          <w:rFonts w:asciiTheme="minorHAnsi" w:hAnsiTheme="minorHAnsi" w:cstheme="minorHAnsi"/>
          <w:sz w:val="22"/>
          <w:szCs w:val="22"/>
        </w:rPr>
        <w:t xml:space="preserve">s health and well-being may be given at the discretion of the investigator. </w:t>
      </w:r>
    </w:p>
    <w:p w14:paraId="76DFC3FB" w14:textId="77777777" w:rsidR="00DE0565" w:rsidRPr="00632FB8" w:rsidRDefault="00DE0565" w:rsidP="00632FB8">
      <w:pPr>
        <w:pStyle w:val="Default"/>
        <w:ind w:left="397"/>
        <w:jc w:val="both"/>
        <w:rPr>
          <w:rFonts w:asciiTheme="minorHAnsi" w:hAnsiTheme="minorHAnsi" w:cstheme="minorHAnsi"/>
          <w:sz w:val="22"/>
          <w:szCs w:val="22"/>
        </w:rPr>
      </w:pPr>
    </w:p>
    <w:p w14:paraId="67CB163C" w14:textId="016E7A62"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Patients with co-morbidities such as hypertension and other chronic medical conditions requiring ongoing medications need to stay on their medications, unless they are part of the list of forbidden medication as listed above. </w:t>
      </w:r>
    </w:p>
    <w:p w14:paraId="0659C15F" w14:textId="77777777" w:rsidR="00DE0565" w:rsidRDefault="00DE0565" w:rsidP="00632FB8">
      <w:pPr>
        <w:pStyle w:val="Default"/>
        <w:ind w:left="397"/>
        <w:rPr>
          <w:rFonts w:asciiTheme="minorHAnsi" w:hAnsiTheme="minorHAnsi" w:cstheme="minorHAnsi"/>
          <w:sz w:val="22"/>
          <w:szCs w:val="22"/>
        </w:rPr>
      </w:pPr>
    </w:p>
    <w:p w14:paraId="0978A2A8" w14:textId="77777777" w:rsidR="00820766" w:rsidRPr="00632FB8" w:rsidRDefault="00820766" w:rsidP="00632FB8">
      <w:pPr>
        <w:pStyle w:val="Default"/>
        <w:ind w:left="397"/>
        <w:rPr>
          <w:rFonts w:asciiTheme="minorHAnsi" w:hAnsiTheme="minorHAnsi" w:cstheme="minorHAnsi"/>
          <w:sz w:val="22"/>
          <w:szCs w:val="22"/>
        </w:rPr>
      </w:pPr>
    </w:p>
    <w:p w14:paraId="7520E6A4" w14:textId="3C5BFCBB"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6.2 Post-Study Therapy </w:t>
      </w:r>
    </w:p>
    <w:p w14:paraId="7404AC91" w14:textId="77777777" w:rsidR="00820766" w:rsidRPr="00632FB8" w:rsidRDefault="00820766" w:rsidP="002C2D1C">
      <w:pPr>
        <w:pStyle w:val="Default"/>
        <w:rPr>
          <w:rFonts w:asciiTheme="minorHAnsi" w:hAnsiTheme="minorHAnsi" w:cstheme="minorHAnsi"/>
          <w:sz w:val="22"/>
          <w:szCs w:val="22"/>
        </w:rPr>
      </w:pPr>
    </w:p>
    <w:p w14:paraId="2BA226A1" w14:textId="725D36F3" w:rsidR="003F580D" w:rsidRPr="00613F26" w:rsidRDefault="00DE0565">
      <w:pPr>
        <w:tabs>
          <w:tab w:val="left" w:pos="1185"/>
        </w:tabs>
        <w:spacing w:after="0" w:line="240" w:lineRule="auto"/>
        <w:jc w:val="both"/>
        <w:rPr>
          <w:rFonts w:cstheme="minorHAnsi"/>
        </w:rPr>
      </w:pPr>
      <w:r w:rsidRPr="00305BC5">
        <w:rPr>
          <w:rFonts w:cstheme="minorHAnsi"/>
        </w:rPr>
        <w:t xml:space="preserve">Following completion of this study, the patients will be treated according to </w:t>
      </w:r>
      <w:r w:rsidR="00820766">
        <w:rPr>
          <w:rFonts w:cstheme="minorHAnsi"/>
        </w:rPr>
        <w:t xml:space="preserve">standard </w:t>
      </w:r>
      <w:r w:rsidRPr="00305BC5">
        <w:rPr>
          <w:rFonts w:cstheme="minorHAnsi"/>
        </w:rPr>
        <w:t>clinical practice at the discretion of the investigator. This includes treatment of the tumour disease as well as any conditions that may arise during the trial. Description of these condi</w:t>
      </w:r>
      <w:r w:rsidRPr="00556D59">
        <w:rPr>
          <w:rFonts w:cstheme="minorHAnsi"/>
        </w:rPr>
        <w:t>tions and treatments will be provided in the study report as appropriate.</w:t>
      </w:r>
    </w:p>
    <w:p w14:paraId="376914F3" w14:textId="55556F77" w:rsidR="00DE0565" w:rsidRPr="009B18EE" w:rsidRDefault="00DE0565" w:rsidP="00632FB8">
      <w:pPr>
        <w:tabs>
          <w:tab w:val="left" w:pos="1185"/>
        </w:tabs>
        <w:spacing w:after="0" w:line="240" w:lineRule="auto"/>
        <w:ind w:left="397"/>
        <w:jc w:val="both"/>
        <w:rPr>
          <w:rFonts w:cstheme="minorHAnsi"/>
        </w:rPr>
      </w:pPr>
    </w:p>
    <w:p w14:paraId="007C68FA" w14:textId="587EF7BF"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7</w:t>
      </w:r>
      <w:r w:rsidR="00A4735F">
        <w:rPr>
          <w:rFonts w:asciiTheme="minorHAnsi" w:hAnsiTheme="minorHAnsi" w:cstheme="minorHAnsi"/>
          <w:b/>
          <w:bCs/>
          <w:sz w:val="22"/>
          <w:szCs w:val="22"/>
        </w:rPr>
        <w:t>.</w:t>
      </w:r>
      <w:r w:rsidRPr="00632FB8">
        <w:rPr>
          <w:rFonts w:asciiTheme="minorHAnsi" w:hAnsiTheme="minorHAnsi" w:cstheme="minorHAnsi"/>
          <w:b/>
          <w:bCs/>
          <w:sz w:val="22"/>
          <w:szCs w:val="22"/>
        </w:rPr>
        <w:t xml:space="preserve"> Schedule of Evaluations and Visit Description </w:t>
      </w:r>
    </w:p>
    <w:p w14:paraId="4B4B2619" w14:textId="77777777" w:rsidR="00DE0565" w:rsidRPr="00632FB8" w:rsidRDefault="00DE0565" w:rsidP="00632FB8">
      <w:pPr>
        <w:pStyle w:val="Default"/>
        <w:ind w:left="397"/>
        <w:rPr>
          <w:rFonts w:asciiTheme="minorHAnsi" w:hAnsiTheme="minorHAnsi" w:cstheme="minorHAnsi"/>
          <w:sz w:val="22"/>
          <w:szCs w:val="22"/>
        </w:rPr>
      </w:pPr>
    </w:p>
    <w:p w14:paraId="3FD3DF44" w14:textId="1D017862"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7.1 Schedule of Evaluations </w:t>
      </w:r>
    </w:p>
    <w:p w14:paraId="5C73FF46" w14:textId="77777777" w:rsidR="00DE0565" w:rsidRPr="00632FB8" w:rsidRDefault="00DE0565" w:rsidP="00632FB8">
      <w:pPr>
        <w:pStyle w:val="Default"/>
        <w:ind w:left="397"/>
        <w:rPr>
          <w:rFonts w:asciiTheme="minorHAnsi" w:hAnsiTheme="minorHAnsi" w:cstheme="minorHAnsi"/>
          <w:sz w:val="22"/>
          <w:szCs w:val="22"/>
        </w:rPr>
      </w:pPr>
    </w:p>
    <w:p w14:paraId="3E290022" w14:textId="3E8CAED7"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 detailed schedule of events is presented in Table </w:t>
      </w:r>
      <w:r w:rsidR="006830D3" w:rsidRPr="00660135">
        <w:rPr>
          <w:rFonts w:asciiTheme="minorHAnsi" w:hAnsiTheme="minorHAnsi" w:cstheme="minorHAnsi"/>
          <w:b/>
          <w:bCs/>
          <w:sz w:val="22"/>
          <w:szCs w:val="22"/>
        </w:rPr>
        <w:t>4</w:t>
      </w:r>
      <w:r w:rsidRPr="00632FB8">
        <w:rPr>
          <w:rFonts w:asciiTheme="minorHAnsi" w:hAnsiTheme="minorHAnsi" w:cstheme="minorHAnsi"/>
          <w:sz w:val="22"/>
          <w:szCs w:val="22"/>
        </w:rPr>
        <w:t xml:space="preserve">. </w:t>
      </w:r>
    </w:p>
    <w:p w14:paraId="38AAD350" w14:textId="77777777" w:rsidR="00DE0565" w:rsidRDefault="00DE0565" w:rsidP="00DE0565">
      <w:pPr>
        <w:pStyle w:val="ListParagraph"/>
        <w:spacing w:after="0" w:line="240" w:lineRule="auto"/>
        <w:jc w:val="both"/>
        <w:rPr>
          <w:b/>
        </w:rPr>
      </w:pPr>
    </w:p>
    <w:p w14:paraId="64D6B8F6" w14:textId="361C556F" w:rsidR="00DE0565" w:rsidRPr="00BE0C9D" w:rsidRDefault="00DE0565" w:rsidP="00632FB8">
      <w:pPr>
        <w:pStyle w:val="ListParagraph"/>
        <w:spacing w:after="0" w:line="240" w:lineRule="auto"/>
        <w:ind w:left="397"/>
        <w:jc w:val="both"/>
        <w:rPr>
          <w:b/>
        </w:rPr>
      </w:pPr>
      <w:r>
        <w:rPr>
          <w:b/>
        </w:rPr>
        <w:t xml:space="preserve">Table </w:t>
      </w:r>
      <w:r w:rsidR="006830D3">
        <w:rPr>
          <w:b/>
        </w:rPr>
        <w:t>4</w:t>
      </w:r>
      <w:r>
        <w:rPr>
          <w:b/>
        </w:rPr>
        <w:t xml:space="preserve">: </w:t>
      </w:r>
      <w:r w:rsidRPr="00BE0C9D">
        <w:rPr>
          <w:b/>
        </w:rPr>
        <w:t>The schedule of study assessments is set out as follows:</w:t>
      </w:r>
    </w:p>
    <w:tbl>
      <w:tblPr>
        <w:tblStyle w:val="TableGrid"/>
        <w:tblW w:w="5126" w:type="pct"/>
        <w:tblLook w:val="04A0" w:firstRow="1" w:lastRow="0" w:firstColumn="1" w:lastColumn="0" w:noHBand="0" w:noVBand="1"/>
      </w:tblPr>
      <w:tblGrid>
        <w:gridCol w:w="2689"/>
        <w:gridCol w:w="1418"/>
        <w:gridCol w:w="1590"/>
        <w:gridCol w:w="1104"/>
        <w:gridCol w:w="2442"/>
      </w:tblGrid>
      <w:tr w:rsidR="006830D3" w:rsidRPr="00C87850" w14:paraId="1A874F45" w14:textId="77777777" w:rsidTr="00885F55">
        <w:tc>
          <w:tcPr>
            <w:tcW w:w="1455" w:type="pct"/>
            <w:shd w:val="clear" w:color="auto" w:fill="D9D9D9" w:themeFill="background1" w:themeFillShade="D9"/>
          </w:tcPr>
          <w:p w14:paraId="105F022A" w14:textId="77777777" w:rsidR="006830D3" w:rsidRPr="00C87850" w:rsidRDefault="006830D3" w:rsidP="00885F55">
            <w:pPr>
              <w:rPr>
                <w:rFonts w:cstheme="minorHAnsi"/>
                <w:b/>
                <w:bCs/>
              </w:rPr>
            </w:pPr>
            <w:r>
              <w:rPr>
                <w:rFonts w:cstheme="minorHAnsi"/>
                <w:b/>
                <w:bCs/>
              </w:rPr>
              <w:t>Visit Name</w:t>
            </w:r>
          </w:p>
        </w:tc>
        <w:tc>
          <w:tcPr>
            <w:tcW w:w="767" w:type="pct"/>
            <w:shd w:val="clear" w:color="auto" w:fill="D9D9D9" w:themeFill="background1" w:themeFillShade="D9"/>
          </w:tcPr>
          <w:p w14:paraId="27E2CA6B" w14:textId="77777777" w:rsidR="006830D3" w:rsidRPr="00C87850" w:rsidRDefault="006830D3" w:rsidP="00885F55">
            <w:pPr>
              <w:jc w:val="center"/>
              <w:rPr>
                <w:rFonts w:cstheme="minorHAnsi"/>
                <w:b/>
                <w:bCs/>
              </w:rPr>
            </w:pPr>
            <w:r>
              <w:rPr>
                <w:rFonts w:cstheme="minorHAnsi"/>
                <w:b/>
                <w:bCs/>
              </w:rPr>
              <w:t>Screening</w:t>
            </w:r>
          </w:p>
        </w:tc>
        <w:tc>
          <w:tcPr>
            <w:tcW w:w="860" w:type="pct"/>
            <w:shd w:val="clear" w:color="auto" w:fill="D9D9D9" w:themeFill="background1" w:themeFillShade="D9"/>
          </w:tcPr>
          <w:p w14:paraId="427C3773" w14:textId="77777777" w:rsidR="006830D3" w:rsidRDefault="006830D3" w:rsidP="00885F55">
            <w:pPr>
              <w:jc w:val="center"/>
              <w:rPr>
                <w:rFonts w:cstheme="minorHAnsi"/>
                <w:b/>
                <w:bCs/>
              </w:rPr>
            </w:pPr>
            <w:r>
              <w:rPr>
                <w:rFonts w:cstheme="minorHAnsi"/>
                <w:b/>
                <w:bCs/>
              </w:rPr>
              <w:t>IMP Administration</w:t>
            </w:r>
          </w:p>
        </w:tc>
        <w:tc>
          <w:tcPr>
            <w:tcW w:w="597" w:type="pct"/>
            <w:shd w:val="clear" w:color="auto" w:fill="D9D9D9" w:themeFill="background1" w:themeFillShade="D9"/>
          </w:tcPr>
          <w:p w14:paraId="326802AE" w14:textId="77777777" w:rsidR="006830D3" w:rsidRDefault="006830D3" w:rsidP="00885F55">
            <w:pPr>
              <w:jc w:val="center"/>
              <w:rPr>
                <w:rFonts w:cstheme="minorHAnsi"/>
                <w:b/>
                <w:bCs/>
              </w:rPr>
            </w:pPr>
            <w:r>
              <w:rPr>
                <w:rFonts w:cstheme="minorHAnsi"/>
                <w:b/>
                <w:bCs/>
              </w:rPr>
              <w:t xml:space="preserve">Imaging </w:t>
            </w:r>
          </w:p>
        </w:tc>
        <w:tc>
          <w:tcPr>
            <w:tcW w:w="1322" w:type="pct"/>
            <w:shd w:val="clear" w:color="auto" w:fill="D9D9D9" w:themeFill="background1" w:themeFillShade="D9"/>
          </w:tcPr>
          <w:p w14:paraId="5B3BA720" w14:textId="77777777" w:rsidR="006830D3" w:rsidRDefault="006830D3" w:rsidP="00885F55">
            <w:pPr>
              <w:jc w:val="center"/>
              <w:rPr>
                <w:rFonts w:cstheme="minorHAnsi"/>
                <w:b/>
                <w:bCs/>
              </w:rPr>
            </w:pPr>
            <w:r>
              <w:rPr>
                <w:rFonts w:cstheme="minorHAnsi"/>
                <w:b/>
                <w:bCs/>
              </w:rPr>
              <w:t>Follow Up</w:t>
            </w:r>
          </w:p>
        </w:tc>
      </w:tr>
      <w:tr w:rsidR="006830D3" w:rsidRPr="00C87850" w14:paraId="6263B165" w14:textId="77777777" w:rsidTr="00885F55">
        <w:tc>
          <w:tcPr>
            <w:tcW w:w="1455" w:type="pct"/>
            <w:shd w:val="clear" w:color="auto" w:fill="F2F2F2" w:themeFill="background1" w:themeFillShade="F2"/>
          </w:tcPr>
          <w:p w14:paraId="53F8B8F8" w14:textId="77777777" w:rsidR="006830D3" w:rsidRPr="00C87850" w:rsidRDefault="006830D3" w:rsidP="00885F55">
            <w:pPr>
              <w:rPr>
                <w:rFonts w:cstheme="minorHAnsi"/>
                <w:b/>
                <w:bCs/>
              </w:rPr>
            </w:pPr>
            <w:r w:rsidRPr="00C87850">
              <w:rPr>
                <w:rFonts w:cstheme="minorHAnsi"/>
                <w:b/>
                <w:bCs/>
              </w:rPr>
              <w:t>Time point</w:t>
            </w:r>
          </w:p>
        </w:tc>
        <w:tc>
          <w:tcPr>
            <w:tcW w:w="767" w:type="pct"/>
            <w:shd w:val="clear" w:color="auto" w:fill="F2F2F2" w:themeFill="background1" w:themeFillShade="F2"/>
          </w:tcPr>
          <w:p w14:paraId="07DCF710" w14:textId="77777777" w:rsidR="006830D3" w:rsidRPr="00C87850" w:rsidRDefault="006830D3" w:rsidP="00885F55">
            <w:pPr>
              <w:jc w:val="center"/>
              <w:rPr>
                <w:rFonts w:cstheme="minorHAnsi"/>
                <w:b/>
                <w:bCs/>
              </w:rPr>
            </w:pPr>
            <w:r w:rsidRPr="00C87850">
              <w:rPr>
                <w:rFonts w:cstheme="minorHAnsi"/>
                <w:b/>
                <w:bCs/>
              </w:rPr>
              <w:t>Within 28 days of selection</w:t>
            </w:r>
          </w:p>
        </w:tc>
        <w:tc>
          <w:tcPr>
            <w:tcW w:w="860" w:type="pct"/>
            <w:shd w:val="clear" w:color="auto" w:fill="F2F2F2" w:themeFill="background1" w:themeFillShade="F2"/>
          </w:tcPr>
          <w:p w14:paraId="42FEC2AE" w14:textId="77777777" w:rsidR="006830D3" w:rsidRPr="00C87850" w:rsidRDefault="006830D3" w:rsidP="00885F55">
            <w:pPr>
              <w:jc w:val="center"/>
              <w:rPr>
                <w:rFonts w:cstheme="minorHAnsi"/>
                <w:b/>
                <w:bCs/>
              </w:rPr>
            </w:pPr>
            <w:r>
              <w:rPr>
                <w:rFonts w:cstheme="minorHAnsi"/>
                <w:b/>
                <w:bCs/>
              </w:rPr>
              <w:t>Day 0</w:t>
            </w:r>
          </w:p>
        </w:tc>
        <w:tc>
          <w:tcPr>
            <w:tcW w:w="597" w:type="pct"/>
            <w:shd w:val="clear" w:color="auto" w:fill="F2F2F2" w:themeFill="background1" w:themeFillShade="F2"/>
          </w:tcPr>
          <w:p w14:paraId="427F6AF2" w14:textId="77777777" w:rsidR="006830D3" w:rsidRPr="00C87850" w:rsidRDefault="006830D3" w:rsidP="00885F55">
            <w:pPr>
              <w:jc w:val="center"/>
              <w:rPr>
                <w:rFonts w:cstheme="minorHAnsi"/>
                <w:b/>
                <w:bCs/>
              </w:rPr>
            </w:pPr>
            <w:r>
              <w:rPr>
                <w:rFonts w:cstheme="minorHAnsi"/>
                <w:b/>
                <w:bCs/>
              </w:rPr>
              <w:t>Day 5 ± 2</w:t>
            </w:r>
          </w:p>
        </w:tc>
        <w:tc>
          <w:tcPr>
            <w:tcW w:w="1322" w:type="pct"/>
            <w:shd w:val="clear" w:color="auto" w:fill="F2F2F2" w:themeFill="background1" w:themeFillShade="F2"/>
          </w:tcPr>
          <w:p w14:paraId="2D36A8AC" w14:textId="77777777" w:rsidR="006830D3" w:rsidRDefault="006830D3" w:rsidP="00885F55">
            <w:pPr>
              <w:jc w:val="center"/>
              <w:rPr>
                <w:rFonts w:cstheme="minorHAnsi"/>
                <w:b/>
                <w:bCs/>
              </w:rPr>
            </w:pPr>
            <w:r>
              <w:rPr>
                <w:rFonts w:cstheme="minorHAnsi"/>
                <w:b/>
                <w:bCs/>
              </w:rPr>
              <w:t xml:space="preserve">Day 14 </w:t>
            </w:r>
          </w:p>
          <w:p w14:paraId="24F19166" w14:textId="77777777" w:rsidR="006830D3" w:rsidRPr="00C87850" w:rsidRDefault="006830D3" w:rsidP="00885F55">
            <w:pPr>
              <w:jc w:val="center"/>
              <w:rPr>
                <w:rFonts w:cstheme="minorHAnsi"/>
                <w:b/>
                <w:bCs/>
              </w:rPr>
            </w:pPr>
            <w:r>
              <w:rPr>
                <w:rFonts w:cstheme="minorHAnsi"/>
                <w:b/>
                <w:bCs/>
              </w:rPr>
              <w:t>(or before starting chemotherapy or undergoing surgery)</w:t>
            </w:r>
          </w:p>
        </w:tc>
      </w:tr>
      <w:tr w:rsidR="006830D3" w:rsidRPr="00C87850" w14:paraId="3077E6D2" w14:textId="77777777" w:rsidTr="00885F55">
        <w:tc>
          <w:tcPr>
            <w:tcW w:w="1455" w:type="pct"/>
          </w:tcPr>
          <w:p w14:paraId="25996A80" w14:textId="77777777" w:rsidR="006830D3" w:rsidRPr="00C87850" w:rsidRDefault="006830D3" w:rsidP="00885F55">
            <w:pPr>
              <w:rPr>
                <w:rFonts w:cstheme="minorHAnsi"/>
                <w:b/>
                <w:bCs/>
              </w:rPr>
            </w:pPr>
            <w:r w:rsidRPr="00C87850">
              <w:rPr>
                <w:rFonts w:cstheme="minorHAnsi"/>
                <w:b/>
                <w:bCs/>
              </w:rPr>
              <w:t>Informed consent</w:t>
            </w:r>
          </w:p>
        </w:tc>
        <w:tc>
          <w:tcPr>
            <w:tcW w:w="767" w:type="pct"/>
          </w:tcPr>
          <w:p w14:paraId="09977F2E"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13F6B08D" w14:textId="77777777" w:rsidR="006830D3" w:rsidRPr="00C87850" w:rsidRDefault="006830D3" w:rsidP="00885F55">
            <w:pPr>
              <w:jc w:val="center"/>
              <w:rPr>
                <w:rFonts w:cstheme="minorHAnsi"/>
                <w:b/>
                <w:bCs/>
              </w:rPr>
            </w:pPr>
          </w:p>
        </w:tc>
        <w:tc>
          <w:tcPr>
            <w:tcW w:w="597" w:type="pct"/>
          </w:tcPr>
          <w:p w14:paraId="79DFC478" w14:textId="77777777" w:rsidR="006830D3" w:rsidRPr="00C87850" w:rsidRDefault="006830D3" w:rsidP="00885F55">
            <w:pPr>
              <w:jc w:val="center"/>
              <w:rPr>
                <w:rFonts w:cstheme="minorHAnsi"/>
                <w:b/>
                <w:bCs/>
              </w:rPr>
            </w:pPr>
          </w:p>
        </w:tc>
        <w:tc>
          <w:tcPr>
            <w:tcW w:w="1322" w:type="pct"/>
          </w:tcPr>
          <w:p w14:paraId="18813917" w14:textId="77777777" w:rsidR="006830D3" w:rsidRPr="00C87850" w:rsidRDefault="006830D3" w:rsidP="00885F55">
            <w:pPr>
              <w:jc w:val="center"/>
              <w:rPr>
                <w:rFonts w:cstheme="minorHAnsi"/>
                <w:b/>
                <w:bCs/>
              </w:rPr>
            </w:pPr>
          </w:p>
        </w:tc>
      </w:tr>
      <w:tr w:rsidR="006830D3" w:rsidRPr="00C87850" w14:paraId="61668C31" w14:textId="77777777" w:rsidTr="00885F55">
        <w:tc>
          <w:tcPr>
            <w:tcW w:w="1455" w:type="pct"/>
          </w:tcPr>
          <w:p w14:paraId="02DEDA5D" w14:textId="77777777" w:rsidR="006830D3" w:rsidRPr="00C87850" w:rsidRDefault="006830D3" w:rsidP="00885F55">
            <w:pPr>
              <w:rPr>
                <w:rFonts w:cstheme="minorHAnsi"/>
                <w:b/>
                <w:bCs/>
              </w:rPr>
            </w:pPr>
            <w:r>
              <w:rPr>
                <w:rFonts w:cstheme="minorHAnsi"/>
                <w:b/>
                <w:bCs/>
              </w:rPr>
              <w:t>Eligibility criteria</w:t>
            </w:r>
          </w:p>
        </w:tc>
        <w:tc>
          <w:tcPr>
            <w:tcW w:w="767" w:type="pct"/>
          </w:tcPr>
          <w:p w14:paraId="3A6BCD9E"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54BC0A34" w14:textId="77777777" w:rsidR="006830D3" w:rsidRPr="00C87850" w:rsidRDefault="006830D3" w:rsidP="00885F55">
            <w:pPr>
              <w:jc w:val="center"/>
              <w:rPr>
                <w:rFonts w:cstheme="minorHAnsi"/>
                <w:b/>
                <w:bCs/>
              </w:rPr>
            </w:pPr>
          </w:p>
        </w:tc>
        <w:tc>
          <w:tcPr>
            <w:tcW w:w="597" w:type="pct"/>
          </w:tcPr>
          <w:p w14:paraId="4CE05BA2" w14:textId="77777777" w:rsidR="006830D3" w:rsidRPr="00C87850" w:rsidRDefault="006830D3" w:rsidP="00885F55">
            <w:pPr>
              <w:jc w:val="center"/>
              <w:rPr>
                <w:rFonts w:cstheme="minorHAnsi"/>
                <w:b/>
                <w:bCs/>
              </w:rPr>
            </w:pPr>
          </w:p>
        </w:tc>
        <w:tc>
          <w:tcPr>
            <w:tcW w:w="1322" w:type="pct"/>
          </w:tcPr>
          <w:p w14:paraId="56284186" w14:textId="77777777" w:rsidR="006830D3" w:rsidRPr="00C87850" w:rsidRDefault="006830D3" w:rsidP="00885F55">
            <w:pPr>
              <w:jc w:val="center"/>
              <w:rPr>
                <w:rFonts w:cstheme="minorHAnsi"/>
                <w:b/>
                <w:bCs/>
              </w:rPr>
            </w:pPr>
          </w:p>
        </w:tc>
      </w:tr>
      <w:tr w:rsidR="006830D3" w:rsidRPr="00C87850" w14:paraId="4C0679A0" w14:textId="77777777" w:rsidTr="00885F55">
        <w:tc>
          <w:tcPr>
            <w:tcW w:w="1455" w:type="pct"/>
          </w:tcPr>
          <w:p w14:paraId="361D1DD3" w14:textId="77777777" w:rsidR="006830D3" w:rsidRPr="00581359" w:rsidRDefault="006830D3" w:rsidP="00885F55">
            <w:pPr>
              <w:rPr>
                <w:rFonts w:cstheme="minorHAnsi"/>
                <w:b/>
                <w:bCs/>
              </w:rPr>
            </w:pPr>
            <w:r w:rsidRPr="00581359">
              <w:rPr>
                <w:b/>
                <w:bCs/>
                <w:vertAlign w:val="superscript"/>
              </w:rPr>
              <w:t>18</w:t>
            </w:r>
            <w:r w:rsidRPr="00581359">
              <w:rPr>
                <w:b/>
                <w:bCs/>
              </w:rPr>
              <w:t>F-FDG-PET</w:t>
            </w:r>
            <w:r>
              <w:rPr>
                <w:b/>
                <w:bCs/>
              </w:rPr>
              <w:t>/CT</w:t>
            </w:r>
          </w:p>
        </w:tc>
        <w:tc>
          <w:tcPr>
            <w:tcW w:w="767" w:type="pct"/>
          </w:tcPr>
          <w:p w14:paraId="160E0252"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327BAF06" w14:textId="77777777" w:rsidR="006830D3" w:rsidRPr="00C87850" w:rsidRDefault="006830D3" w:rsidP="00885F55">
            <w:pPr>
              <w:jc w:val="center"/>
              <w:rPr>
                <w:rFonts w:cstheme="minorHAnsi"/>
                <w:b/>
                <w:bCs/>
              </w:rPr>
            </w:pPr>
          </w:p>
        </w:tc>
        <w:tc>
          <w:tcPr>
            <w:tcW w:w="597" w:type="pct"/>
          </w:tcPr>
          <w:p w14:paraId="4DF64B9A" w14:textId="77777777" w:rsidR="006830D3" w:rsidRPr="00C87850" w:rsidRDefault="006830D3" w:rsidP="00885F55">
            <w:pPr>
              <w:jc w:val="center"/>
              <w:rPr>
                <w:rFonts w:cstheme="minorHAnsi"/>
                <w:b/>
                <w:bCs/>
              </w:rPr>
            </w:pPr>
          </w:p>
        </w:tc>
        <w:tc>
          <w:tcPr>
            <w:tcW w:w="1322" w:type="pct"/>
          </w:tcPr>
          <w:p w14:paraId="7CBF254A" w14:textId="77777777" w:rsidR="006830D3" w:rsidRPr="00C87850" w:rsidRDefault="006830D3" w:rsidP="00885F55">
            <w:pPr>
              <w:jc w:val="center"/>
              <w:rPr>
                <w:rFonts w:cstheme="minorHAnsi"/>
                <w:b/>
                <w:bCs/>
              </w:rPr>
            </w:pPr>
          </w:p>
        </w:tc>
      </w:tr>
      <w:tr w:rsidR="006830D3" w:rsidRPr="00C87850" w14:paraId="689DDA78" w14:textId="77777777" w:rsidTr="00885F55">
        <w:tc>
          <w:tcPr>
            <w:tcW w:w="1455" w:type="pct"/>
          </w:tcPr>
          <w:p w14:paraId="2F74BEC6" w14:textId="77777777" w:rsidR="006830D3" w:rsidRPr="00C87850" w:rsidRDefault="006830D3" w:rsidP="00885F55">
            <w:pPr>
              <w:rPr>
                <w:rFonts w:cstheme="minorHAnsi"/>
                <w:b/>
                <w:bCs/>
                <w:vertAlign w:val="superscript"/>
              </w:rPr>
            </w:pPr>
            <w:r w:rsidRPr="00C87850">
              <w:rPr>
                <w:rFonts w:cstheme="minorHAnsi"/>
                <w:b/>
                <w:bCs/>
              </w:rPr>
              <w:t>Physical exam</w:t>
            </w:r>
          </w:p>
        </w:tc>
        <w:tc>
          <w:tcPr>
            <w:tcW w:w="767" w:type="pct"/>
          </w:tcPr>
          <w:p w14:paraId="2CC78EFE"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7EC570AC" w14:textId="77777777" w:rsidR="006830D3" w:rsidRPr="00C87850" w:rsidRDefault="006830D3" w:rsidP="00885F55">
            <w:pPr>
              <w:jc w:val="center"/>
              <w:rPr>
                <w:rFonts w:cstheme="minorHAnsi"/>
                <w:b/>
                <w:bCs/>
              </w:rPr>
            </w:pPr>
          </w:p>
        </w:tc>
        <w:tc>
          <w:tcPr>
            <w:tcW w:w="597" w:type="pct"/>
          </w:tcPr>
          <w:p w14:paraId="778084D8" w14:textId="77777777" w:rsidR="006830D3" w:rsidRPr="00C87850" w:rsidRDefault="006830D3" w:rsidP="00885F55">
            <w:pPr>
              <w:jc w:val="center"/>
              <w:rPr>
                <w:rFonts w:cstheme="minorHAnsi"/>
                <w:b/>
                <w:bCs/>
              </w:rPr>
            </w:pPr>
          </w:p>
        </w:tc>
        <w:tc>
          <w:tcPr>
            <w:tcW w:w="1322" w:type="pct"/>
          </w:tcPr>
          <w:p w14:paraId="1875572B" w14:textId="77777777" w:rsidR="006830D3" w:rsidRPr="00C87850" w:rsidRDefault="006830D3" w:rsidP="00885F55">
            <w:pPr>
              <w:jc w:val="center"/>
              <w:rPr>
                <w:rFonts w:cstheme="minorHAnsi"/>
                <w:b/>
                <w:bCs/>
              </w:rPr>
            </w:pPr>
          </w:p>
        </w:tc>
      </w:tr>
      <w:tr w:rsidR="006830D3" w:rsidRPr="00C87850" w14:paraId="04D4510F" w14:textId="77777777" w:rsidTr="00885F55">
        <w:tc>
          <w:tcPr>
            <w:tcW w:w="1455" w:type="pct"/>
          </w:tcPr>
          <w:p w14:paraId="0AD3233C" w14:textId="77777777" w:rsidR="006830D3" w:rsidRPr="00C87850" w:rsidRDefault="006830D3" w:rsidP="00885F55">
            <w:pPr>
              <w:rPr>
                <w:rFonts w:cstheme="minorHAnsi"/>
                <w:b/>
                <w:bCs/>
              </w:rPr>
            </w:pPr>
            <w:r w:rsidRPr="00C87850">
              <w:rPr>
                <w:rFonts w:cstheme="minorHAnsi"/>
                <w:b/>
                <w:bCs/>
              </w:rPr>
              <w:t>ECOG status</w:t>
            </w:r>
          </w:p>
        </w:tc>
        <w:tc>
          <w:tcPr>
            <w:tcW w:w="767" w:type="pct"/>
          </w:tcPr>
          <w:p w14:paraId="60FB6F04"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28DECB77" w14:textId="77777777" w:rsidR="006830D3" w:rsidRPr="00C87850" w:rsidRDefault="006830D3" w:rsidP="00885F55">
            <w:pPr>
              <w:jc w:val="center"/>
              <w:rPr>
                <w:rFonts w:cstheme="minorHAnsi"/>
                <w:b/>
                <w:bCs/>
              </w:rPr>
            </w:pPr>
          </w:p>
        </w:tc>
        <w:tc>
          <w:tcPr>
            <w:tcW w:w="597" w:type="pct"/>
          </w:tcPr>
          <w:p w14:paraId="06305400" w14:textId="77777777" w:rsidR="006830D3" w:rsidRPr="00C87850" w:rsidRDefault="006830D3" w:rsidP="00885F55">
            <w:pPr>
              <w:jc w:val="center"/>
              <w:rPr>
                <w:rFonts w:cstheme="minorHAnsi"/>
                <w:b/>
                <w:bCs/>
              </w:rPr>
            </w:pPr>
          </w:p>
        </w:tc>
        <w:tc>
          <w:tcPr>
            <w:tcW w:w="1322" w:type="pct"/>
          </w:tcPr>
          <w:p w14:paraId="07132738" w14:textId="77777777" w:rsidR="006830D3" w:rsidRPr="00C87850" w:rsidRDefault="006830D3" w:rsidP="00885F55">
            <w:pPr>
              <w:jc w:val="center"/>
              <w:rPr>
                <w:rFonts w:cstheme="minorHAnsi"/>
                <w:b/>
                <w:bCs/>
              </w:rPr>
            </w:pPr>
          </w:p>
        </w:tc>
      </w:tr>
      <w:tr w:rsidR="006830D3" w:rsidRPr="00C87850" w14:paraId="4DDE8815" w14:textId="77777777" w:rsidTr="00885F55">
        <w:tc>
          <w:tcPr>
            <w:tcW w:w="1455" w:type="pct"/>
          </w:tcPr>
          <w:p w14:paraId="60366B63" w14:textId="77777777" w:rsidR="006830D3" w:rsidRPr="00C87850" w:rsidRDefault="006830D3" w:rsidP="00885F55">
            <w:pPr>
              <w:rPr>
                <w:rFonts w:cstheme="minorHAnsi"/>
                <w:b/>
                <w:bCs/>
              </w:rPr>
            </w:pPr>
            <w:r w:rsidRPr="00C87850">
              <w:rPr>
                <w:rFonts w:cstheme="minorHAnsi"/>
                <w:b/>
                <w:bCs/>
              </w:rPr>
              <w:t>Vital signs</w:t>
            </w:r>
          </w:p>
        </w:tc>
        <w:tc>
          <w:tcPr>
            <w:tcW w:w="767" w:type="pct"/>
          </w:tcPr>
          <w:p w14:paraId="22C2A4FC" w14:textId="77777777" w:rsidR="006830D3" w:rsidRDefault="006830D3" w:rsidP="00885F55">
            <w:pPr>
              <w:jc w:val="center"/>
              <w:rPr>
                <w:rFonts w:cstheme="minorHAnsi"/>
                <w:b/>
                <w:bCs/>
              </w:rPr>
            </w:pPr>
            <w:r w:rsidRPr="00C87850">
              <w:rPr>
                <w:rFonts w:cstheme="minorHAnsi"/>
                <w:b/>
                <w:bCs/>
              </w:rPr>
              <w:t>X</w:t>
            </w:r>
          </w:p>
          <w:p w14:paraId="2040203B" w14:textId="77777777" w:rsidR="006830D3" w:rsidRPr="00C87850" w:rsidRDefault="006830D3" w:rsidP="00885F55">
            <w:pPr>
              <w:jc w:val="center"/>
              <w:rPr>
                <w:rFonts w:cstheme="minorHAnsi"/>
                <w:b/>
                <w:bCs/>
              </w:rPr>
            </w:pPr>
          </w:p>
        </w:tc>
        <w:tc>
          <w:tcPr>
            <w:tcW w:w="860" w:type="pct"/>
          </w:tcPr>
          <w:p w14:paraId="57213240" w14:textId="77777777" w:rsidR="006830D3" w:rsidRDefault="006830D3" w:rsidP="00885F55">
            <w:pPr>
              <w:jc w:val="center"/>
              <w:rPr>
                <w:rFonts w:cstheme="minorHAnsi"/>
                <w:b/>
                <w:bCs/>
              </w:rPr>
            </w:pPr>
            <w:r w:rsidRPr="00C87850">
              <w:rPr>
                <w:rFonts w:cstheme="minorHAnsi"/>
                <w:b/>
                <w:bCs/>
              </w:rPr>
              <w:t>X</w:t>
            </w:r>
          </w:p>
          <w:p w14:paraId="2F91B1A5" w14:textId="77777777" w:rsidR="006830D3" w:rsidRPr="00C87850" w:rsidRDefault="006830D3" w:rsidP="00885F55">
            <w:pPr>
              <w:jc w:val="center"/>
              <w:rPr>
                <w:rFonts w:cstheme="minorHAnsi"/>
                <w:b/>
                <w:bCs/>
              </w:rPr>
            </w:pPr>
            <w:r>
              <w:rPr>
                <w:rFonts w:cstheme="minorHAnsi"/>
                <w:b/>
                <w:bCs/>
              </w:rPr>
              <w:t>Pre and post injection</w:t>
            </w:r>
          </w:p>
        </w:tc>
        <w:tc>
          <w:tcPr>
            <w:tcW w:w="597" w:type="pct"/>
          </w:tcPr>
          <w:p w14:paraId="0358CC1B" w14:textId="77777777" w:rsidR="006830D3" w:rsidRPr="00C87850" w:rsidRDefault="006830D3" w:rsidP="00885F55">
            <w:pPr>
              <w:jc w:val="center"/>
              <w:rPr>
                <w:rFonts w:cstheme="minorHAnsi"/>
                <w:b/>
                <w:bCs/>
              </w:rPr>
            </w:pPr>
            <w:r w:rsidRPr="00C87850">
              <w:rPr>
                <w:rFonts w:cstheme="minorHAnsi"/>
                <w:b/>
                <w:bCs/>
              </w:rPr>
              <w:t>X</w:t>
            </w:r>
          </w:p>
        </w:tc>
        <w:tc>
          <w:tcPr>
            <w:tcW w:w="1322" w:type="pct"/>
          </w:tcPr>
          <w:p w14:paraId="009ACE07" w14:textId="77777777" w:rsidR="006830D3" w:rsidRPr="00C87850" w:rsidRDefault="006830D3" w:rsidP="00885F55">
            <w:pPr>
              <w:jc w:val="center"/>
              <w:rPr>
                <w:rFonts w:cstheme="minorHAnsi"/>
                <w:b/>
                <w:bCs/>
              </w:rPr>
            </w:pPr>
          </w:p>
        </w:tc>
      </w:tr>
      <w:tr w:rsidR="006830D3" w:rsidRPr="00C87850" w14:paraId="78B85FCD" w14:textId="77777777" w:rsidTr="00885F55">
        <w:tc>
          <w:tcPr>
            <w:tcW w:w="1455" w:type="pct"/>
          </w:tcPr>
          <w:p w14:paraId="6D17678B" w14:textId="77777777" w:rsidR="006830D3" w:rsidRPr="00C87850" w:rsidRDefault="006830D3" w:rsidP="00885F55">
            <w:pPr>
              <w:rPr>
                <w:rFonts w:cstheme="minorHAnsi"/>
                <w:b/>
                <w:bCs/>
              </w:rPr>
            </w:pPr>
            <w:r>
              <w:rPr>
                <w:rFonts w:cstheme="minorHAnsi"/>
                <w:b/>
                <w:bCs/>
              </w:rPr>
              <w:t>12 lead ECG</w:t>
            </w:r>
          </w:p>
        </w:tc>
        <w:tc>
          <w:tcPr>
            <w:tcW w:w="767" w:type="pct"/>
          </w:tcPr>
          <w:p w14:paraId="35EC239A" w14:textId="77777777" w:rsidR="006830D3" w:rsidRPr="00C87850" w:rsidRDefault="006830D3" w:rsidP="00885F55">
            <w:pPr>
              <w:jc w:val="center"/>
              <w:rPr>
                <w:rFonts w:cstheme="minorHAnsi"/>
                <w:b/>
                <w:bCs/>
              </w:rPr>
            </w:pPr>
            <w:r>
              <w:rPr>
                <w:rFonts w:cstheme="minorHAnsi"/>
                <w:b/>
                <w:bCs/>
              </w:rPr>
              <w:t>X</w:t>
            </w:r>
          </w:p>
        </w:tc>
        <w:tc>
          <w:tcPr>
            <w:tcW w:w="860" w:type="pct"/>
          </w:tcPr>
          <w:p w14:paraId="3F1E9832" w14:textId="77777777" w:rsidR="006830D3" w:rsidRDefault="006830D3" w:rsidP="00885F55">
            <w:pPr>
              <w:jc w:val="center"/>
              <w:rPr>
                <w:rFonts w:cstheme="minorHAnsi"/>
                <w:b/>
                <w:bCs/>
              </w:rPr>
            </w:pPr>
            <w:r w:rsidRPr="00C87850">
              <w:rPr>
                <w:rFonts w:cstheme="minorHAnsi"/>
                <w:b/>
                <w:bCs/>
              </w:rPr>
              <w:t>X</w:t>
            </w:r>
          </w:p>
          <w:p w14:paraId="13C19A6C" w14:textId="77777777" w:rsidR="006830D3" w:rsidRPr="00C87850" w:rsidRDefault="006830D3" w:rsidP="00885F55">
            <w:pPr>
              <w:jc w:val="center"/>
              <w:rPr>
                <w:rFonts w:cstheme="minorHAnsi"/>
                <w:b/>
                <w:bCs/>
              </w:rPr>
            </w:pPr>
            <w:r>
              <w:rPr>
                <w:rFonts w:cstheme="minorHAnsi"/>
                <w:b/>
                <w:bCs/>
              </w:rPr>
              <w:lastRenderedPageBreak/>
              <w:t>Post injection</w:t>
            </w:r>
          </w:p>
        </w:tc>
        <w:tc>
          <w:tcPr>
            <w:tcW w:w="597" w:type="pct"/>
          </w:tcPr>
          <w:p w14:paraId="054DD610" w14:textId="77777777" w:rsidR="006830D3" w:rsidRPr="00C87850" w:rsidRDefault="006830D3" w:rsidP="00885F55">
            <w:pPr>
              <w:jc w:val="center"/>
              <w:rPr>
                <w:rFonts w:cstheme="minorHAnsi"/>
                <w:b/>
                <w:bCs/>
              </w:rPr>
            </w:pPr>
          </w:p>
        </w:tc>
        <w:tc>
          <w:tcPr>
            <w:tcW w:w="1322" w:type="pct"/>
          </w:tcPr>
          <w:p w14:paraId="1619D977" w14:textId="77777777" w:rsidR="006830D3" w:rsidRPr="00C87850" w:rsidRDefault="006830D3" w:rsidP="00885F55">
            <w:pPr>
              <w:jc w:val="center"/>
              <w:rPr>
                <w:rFonts w:cstheme="minorHAnsi"/>
                <w:b/>
                <w:bCs/>
              </w:rPr>
            </w:pPr>
          </w:p>
        </w:tc>
      </w:tr>
      <w:tr w:rsidR="006830D3" w:rsidRPr="00C87850" w14:paraId="5106FB58" w14:textId="77777777" w:rsidTr="00885F55">
        <w:tc>
          <w:tcPr>
            <w:tcW w:w="1455" w:type="pct"/>
          </w:tcPr>
          <w:p w14:paraId="544036CE" w14:textId="77777777" w:rsidR="006830D3" w:rsidRPr="00C87850" w:rsidRDefault="006830D3" w:rsidP="00885F55">
            <w:pPr>
              <w:rPr>
                <w:rFonts w:cstheme="minorHAnsi"/>
                <w:b/>
                <w:bCs/>
              </w:rPr>
            </w:pPr>
            <w:r w:rsidRPr="00C87850">
              <w:rPr>
                <w:rFonts w:cstheme="minorHAnsi"/>
                <w:b/>
                <w:bCs/>
              </w:rPr>
              <w:t xml:space="preserve">Haematology </w:t>
            </w:r>
          </w:p>
          <w:p w14:paraId="3E835613" w14:textId="77777777" w:rsidR="006830D3" w:rsidRPr="00C87850" w:rsidRDefault="006830D3" w:rsidP="00885F55">
            <w:pPr>
              <w:rPr>
                <w:rFonts w:cstheme="minorHAnsi"/>
                <w:b/>
                <w:bCs/>
              </w:rPr>
            </w:pPr>
            <w:r w:rsidRPr="00C87850">
              <w:rPr>
                <w:rFonts w:cstheme="minorHAnsi"/>
                <w:b/>
                <w:bCs/>
              </w:rPr>
              <w:t xml:space="preserve">Biochemistry </w:t>
            </w:r>
          </w:p>
        </w:tc>
        <w:tc>
          <w:tcPr>
            <w:tcW w:w="767" w:type="pct"/>
          </w:tcPr>
          <w:p w14:paraId="4F89FD8E" w14:textId="77777777" w:rsidR="006830D3" w:rsidRPr="00C87850" w:rsidRDefault="006830D3" w:rsidP="00885F55">
            <w:pPr>
              <w:jc w:val="center"/>
              <w:rPr>
                <w:rFonts w:cstheme="minorHAnsi"/>
                <w:b/>
                <w:bCs/>
              </w:rPr>
            </w:pPr>
          </w:p>
          <w:p w14:paraId="7BD10494"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1CA9935C" w14:textId="77777777" w:rsidR="006830D3" w:rsidRPr="00C87850" w:rsidRDefault="006830D3" w:rsidP="00885F55">
            <w:pPr>
              <w:jc w:val="center"/>
              <w:rPr>
                <w:rFonts w:cstheme="minorHAnsi"/>
                <w:b/>
                <w:bCs/>
              </w:rPr>
            </w:pPr>
          </w:p>
          <w:p w14:paraId="3086F1FC" w14:textId="77777777" w:rsidR="006830D3" w:rsidRPr="00C87850" w:rsidRDefault="006830D3" w:rsidP="00885F55">
            <w:pPr>
              <w:jc w:val="center"/>
              <w:rPr>
                <w:rFonts w:cstheme="minorHAnsi"/>
                <w:b/>
                <w:bCs/>
              </w:rPr>
            </w:pPr>
          </w:p>
        </w:tc>
        <w:tc>
          <w:tcPr>
            <w:tcW w:w="597" w:type="pct"/>
          </w:tcPr>
          <w:p w14:paraId="43FE27EA" w14:textId="77777777" w:rsidR="006830D3" w:rsidRPr="00C87850" w:rsidRDefault="006830D3" w:rsidP="00885F55">
            <w:pPr>
              <w:jc w:val="center"/>
              <w:rPr>
                <w:rFonts w:cstheme="minorHAnsi"/>
                <w:b/>
                <w:bCs/>
              </w:rPr>
            </w:pPr>
          </w:p>
          <w:p w14:paraId="084E0DE8" w14:textId="77777777" w:rsidR="006830D3" w:rsidRPr="00C87850" w:rsidRDefault="006830D3" w:rsidP="00885F55">
            <w:pPr>
              <w:jc w:val="center"/>
              <w:rPr>
                <w:rFonts w:cstheme="minorHAnsi"/>
                <w:b/>
                <w:bCs/>
              </w:rPr>
            </w:pPr>
          </w:p>
        </w:tc>
        <w:tc>
          <w:tcPr>
            <w:tcW w:w="1322" w:type="pct"/>
          </w:tcPr>
          <w:p w14:paraId="35784537" w14:textId="77777777" w:rsidR="006830D3" w:rsidRPr="00C87850" w:rsidRDefault="006830D3" w:rsidP="00885F55">
            <w:pPr>
              <w:jc w:val="center"/>
              <w:rPr>
                <w:rFonts w:cstheme="minorHAnsi"/>
                <w:b/>
                <w:bCs/>
              </w:rPr>
            </w:pPr>
          </w:p>
          <w:p w14:paraId="620410D7" w14:textId="77777777" w:rsidR="006830D3" w:rsidRPr="00C87850" w:rsidRDefault="006830D3" w:rsidP="00885F55">
            <w:pPr>
              <w:jc w:val="center"/>
              <w:rPr>
                <w:rFonts w:cstheme="minorHAnsi"/>
                <w:b/>
                <w:bCs/>
              </w:rPr>
            </w:pPr>
          </w:p>
        </w:tc>
      </w:tr>
      <w:tr w:rsidR="006830D3" w:rsidRPr="00C87850" w14:paraId="64482D3D" w14:textId="77777777" w:rsidTr="00885F55">
        <w:tc>
          <w:tcPr>
            <w:tcW w:w="1455" w:type="pct"/>
          </w:tcPr>
          <w:p w14:paraId="13E546BF" w14:textId="77777777" w:rsidR="006830D3" w:rsidRPr="00C87850" w:rsidRDefault="006830D3" w:rsidP="00885F55">
            <w:pPr>
              <w:rPr>
                <w:rFonts w:cstheme="minorHAnsi"/>
                <w:b/>
                <w:bCs/>
              </w:rPr>
            </w:pPr>
            <w:r>
              <w:rPr>
                <w:rFonts w:cstheme="minorHAnsi"/>
                <w:b/>
                <w:bCs/>
              </w:rPr>
              <w:t>Liver function tests</w:t>
            </w:r>
          </w:p>
        </w:tc>
        <w:tc>
          <w:tcPr>
            <w:tcW w:w="767" w:type="pct"/>
          </w:tcPr>
          <w:p w14:paraId="5DD7D6D1"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3C58EA11" w14:textId="77777777" w:rsidR="006830D3" w:rsidRPr="00C87850" w:rsidRDefault="006830D3" w:rsidP="00885F55">
            <w:pPr>
              <w:jc w:val="center"/>
              <w:rPr>
                <w:rFonts w:cstheme="minorHAnsi"/>
                <w:b/>
                <w:bCs/>
              </w:rPr>
            </w:pPr>
          </w:p>
        </w:tc>
        <w:tc>
          <w:tcPr>
            <w:tcW w:w="597" w:type="pct"/>
          </w:tcPr>
          <w:p w14:paraId="3A18555C" w14:textId="77777777" w:rsidR="006830D3" w:rsidRPr="00C87850" w:rsidRDefault="006830D3" w:rsidP="00885F55">
            <w:pPr>
              <w:jc w:val="center"/>
              <w:rPr>
                <w:rFonts w:cstheme="minorHAnsi"/>
                <w:b/>
                <w:bCs/>
              </w:rPr>
            </w:pPr>
          </w:p>
        </w:tc>
        <w:tc>
          <w:tcPr>
            <w:tcW w:w="1322" w:type="pct"/>
          </w:tcPr>
          <w:p w14:paraId="528F7354" w14:textId="77777777" w:rsidR="006830D3" w:rsidRPr="00C87850" w:rsidRDefault="006830D3" w:rsidP="00885F55">
            <w:pPr>
              <w:jc w:val="center"/>
              <w:rPr>
                <w:rFonts w:cstheme="minorHAnsi"/>
                <w:b/>
                <w:bCs/>
              </w:rPr>
            </w:pPr>
          </w:p>
        </w:tc>
      </w:tr>
      <w:tr w:rsidR="006830D3" w:rsidRPr="00C87850" w14:paraId="02300B49" w14:textId="77777777" w:rsidTr="00885F55">
        <w:tc>
          <w:tcPr>
            <w:tcW w:w="1455" w:type="pct"/>
          </w:tcPr>
          <w:p w14:paraId="3FFC6131" w14:textId="77777777" w:rsidR="006830D3" w:rsidRPr="00C87850" w:rsidRDefault="006830D3" w:rsidP="00885F55">
            <w:pPr>
              <w:rPr>
                <w:rFonts w:cstheme="minorHAnsi"/>
                <w:b/>
                <w:bCs/>
              </w:rPr>
            </w:pPr>
            <w:r>
              <w:rPr>
                <w:rFonts w:cstheme="minorHAnsi"/>
                <w:b/>
                <w:bCs/>
              </w:rPr>
              <w:t>Serum β-HCG</w:t>
            </w:r>
          </w:p>
        </w:tc>
        <w:tc>
          <w:tcPr>
            <w:tcW w:w="767" w:type="pct"/>
          </w:tcPr>
          <w:p w14:paraId="50295B15"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5D981D01" w14:textId="77777777" w:rsidR="006830D3" w:rsidRPr="00C87850" w:rsidRDefault="006830D3" w:rsidP="00885F55">
            <w:pPr>
              <w:jc w:val="center"/>
              <w:rPr>
                <w:rFonts w:cstheme="minorHAnsi"/>
                <w:b/>
                <w:bCs/>
              </w:rPr>
            </w:pPr>
          </w:p>
        </w:tc>
        <w:tc>
          <w:tcPr>
            <w:tcW w:w="597" w:type="pct"/>
          </w:tcPr>
          <w:p w14:paraId="2F9D8A2D" w14:textId="77777777" w:rsidR="006830D3" w:rsidRPr="00C87850" w:rsidRDefault="006830D3" w:rsidP="00885F55">
            <w:pPr>
              <w:jc w:val="center"/>
              <w:rPr>
                <w:rFonts w:cstheme="minorHAnsi"/>
                <w:b/>
                <w:bCs/>
              </w:rPr>
            </w:pPr>
          </w:p>
        </w:tc>
        <w:tc>
          <w:tcPr>
            <w:tcW w:w="1322" w:type="pct"/>
          </w:tcPr>
          <w:p w14:paraId="49CABFE2" w14:textId="77777777" w:rsidR="006830D3" w:rsidRPr="00C87850" w:rsidRDefault="006830D3" w:rsidP="00885F55">
            <w:pPr>
              <w:jc w:val="center"/>
              <w:rPr>
                <w:rFonts w:cstheme="minorHAnsi"/>
                <w:b/>
                <w:bCs/>
              </w:rPr>
            </w:pPr>
          </w:p>
        </w:tc>
      </w:tr>
      <w:tr w:rsidR="006830D3" w:rsidRPr="00C87850" w14:paraId="026DD605" w14:textId="77777777" w:rsidTr="00885F55">
        <w:tc>
          <w:tcPr>
            <w:tcW w:w="1455" w:type="pct"/>
          </w:tcPr>
          <w:p w14:paraId="082D9C41" w14:textId="77777777" w:rsidR="006830D3" w:rsidRPr="00C87850" w:rsidRDefault="006830D3" w:rsidP="00885F55">
            <w:pPr>
              <w:rPr>
                <w:rFonts w:cstheme="minorHAnsi"/>
                <w:b/>
                <w:bCs/>
              </w:rPr>
            </w:pPr>
            <w:r>
              <w:rPr>
                <w:rFonts w:cstheme="minorHAnsi"/>
                <w:b/>
                <w:bCs/>
              </w:rPr>
              <w:t>Urine analysis</w:t>
            </w:r>
          </w:p>
        </w:tc>
        <w:tc>
          <w:tcPr>
            <w:tcW w:w="767" w:type="pct"/>
          </w:tcPr>
          <w:p w14:paraId="58D02DF3"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457FA6EC" w14:textId="77777777" w:rsidR="006830D3" w:rsidRPr="00C87850" w:rsidRDefault="006830D3" w:rsidP="00885F55">
            <w:pPr>
              <w:jc w:val="center"/>
              <w:rPr>
                <w:rFonts w:cstheme="minorHAnsi"/>
                <w:b/>
                <w:bCs/>
              </w:rPr>
            </w:pPr>
          </w:p>
        </w:tc>
        <w:tc>
          <w:tcPr>
            <w:tcW w:w="597" w:type="pct"/>
          </w:tcPr>
          <w:p w14:paraId="4D338C9E" w14:textId="77777777" w:rsidR="006830D3" w:rsidRPr="00C87850" w:rsidRDefault="006830D3" w:rsidP="00885F55">
            <w:pPr>
              <w:jc w:val="center"/>
              <w:rPr>
                <w:rFonts w:cstheme="minorHAnsi"/>
                <w:b/>
                <w:bCs/>
              </w:rPr>
            </w:pPr>
          </w:p>
        </w:tc>
        <w:tc>
          <w:tcPr>
            <w:tcW w:w="1322" w:type="pct"/>
          </w:tcPr>
          <w:p w14:paraId="4DA65DEB" w14:textId="77777777" w:rsidR="006830D3" w:rsidRPr="00C87850" w:rsidRDefault="006830D3" w:rsidP="00885F55">
            <w:pPr>
              <w:jc w:val="center"/>
              <w:rPr>
                <w:rFonts w:cstheme="minorHAnsi"/>
                <w:b/>
                <w:bCs/>
              </w:rPr>
            </w:pPr>
          </w:p>
        </w:tc>
      </w:tr>
      <w:tr w:rsidR="006830D3" w:rsidRPr="00C87850" w14:paraId="17E15D1F" w14:textId="77777777" w:rsidTr="00885F55">
        <w:tc>
          <w:tcPr>
            <w:tcW w:w="1455" w:type="pct"/>
          </w:tcPr>
          <w:p w14:paraId="4AB82288" w14:textId="77777777" w:rsidR="006830D3" w:rsidRDefault="006830D3" w:rsidP="00885F55">
            <w:pPr>
              <w:rPr>
                <w:rFonts w:cstheme="minorHAnsi"/>
                <w:b/>
                <w:bCs/>
              </w:rPr>
            </w:pPr>
            <w:r>
              <w:rPr>
                <w:rFonts w:cstheme="minorHAnsi"/>
                <w:b/>
                <w:bCs/>
              </w:rPr>
              <w:t>Urine pregnancy test</w:t>
            </w:r>
          </w:p>
        </w:tc>
        <w:tc>
          <w:tcPr>
            <w:tcW w:w="767" w:type="pct"/>
          </w:tcPr>
          <w:p w14:paraId="15119567" w14:textId="77777777" w:rsidR="006830D3" w:rsidRPr="00C87850" w:rsidRDefault="006830D3" w:rsidP="00885F55">
            <w:pPr>
              <w:jc w:val="center"/>
              <w:rPr>
                <w:rFonts w:cstheme="minorHAnsi"/>
                <w:b/>
                <w:bCs/>
              </w:rPr>
            </w:pPr>
          </w:p>
        </w:tc>
        <w:tc>
          <w:tcPr>
            <w:tcW w:w="860" w:type="pct"/>
          </w:tcPr>
          <w:p w14:paraId="5E9D3A4D" w14:textId="77777777" w:rsidR="006830D3" w:rsidRPr="00C87850" w:rsidRDefault="006830D3" w:rsidP="00885F55">
            <w:pPr>
              <w:jc w:val="center"/>
              <w:rPr>
                <w:rFonts w:cstheme="minorHAnsi"/>
                <w:b/>
                <w:bCs/>
              </w:rPr>
            </w:pPr>
            <w:r w:rsidRPr="00C87850">
              <w:rPr>
                <w:rFonts w:cstheme="minorHAnsi"/>
                <w:b/>
                <w:bCs/>
              </w:rPr>
              <w:t>X</w:t>
            </w:r>
          </w:p>
        </w:tc>
        <w:tc>
          <w:tcPr>
            <w:tcW w:w="597" w:type="pct"/>
          </w:tcPr>
          <w:p w14:paraId="50D28A6B" w14:textId="77777777" w:rsidR="006830D3" w:rsidRPr="00C87850" w:rsidRDefault="006830D3" w:rsidP="00885F55">
            <w:pPr>
              <w:jc w:val="center"/>
              <w:rPr>
                <w:rFonts w:cstheme="minorHAnsi"/>
                <w:b/>
                <w:bCs/>
              </w:rPr>
            </w:pPr>
          </w:p>
        </w:tc>
        <w:tc>
          <w:tcPr>
            <w:tcW w:w="1322" w:type="pct"/>
          </w:tcPr>
          <w:p w14:paraId="3814FAAC" w14:textId="77777777" w:rsidR="006830D3" w:rsidRPr="00C87850" w:rsidRDefault="006830D3" w:rsidP="00885F55">
            <w:pPr>
              <w:jc w:val="center"/>
              <w:rPr>
                <w:rFonts w:cstheme="minorHAnsi"/>
                <w:b/>
                <w:bCs/>
              </w:rPr>
            </w:pPr>
          </w:p>
        </w:tc>
      </w:tr>
      <w:tr w:rsidR="006830D3" w:rsidRPr="00C87850" w14:paraId="26E936A4" w14:textId="77777777" w:rsidTr="00885F55">
        <w:tc>
          <w:tcPr>
            <w:tcW w:w="1455" w:type="pct"/>
          </w:tcPr>
          <w:p w14:paraId="3BBE306D" w14:textId="77777777" w:rsidR="006830D3" w:rsidRPr="00C87850" w:rsidRDefault="006830D3" w:rsidP="00885F55">
            <w:pPr>
              <w:rPr>
                <w:rFonts w:cstheme="minorHAnsi"/>
                <w:b/>
                <w:bCs/>
              </w:rPr>
            </w:pPr>
            <w:r w:rsidRPr="00C87850">
              <w:rPr>
                <w:rFonts w:cstheme="minorHAnsi"/>
                <w:b/>
                <w:bCs/>
              </w:rPr>
              <w:t>PET/CT</w:t>
            </w:r>
          </w:p>
        </w:tc>
        <w:tc>
          <w:tcPr>
            <w:tcW w:w="767" w:type="pct"/>
          </w:tcPr>
          <w:p w14:paraId="0A5487FD" w14:textId="77777777" w:rsidR="006830D3" w:rsidRPr="00C87850" w:rsidRDefault="006830D3" w:rsidP="00885F55">
            <w:pPr>
              <w:jc w:val="center"/>
              <w:rPr>
                <w:rFonts w:cstheme="minorHAnsi"/>
                <w:b/>
                <w:bCs/>
              </w:rPr>
            </w:pPr>
          </w:p>
        </w:tc>
        <w:tc>
          <w:tcPr>
            <w:tcW w:w="860" w:type="pct"/>
          </w:tcPr>
          <w:p w14:paraId="67F1A5D6" w14:textId="77777777" w:rsidR="006830D3" w:rsidRPr="00C87850" w:rsidRDefault="006830D3" w:rsidP="00885F55">
            <w:pPr>
              <w:jc w:val="center"/>
              <w:rPr>
                <w:rFonts w:cstheme="minorHAnsi"/>
                <w:b/>
                <w:bCs/>
              </w:rPr>
            </w:pPr>
          </w:p>
        </w:tc>
        <w:tc>
          <w:tcPr>
            <w:tcW w:w="597" w:type="pct"/>
          </w:tcPr>
          <w:p w14:paraId="3C73F409" w14:textId="77777777" w:rsidR="006830D3" w:rsidRPr="00C87850" w:rsidRDefault="006830D3" w:rsidP="00885F55">
            <w:pPr>
              <w:jc w:val="center"/>
              <w:rPr>
                <w:rFonts w:cstheme="minorHAnsi"/>
                <w:b/>
                <w:bCs/>
              </w:rPr>
            </w:pPr>
            <w:r w:rsidRPr="00C87850">
              <w:rPr>
                <w:rFonts w:cstheme="minorHAnsi"/>
                <w:b/>
                <w:bCs/>
              </w:rPr>
              <w:t>X</w:t>
            </w:r>
          </w:p>
        </w:tc>
        <w:tc>
          <w:tcPr>
            <w:tcW w:w="1322" w:type="pct"/>
          </w:tcPr>
          <w:p w14:paraId="4765C952" w14:textId="77777777" w:rsidR="006830D3" w:rsidRPr="00C87850" w:rsidRDefault="006830D3" w:rsidP="00885F55">
            <w:pPr>
              <w:jc w:val="center"/>
              <w:rPr>
                <w:rFonts w:cstheme="minorHAnsi"/>
                <w:b/>
                <w:bCs/>
              </w:rPr>
            </w:pPr>
          </w:p>
        </w:tc>
      </w:tr>
      <w:tr w:rsidR="006830D3" w:rsidRPr="00C87850" w14:paraId="39682CDA" w14:textId="77777777" w:rsidTr="00885F55">
        <w:tc>
          <w:tcPr>
            <w:tcW w:w="1455" w:type="pct"/>
          </w:tcPr>
          <w:p w14:paraId="5BE201FA" w14:textId="77777777" w:rsidR="006830D3" w:rsidRPr="00C87850" w:rsidRDefault="006830D3" w:rsidP="00885F55">
            <w:pPr>
              <w:rPr>
                <w:rFonts w:cstheme="minorHAnsi"/>
                <w:b/>
                <w:bCs/>
              </w:rPr>
            </w:pPr>
            <w:r w:rsidRPr="00C87850">
              <w:rPr>
                <w:rFonts w:cstheme="minorHAnsi"/>
                <w:b/>
                <w:bCs/>
              </w:rPr>
              <w:t>Adverse events</w:t>
            </w:r>
          </w:p>
        </w:tc>
        <w:tc>
          <w:tcPr>
            <w:tcW w:w="767" w:type="pct"/>
          </w:tcPr>
          <w:p w14:paraId="0872A9D7" w14:textId="77777777" w:rsidR="006830D3" w:rsidRPr="00C87850" w:rsidRDefault="006830D3" w:rsidP="00885F55">
            <w:pPr>
              <w:jc w:val="center"/>
              <w:rPr>
                <w:rFonts w:cstheme="minorHAnsi"/>
                <w:b/>
                <w:bCs/>
              </w:rPr>
            </w:pPr>
          </w:p>
        </w:tc>
        <w:tc>
          <w:tcPr>
            <w:tcW w:w="860" w:type="pct"/>
          </w:tcPr>
          <w:p w14:paraId="31EA64AA" w14:textId="77777777" w:rsidR="006830D3" w:rsidRPr="00C87850" w:rsidRDefault="006830D3" w:rsidP="00885F55">
            <w:pPr>
              <w:jc w:val="center"/>
              <w:rPr>
                <w:rFonts w:cstheme="minorHAnsi"/>
                <w:b/>
                <w:bCs/>
              </w:rPr>
            </w:pPr>
            <w:r w:rsidRPr="00C87850">
              <w:rPr>
                <w:rFonts w:cstheme="minorHAnsi"/>
                <w:b/>
                <w:bCs/>
              </w:rPr>
              <w:t>X</w:t>
            </w:r>
          </w:p>
        </w:tc>
        <w:tc>
          <w:tcPr>
            <w:tcW w:w="597" w:type="pct"/>
          </w:tcPr>
          <w:p w14:paraId="08249325" w14:textId="77777777" w:rsidR="006830D3" w:rsidRPr="00C87850" w:rsidRDefault="006830D3" w:rsidP="00885F55">
            <w:pPr>
              <w:jc w:val="center"/>
              <w:rPr>
                <w:rFonts w:cstheme="minorHAnsi"/>
                <w:b/>
                <w:bCs/>
              </w:rPr>
            </w:pPr>
            <w:r w:rsidRPr="00C87850">
              <w:rPr>
                <w:rFonts w:cstheme="minorHAnsi"/>
                <w:b/>
                <w:bCs/>
              </w:rPr>
              <w:t>X</w:t>
            </w:r>
          </w:p>
        </w:tc>
        <w:tc>
          <w:tcPr>
            <w:tcW w:w="1322" w:type="pct"/>
          </w:tcPr>
          <w:p w14:paraId="7E2DAD8E" w14:textId="77777777" w:rsidR="006830D3" w:rsidRPr="00C87850" w:rsidRDefault="006830D3" w:rsidP="00885F55">
            <w:pPr>
              <w:jc w:val="center"/>
              <w:rPr>
                <w:rFonts w:cstheme="minorHAnsi"/>
                <w:b/>
                <w:bCs/>
              </w:rPr>
            </w:pPr>
            <w:r w:rsidRPr="00C87850">
              <w:rPr>
                <w:rFonts w:cstheme="minorHAnsi"/>
                <w:b/>
                <w:bCs/>
              </w:rPr>
              <w:t>X</w:t>
            </w:r>
          </w:p>
        </w:tc>
      </w:tr>
      <w:tr w:rsidR="006830D3" w:rsidRPr="00C87850" w14:paraId="5139D552" w14:textId="77777777" w:rsidTr="00885F55">
        <w:tc>
          <w:tcPr>
            <w:tcW w:w="1455" w:type="pct"/>
          </w:tcPr>
          <w:p w14:paraId="6C8D823B" w14:textId="77777777" w:rsidR="006830D3" w:rsidRPr="00C87850" w:rsidRDefault="006830D3" w:rsidP="00885F55">
            <w:pPr>
              <w:rPr>
                <w:rFonts w:cstheme="minorHAnsi"/>
                <w:b/>
                <w:bCs/>
              </w:rPr>
            </w:pPr>
            <w:r w:rsidRPr="00C87850">
              <w:rPr>
                <w:rFonts w:cstheme="minorHAnsi"/>
                <w:b/>
                <w:bCs/>
              </w:rPr>
              <w:t>Concomitant Medications</w:t>
            </w:r>
          </w:p>
        </w:tc>
        <w:tc>
          <w:tcPr>
            <w:tcW w:w="767" w:type="pct"/>
          </w:tcPr>
          <w:p w14:paraId="0BCA05E0" w14:textId="77777777" w:rsidR="006830D3" w:rsidRPr="00C87850" w:rsidRDefault="006830D3" w:rsidP="00885F55">
            <w:pPr>
              <w:jc w:val="center"/>
              <w:rPr>
                <w:rFonts w:cstheme="minorHAnsi"/>
                <w:b/>
                <w:bCs/>
              </w:rPr>
            </w:pPr>
            <w:r w:rsidRPr="00C87850">
              <w:rPr>
                <w:rFonts w:cstheme="minorHAnsi"/>
                <w:b/>
                <w:bCs/>
              </w:rPr>
              <w:t>X</w:t>
            </w:r>
          </w:p>
        </w:tc>
        <w:tc>
          <w:tcPr>
            <w:tcW w:w="860" w:type="pct"/>
          </w:tcPr>
          <w:p w14:paraId="60502057" w14:textId="77777777" w:rsidR="006830D3" w:rsidRPr="00C87850" w:rsidRDefault="006830D3" w:rsidP="00885F55">
            <w:pPr>
              <w:jc w:val="center"/>
              <w:rPr>
                <w:rFonts w:cstheme="minorHAnsi"/>
                <w:b/>
                <w:bCs/>
              </w:rPr>
            </w:pPr>
            <w:r w:rsidRPr="00C87850">
              <w:rPr>
                <w:rFonts w:cstheme="minorHAnsi"/>
                <w:b/>
                <w:bCs/>
              </w:rPr>
              <w:t>X</w:t>
            </w:r>
          </w:p>
        </w:tc>
        <w:tc>
          <w:tcPr>
            <w:tcW w:w="597" w:type="pct"/>
          </w:tcPr>
          <w:p w14:paraId="7CF58BC2" w14:textId="77777777" w:rsidR="006830D3" w:rsidRPr="00C87850" w:rsidRDefault="006830D3" w:rsidP="00885F55">
            <w:pPr>
              <w:jc w:val="center"/>
              <w:rPr>
                <w:rFonts w:cstheme="minorHAnsi"/>
                <w:b/>
                <w:bCs/>
              </w:rPr>
            </w:pPr>
            <w:r w:rsidRPr="00C87850">
              <w:rPr>
                <w:rFonts w:cstheme="minorHAnsi"/>
                <w:b/>
                <w:bCs/>
              </w:rPr>
              <w:t>X</w:t>
            </w:r>
          </w:p>
        </w:tc>
        <w:tc>
          <w:tcPr>
            <w:tcW w:w="1322" w:type="pct"/>
          </w:tcPr>
          <w:p w14:paraId="72FF8FBA" w14:textId="77777777" w:rsidR="006830D3" w:rsidRPr="00C87850" w:rsidRDefault="006830D3" w:rsidP="00885F55">
            <w:pPr>
              <w:jc w:val="center"/>
              <w:rPr>
                <w:rFonts w:cstheme="minorHAnsi"/>
                <w:b/>
                <w:bCs/>
              </w:rPr>
            </w:pPr>
            <w:r w:rsidRPr="00C87850">
              <w:rPr>
                <w:rFonts w:cstheme="minorHAnsi"/>
                <w:b/>
                <w:bCs/>
              </w:rPr>
              <w:t>X</w:t>
            </w:r>
          </w:p>
        </w:tc>
      </w:tr>
    </w:tbl>
    <w:p w14:paraId="2DF32B73" w14:textId="77777777" w:rsidR="00DE0565" w:rsidRDefault="00DE0565" w:rsidP="00DE0565">
      <w:pPr>
        <w:pStyle w:val="Default"/>
        <w:ind w:left="397"/>
        <w:rPr>
          <w:rFonts w:asciiTheme="minorHAnsi" w:hAnsiTheme="minorHAnsi" w:cstheme="minorHAnsi"/>
          <w:sz w:val="22"/>
          <w:szCs w:val="22"/>
        </w:rPr>
      </w:pPr>
    </w:p>
    <w:p w14:paraId="2B408FCC" w14:textId="15ED5BC6"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For time points when more than one procedure is scheduled, the assessments will be performed in an order as clinically appropriate</w:t>
      </w:r>
      <w:r>
        <w:rPr>
          <w:rFonts w:asciiTheme="minorHAnsi" w:hAnsiTheme="minorHAnsi" w:cstheme="minorHAnsi"/>
          <w:sz w:val="22"/>
          <w:szCs w:val="22"/>
        </w:rPr>
        <w:t>.</w:t>
      </w:r>
      <w:r w:rsidRPr="00632FB8">
        <w:rPr>
          <w:rFonts w:asciiTheme="minorHAnsi" w:hAnsiTheme="minorHAnsi" w:cstheme="minorHAnsi"/>
          <w:sz w:val="22"/>
          <w:szCs w:val="22"/>
        </w:rPr>
        <w:t xml:space="preserve"> </w:t>
      </w:r>
    </w:p>
    <w:p w14:paraId="77C14F68" w14:textId="77777777" w:rsidR="00DE0565" w:rsidRPr="00632FB8" w:rsidRDefault="00DE0565" w:rsidP="00632FB8">
      <w:pPr>
        <w:pStyle w:val="Default"/>
        <w:ind w:left="397"/>
        <w:jc w:val="both"/>
        <w:rPr>
          <w:rFonts w:asciiTheme="minorHAnsi" w:hAnsiTheme="minorHAnsi" w:cstheme="minorHAnsi"/>
          <w:sz w:val="22"/>
          <w:szCs w:val="22"/>
        </w:rPr>
      </w:pPr>
    </w:p>
    <w:p w14:paraId="5ADC9196" w14:textId="77777777" w:rsidR="006830D3" w:rsidRDefault="006830D3" w:rsidP="00DE0565">
      <w:pPr>
        <w:pStyle w:val="Default"/>
        <w:ind w:left="397"/>
        <w:rPr>
          <w:rFonts w:asciiTheme="minorHAnsi" w:hAnsiTheme="minorHAnsi" w:cstheme="minorHAnsi"/>
          <w:b/>
          <w:bCs/>
          <w:sz w:val="22"/>
          <w:szCs w:val="22"/>
        </w:rPr>
      </w:pPr>
    </w:p>
    <w:p w14:paraId="12983735" w14:textId="77777777" w:rsidR="006830D3" w:rsidRDefault="006830D3" w:rsidP="00DE0565">
      <w:pPr>
        <w:pStyle w:val="Default"/>
        <w:ind w:left="397"/>
        <w:rPr>
          <w:rFonts w:asciiTheme="minorHAnsi" w:hAnsiTheme="minorHAnsi" w:cstheme="minorHAnsi"/>
          <w:b/>
          <w:bCs/>
          <w:sz w:val="22"/>
          <w:szCs w:val="22"/>
        </w:rPr>
      </w:pPr>
    </w:p>
    <w:p w14:paraId="35931199" w14:textId="77777777" w:rsidR="006830D3" w:rsidRDefault="006830D3" w:rsidP="00DE0565">
      <w:pPr>
        <w:pStyle w:val="Default"/>
        <w:ind w:left="397"/>
        <w:rPr>
          <w:rFonts w:asciiTheme="minorHAnsi" w:hAnsiTheme="minorHAnsi" w:cstheme="minorHAnsi"/>
          <w:b/>
          <w:bCs/>
          <w:sz w:val="22"/>
          <w:szCs w:val="22"/>
        </w:rPr>
      </w:pPr>
    </w:p>
    <w:p w14:paraId="66D94C4A" w14:textId="334D3FBD"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7.2 Screening </w:t>
      </w:r>
      <w:r>
        <w:rPr>
          <w:rFonts w:asciiTheme="minorHAnsi" w:hAnsiTheme="minorHAnsi" w:cstheme="minorHAnsi"/>
          <w:b/>
          <w:bCs/>
          <w:sz w:val="22"/>
          <w:szCs w:val="22"/>
        </w:rPr>
        <w:t>and FDG PET</w:t>
      </w:r>
      <w:r w:rsidR="00A4735F">
        <w:rPr>
          <w:rFonts w:asciiTheme="minorHAnsi" w:hAnsiTheme="minorHAnsi" w:cstheme="minorHAnsi"/>
          <w:b/>
          <w:bCs/>
          <w:sz w:val="22"/>
          <w:szCs w:val="22"/>
        </w:rPr>
        <w:t>/CT</w:t>
      </w:r>
    </w:p>
    <w:p w14:paraId="636D8A77" w14:textId="77777777" w:rsidR="00DE0565" w:rsidRPr="00632FB8" w:rsidRDefault="00DE0565" w:rsidP="00632FB8">
      <w:pPr>
        <w:pStyle w:val="Default"/>
        <w:ind w:left="397"/>
        <w:rPr>
          <w:rFonts w:asciiTheme="minorHAnsi" w:hAnsiTheme="minorHAnsi" w:cstheme="minorHAnsi"/>
          <w:sz w:val="22"/>
          <w:szCs w:val="22"/>
        </w:rPr>
      </w:pPr>
    </w:p>
    <w:p w14:paraId="3950A227" w14:textId="4C4D0D3F"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Screening is to take place between </w:t>
      </w:r>
      <w:r>
        <w:rPr>
          <w:rFonts w:asciiTheme="minorHAnsi" w:hAnsiTheme="minorHAnsi" w:cstheme="minorHAnsi"/>
          <w:sz w:val="22"/>
          <w:szCs w:val="22"/>
        </w:rPr>
        <w:t>28</w:t>
      </w:r>
      <w:r w:rsidRPr="00632FB8">
        <w:rPr>
          <w:rFonts w:asciiTheme="minorHAnsi" w:hAnsiTheme="minorHAnsi" w:cstheme="minorHAnsi"/>
          <w:sz w:val="22"/>
          <w:szCs w:val="22"/>
        </w:rPr>
        <w:t xml:space="preserve"> days and 1 day before administration of </w:t>
      </w:r>
      <w:r w:rsidR="00664E6F" w:rsidRPr="009D2267">
        <w:rPr>
          <w:rFonts w:asciiTheme="minorHAnsi" w:hAnsiTheme="minorHAnsi" w:cstheme="minorHAnsi"/>
          <w:bCs/>
          <w:sz w:val="22"/>
          <w:szCs w:val="22"/>
          <w:vertAlign w:val="superscript"/>
        </w:rPr>
        <w:t>89</w:t>
      </w:r>
      <w:r w:rsidR="00664E6F" w:rsidRPr="009D2267">
        <w:rPr>
          <w:rFonts w:asciiTheme="minorHAnsi" w:hAnsiTheme="minorHAnsi" w:cstheme="minorHAnsi"/>
          <w:bCs/>
          <w:sz w:val="22"/>
          <w:szCs w:val="22"/>
        </w:rPr>
        <w:t>Zr-TLX250</w:t>
      </w:r>
      <w:r w:rsidR="00664E6F">
        <w:rPr>
          <w:rFonts w:asciiTheme="minorHAnsi" w:hAnsiTheme="minorHAnsi" w:cstheme="minorHAnsi"/>
          <w:bCs/>
          <w:sz w:val="22"/>
          <w:szCs w:val="22"/>
        </w:rPr>
        <w:t xml:space="preserve"> </w:t>
      </w:r>
      <w:r w:rsidRPr="00632FB8">
        <w:rPr>
          <w:rFonts w:asciiTheme="minorHAnsi" w:hAnsiTheme="minorHAnsi" w:cstheme="minorHAnsi"/>
          <w:sz w:val="22"/>
          <w:szCs w:val="22"/>
        </w:rPr>
        <w:t>on Day 0. Evidence o</w:t>
      </w:r>
      <w:r>
        <w:rPr>
          <w:rFonts w:asciiTheme="minorHAnsi" w:hAnsiTheme="minorHAnsi" w:cstheme="minorHAnsi"/>
          <w:sz w:val="22"/>
          <w:szCs w:val="22"/>
        </w:rPr>
        <w:t>f h</w:t>
      </w:r>
      <w:r w:rsidRPr="00DE0565">
        <w:rPr>
          <w:rFonts w:asciiTheme="minorHAnsi" w:hAnsiTheme="minorHAnsi" w:cstheme="minorHAnsi"/>
          <w:sz w:val="22"/>
          <w:szCs w:val="22"/>
        </w:rPr>
        <w:t>istologically diagnosed with urothelial carcinoma or bladder cancer (or upper tract urothelial carcinoma diagnosed based on standard imaging and malignant urine cytology or direct visualisation on ureteroscopy) or known metastatic urothelial carcinoma or bladder cancer (based on previous imaging and /or histopathology)</w:t>
      </w:r>
      <w:r>
        <w:rPr>
          <w:rFonts w:asciiTheme="minorHAnsi" w:hAnsiTheme="minorHAnsi" w:cstheme="minorHAnsi"/>
          <w:sz w:val="22"/>
          <w:szCs w:val="22"/>
        </w:rPr>
        <w:t xml:space="preserve"> </w:t>
      </w:r>
      <w:r w:rsidRPr="00632FB8">
        <w:rPr>
          <w:rFonts w:asciiTheme="minorHAnsi" w:hAnsiTheme="minorHAnsi" w:cstheme="minorHAnsi"/>
          <w:sz w:val="22"/>
          <w:szCs w:val="22"/>
        </w:rPr>
        <w:t xml:space="preserve">must be given before any screening procedure is performed. </w:t>
      </w:r>
    </w:p>
    <w:p w14:paraId="721F5828" w14:textId="77777777" w:rsidR="00DE0565" w:rsidRPr="00632FB8" w:rsidRDefault="00DE0565" w:rsidP="00632FB8">
      <w:pPr>
        <w:pStyle w:val="Default"/>
        <w:ind w:left="397"/>
        <w:jc w:val="both"/>
        <w:rPr>
          <w:rFonts w:asciiTheme="minorHAnsi" w:hAnsiTheme="minorHAnsi" w:cstheme="minorHAnsi"/>
          <w:sz w:val="22"/>
          <w:szCs w:val="22"/>
        </w:rPr>
      </w:pPr>
    </w:p>
    <w:p w14:paraId="656981E4" w14:textId="77777777" w:rsidR="00DE0565"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sz w:val="22"/>
          <w:szCs w:val="22"/>
        </w:rPr>
        <w:t xml:space="preserve">After signing the informed consent form, patients will undergo the following screening investigations and procedures: </w:t>
      </w:r>
    </w:p>
    <w:p w14:paraId="7B264448" w14:textId="77777777" w:rsidR="005E0DC5" w:rsidRPr="00632FB8" w:rsidRDefault="005E0DC5" w:rsidP="00632FB8">
      <w:pPr>
        <w:pStyle w:val="Default"/>
        <w:ind w:left="397"/>
        <w:rPr>
          <w:rFonts w:asciiTheme="minorHAnsi" w:hAnsiTheme="minorHAnsi" w:cstheme="minorHAnsi"/>
          <w:sz w:val="22"/>
          <w:szCs w:val="22"/>
        </w:rPr>
      </w:pPr>
    </w:p>
    <w:p w14:paraId="1BA8EBDC" w14:textId="0E7096CC"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Review of inclusion/exclusion criteria </w:t>
      </w:r>
    </w:p>
    <w:p w14:paraId="3A6D1D35" w14:textId="1055BD98"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Medical history </w:t>
      </w:r>
    </w:p>
    <w:p w14:paraId="07063C45" w14:textId="44572D83"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Physical exam </w:t>
      </w:r>
    </w:p>
    <w:p w14:paraId="1542D785" w14:textId="5F79C465"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Vital signs </w:t>
      </w:r>
    </w:p>
    <w:p w14:paraId="4052C27D" w14:textId="5D702D4F"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Haematology </w:t>
      </w:r>
    </w:p>
    <w:p w14:paraId="41FBFF97" w14:textId="7DA40E78" w:rsidR="00DE0565" w:rsidRDefault="00DE0565" w:rsidP="00632FB8">
      <w:pPr>
        <w:pStyle w:val="Default"/>
        <w:numPr>
          <w:ilvl w:val="0"/>
          <w:numId w:val="29"/>
        </w:numPr>
        <w:ind w:left="1077" w:hanging="357"/>
        <w:rPr>
          <w:rFonts w:asciiTheme="minorHAnsi" w:hAnsiTheme="minorHAnsi" w:cstheme="minorHAnsi"/>
          <w:sz w:val="22"/>
          <w:szCs w:val="22"/>
        </w:rPr>
      </w:pPr>
      <w:r>
        <w:rPr>
          <w:rFonts w:asciiTheme="minorHAnsi" w:hAnsiTheme="minorHAnsi" w:cstheme="minorHAnsi"/>
          <w:sz w:val="22"/>
          <w:szCs w:val="22"/>
        </w:rPr>
        <w:t>Basic electrolytes and renal function</w:t>
      </w:r>
    </w:p>
    <w:p w14:paraId="19CC1399" w14:textId="681F23AB" w:rsidR="00DE0565" w:rsidRPr="00632FB8" w:rsidRDefault="00DE0565" w:rsidP="00632FB8">
      <w:pPr>
        <w:pStyle w:val="Default"/>
        <w:numPr>
          <w:ilvl w:val="0"/>
          <w:numId w:val="29"/>
        </w:numPr>
        <w:ind w:left="1077" w:hanging="357"/>
        <w:rPr>
          <w:rFonts w:asciiTheme="minorHAnsi" w:hAnsiTheme="minorHAnsi" w:cstheme="minorHAnsi"/>
          <w:sz w:val="22"/>
          <w:szCs w:val="22"/>
        </w:rPr>
      </w:pPr>
      <w:r>
        <w:rPr>
          <w:rFonts w:asciiTheme="minorHAnsi" w:hAnsiTheme="minorHAnsi" w:cstheme="minorHAnsi"/>
          <w:sz w:val="22"/>
          <w:szCs w:val="22"/>
        </w:rPr>
        <w:t>Liver function tests</w:t>
      </w:r>
    </w:p>
    <w:p w14:paraId="7B8916F3" w14:textId="5E63465B"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Urinalysis (Dipstick) </w:t>
      </w:r>
    </w:p>
    <w:p w14:paraId="554252F9" w14:textId="218EF58A"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Pregnancy test from serum (for premenopausal female patients) </w:t>
      </w:r>
    </w:p>
    <w:p w14:paraId="6C760D78" w14:textId="046E78DE" w:rsidR="00DE0565" w:rsidRPr="00632FB8"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12-lead ECG </w:t>
      </w:r>
    </w:p>
    <w:p w14:paraId="07EFADD5" w14:textId="137C14DF" w:rsidR="00DE0565" w:rsidRPr="00632FB8" w:rsidRDefault="00DE0565" w:rsidP="00632FB8">
      <w:pPr>
        <w:pStyle w:val="Default"/>
        <w:numPr>
          <w:ilvl w:val="0"/>
          <w:numId w:val="29"/>
        </w:numPr>
        <w:ind w:left="1077" w:hanging="357"/>
        <w:rPr>
          <w:rFonts w:asciiTheme="minorHAnsi" w:hAnsiTheme="minorHAnsi" w:cstheme="minorHAnsi"/>
          <w:sz w:val="22"/>
          <w:szCs w:val="22"/>
        </w:rPr>
      </w:pPr>
      <w:r>
        <w:rPr>
          <w:rFonts w:asciiTheme="minorHAnsi" w:hAnsiTheme="minorHAnsi" w:cstheme="minorHAnsi"/>
          <w:sz w:val="22"/>
          <w:szCs w:val="22"/>
        </w:rPr>
        <w:t>C</w:t>
      </w:r>
      <w:r w:rsidRPr="00632FB8">
        <w:rPr>
          <w:rFonts w:asciiTheme="minorHAnsi" w:hAnsiTheme="minorHAnsi" w:cstheme="minorHAnsi"/>
          <w:sz w:val="22"/>
          <w:szCs w:val="22"/>
        </w:rPr>
        <w:t xml:space="preserve">oncomitant medications </w:t>
      </w:r>
    </w:p>
    <w:p w14:paraId="49A2031E" w14:textId="147907E3" w:rsidR="00DE0565" w:rsidRDefault="00DE0565" w:rsidP="00632FB8">
      <w:pPr>
        <w:pStyle w:val="Default"/>
        <w:numPr>
          <w:ilvl w:val="0"/>
          <w:numId w:val="29"/>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Baseline findings </w:t>
      </w:r>
    </w:p>
    <w:p w14:paraId="2A445EE6" w14:textId="77777777" w:rsidR="005E0DC5" w:rsidRDefault="005E0DC5" w:rsidP="00632FB8">
      <w:pPr>
        <w:pStyle w:val="Default"/>
        <w:ind w:left="1077"/>
        <w:rPr>
          <w:rFonts w:asciiTheme="minorHAnsi" w:hAnsiTheme="minorHAnsi" w:cstheme="minorHAnsi"/>
          <w:sz w:val="22"/>
          <w:szCs w:val="22"/>
        </w:rPr>
      </w:pPr>
    </w:p>
    <w:p w14:paraId="02305AEC" w14:textId="49EC7275" w:rsidR="00DE0565" w:rsidRDefault="00DE0565" w:rsidP="00632FB8">
      <w:pPr>
        <w:pStyle w:val="Default"/>
        <w:spacing w:after="198"/>
        <w:jc w:val="both"/>
        <w:rPr>
          <w:rFonts w:asciiTheme="minorHAnsi" w:hAnsiTheme="minorHAnsi" w:cstheme="minorHAnsi"/>
          <w:sz w:val="22"/>
          <w:szCs w:val="22"/>
        </w:rPr>
      </w:pPr>
      <w:r>
        <w:rPr>
          <w:rFonts w:asciiTheme="minorHAnsi" w:hAnsiTheme="minorHAnsi" w:cstheme="minorHAnsi"/>
          <w:sz w:val="22"/>
          <w:szCs w:val="22"/>
        </w:rPr>
        <w:t>FDG PET</w:t>
      </w:r>
      <w:r w:rsidR="00DA7693">
        <w:rPr>
          <w:rFonts w:asciiTheme="minorHAnsi" w:hAnsiTheme="minorHAnsi" w:cstheme="minorHAnsi"/>
          <w:sz w:val="22"/>
          <w:szCs w:val="22"/>
        </w:rPr>
        <w:t>/CT</w:t>
      </w:r>
      <w:r>
        <w:rPr>
          <w:rFonts w:asciiTheme="minorHAnsi" w:hAnsiTheme="minorHAnsi" w:cstheme="minorHAnsi"/>
          <w:sz w:val="22"/>
          <w:szCs w:val="22"/>
        </w:rPr>
        <w:t xml:space="preserve"> would be performed between 28 days and 1 day before the administration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Pr>
          <w:rFonts w:asciiTheme="minorHAnsi" w:hAnsiTheme="minorHAnsi" w:cstheme="minorHAnsi"/>
          <w:sz w:val="22"/>
          <w:szCs w:val="22"/>
        </w:rPr>
        <w:t xml:space="preserve"> on Day 0 in line with routine site protocols as part of standard of care. </w:t>
      </w:r>
    </w:p>
    <w:p w14:paraId="5E81D97A" w14:textId="1EEBF7CC" w:rsidR="00DE0565" w:rsidRDefault="00DE0565" w:rsidP="00632FB8">
      <w:pPr>
        <w:pStyle w:val="Default"/>
        <w:spacing w:after="198"/>
        <w:ind w:left="397"/>
        <w:rPr>
          <w:rFonts w:asciiTheme="minorHAnsi" w:hAnsiTheme="minorHAnsi" w:cstheme="minorHAnsi"/>
          <w:b/>
          <w:bCs/>
          <w:sz w:val="22"/>
          <w:szCs w:val="22"/>
        </w:rPr>
      </w:pPr>
      <w:r w:rsidRPr="00632FB8">
        <w:rPr>
          <w:rFonts w:asciiTheme="minorHAnsi" w:hAnsiTheme="minorHAnsi" w:cstheme="minorHAnsi"/>
          <w:b/>
          <w:bCs/>
          <w:sz w:val="22"/>
          <w:szCs w:val="22"/>
        </w:rPr>
        <w:t>7.3 Treatment</w:t>
      </w:r>
      <w:r>
        <w:rPr>
          <w:rFonts w:asciiTheme="minorHAnsi" w:hAnsiTheme="minorHAnsi" w:cstheme="minorHAnsi"/>
          <w:b/>
          <w:bCs/>
          <w:sz w:val="22"/>
          <w:szCs w:val="22"/>
        </w:rPr>
        <w:t xml:space="preserve"> (Day 0)</w:t>
      </w:r>
    </w:p>
    <w:p w14:paraId="5D8E03E1" w14:textId="3051D0C6" w:rsidR="00DE0565" w:rsidRPr="00DE0565" w:rsidRDefault="00A338D6" w:rsidP="00632FB8">
      <w:pPr>
        <w:pStyle w:val="Default"/>
        <w:spacing w:after="198"/>
        <w:jc w:val="both"/>
        <w:rPr>
          <w:rFonts w:asciiTheme="minorHAnsi" w:hAnsiTheme="minorHAnsi" w:cstheme="minorHAnsi"/>
          <w:b/>
          <w:bCs/>
          <w:sz w:val="22"/>
          <w:szCs w:val="22"/>
        </w:rPr>
      </w:pPr>
      <w:r>
        <w:rPr>
          <w:rFonts w:asciiTheme="minorHAnsi" w:eastAsiaTheme="minorEastAsia" w:hAnsiTheme="minorHAnsi" w:cstheme="minorHAnsi"/>
          <w:sz w:val="22"/>
          <w:szCs w:val="22"/>
        </w:rPr>
        <w:t xml:space="preserve">Urine pregnancy tests would be performed for pre-menopausal women. </w:t>
      </w:r>
      <w:r w:rsidR="00DE0565" w:rsidRPr="00632FB8">
        <w:rPr>
          <w:rFonts w:asciiTheme="minorHAnsi" w:eastAsiaTheme="minorEastAsia" w:hAnsiTheme="minorHAnsi" w:cstheme="minorHAnsi"/>
          <w:sz w:val="22"/>
          <w:szCs w:val="22"/>
        </w:rPr>
        <w:t xml:space="preserve">Vital signs will be recorded before and after administration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E0565" w:rsidRPr="00632FB8">
        <w:rPr>
          <w:rFonts w:asciiTheme="minorHAnsi" w:eastAsiaTheme="minorEastAsia" w:hAnsiTheme="minorHAnsi" w:cstheme="minorHAnsi"/>
          <w:sz w:val="22"/>
          <w:szCs w:val="22"/>
        </w:rPr>
        <w:t>. 12-lead ECG and adverse event recording (</w:t>
      </w:r>
      <w:r w:rsidR="00DE0565" w:rsidRPr="00632FB8">
        <w:rPr>
          <w:rFonts w:asciiTheme="minorHAnsi" w:hAnsiTheme="minorHAnsi" w:cstheme="minorHAnsi"/>
          <w:sz w:val="22"/>
          <w:szCs w:val="22"/>
        </w:rPr>
        <w:t>NCI-CTC v 5.0)</w:t>
      </w:r>
      <w:r w:rsidR="00DE0565" w:rsidRPr="00632FB8">
        <w:rPr>
          <w:rFonts w:asciiTheme="minorHAnsi" w:eastAsiaTheme="minorEastAsia" w:hAnsiTheme="minorHAnsi" w:cstheme="minorHAnsi"/>
          <w:sz w:val="22"/>
          <w:szCs w:val="22"/>
        </w:rPr>
        <w:t xml:space="preserve"> will be performed post administration</w:t>
      </w:r>
    </w:p>
    <w:p w14:paraId="4A493926" w14:textId="7806494E" w:rsidR="00DE0565" w:rsidRDefault="00DE0565" w:rsidP="00632FB8">
      <w:pPr>
        <w:pStyle w:val="Default"/>
        <w:spacing w:after="198"/>
        <w:ind w:left="397"/>
        <w:rPr>
          <w:rFonts w:asciiTheme="minorHAnsi" w:hAnsiTheme="minorHAnsi" w:cstheme="minorHAnsi"/>
          <w:b/>
          <w:bCs/>
          <w:sz w:val="22"/>
          <w:szCs w:val="22"/>
        </w:rPr>
      </w:pPr>
      <w:r>
        <w:rPr>
          <w:rFonts w:asciiTheme="minorHAnsi" w:hAnsiTheme="minorHAnsi" w:cstheme="minorHAnsi"/>
          <w:b/>
          <w:bCs/>
          <w:sz w:val="22"/>
          <w:szCs w:val="22"/>
        </w:rPr>
        <w:t xml:space="preserve">7.4 Imaging (Day 5 </w:t>
      </w:r>
      <w:r w:rsidR="006830D3">
        <w:rPr>
          <w:rFonts w:asciiTheme="minorHAnsi" w:hAnsiTheme="minorHAnsi" w:cstheme="minorHAnsi"/>
          <w:b/>
          <w:bCs/>
          <w:sz w:val="22"/>
          <w:szCs w:val="22"/>
        </w:rPr>
        <w:t xml:space="preserve">± </w:t>
      </w:r>
      <w:r>
        <w:rPr>
          <w:rFonts w:asciiTheme="minorHAnsi" w:hAnsiTheme="minorHAnsi" w:cstheme="minorHAnsi"/>
          <w:b/>
          <w:bCs/>
          <w:sz w:val="22"/>
          <w:szCs w:val="22"/>
        </w:rPr>
        <w:t>2 Days, but no sooner than 72 hours post administration)</w:t>
      </w:r>
    </w:p>
    <w:p w14:paraId="69ABE9DC" w14:textId="24372834" w:rsidR="00DE0565" w:rsidRDefault="00DE0565" w:rsidP="00660135">
      <w:pPr>
        <w:pStyle w:val="Default"/>
        <w:spacing w:after="198"/>
        <w:jc w:val="both"/>
        <w:rPr>
          <w:rFonts w:asciiTheme="minorHAnsi" w:hAnsiTheme="minorHAnsi" w:cstheme="minorHAnsi"/>
          <w:sz w:val="22"/>
          <w:szCs w:val="22"/>
        </w:rPr>
      </w:pPr>
      <w:r w:rsidRPr="00632FB8">
        <w:rPr>
          <w:rFonts w:asciiTheme="minorHAnsi" w:hAnsiTheme="minorHAnsi" w:cstheme="minorHAnsi"/>
          <w:sz w:val="22"/>
          <w:szCs w:val="22"/>
        </w:rPr>
        <w:lastRenderedPageBreak/>
        <w:t xml:space="preserve">As part of PET/CT hybrid acquisition, </w:t>
      </w:r>
      <w:r>
        <w:rPr>
          <w:rFonts w:asciiTheme="minorHAnsi" w:hAnsiTheme="minorHAnsi" w:cstheme="minorHAnsi"/>
          <w:sz w:val="22"/>
          <w:szCs w:val="22"/>
        </w:rPr>
        <w:t xml:space="preserve">whole body </w:t>
      </w:r>
      <w:r w:rsidRPr="00632FB8">
        <w:rPr>
          <w:rFonts w:asciiTheme="minorHAnsi" w:hAnsiTheme="minorHAnsi" w:cstheme="minorHAnsi"/>
          <w:sz w:val="22"/>
          <w:szCs w:val="22"/>
        </w:rPr>
        <w:t xml:space="preserve">PET static and low dose CT including </w:t>
      </w:r>
      <w:r>
        <w:rPr>
          <w:rFonts w:asciiTheme="minorHAnsi" w:hAnsiTheme="minorHAnsi" w:cstheme="minorHAnsi"/>
          <w:sz w:val="22"/>
          <w:szCs w:val="22"/>
        </w:rPr>
        <w:t>brain to mid-thigh will be performed</w:t>
      </w:r>
      <w:r w:rsidRPr="00632FB8">
        <w:rPr>
          <w:rFonts w:asciiTheme="minorHAnsi" w:hAnsiTheme="minorHAnsi" w:cstheme="minorHAnsi"/>
          <w:sz w:val="22"/>
          <w:szCs w:val="22"/>
        </w:rPr>
        <w:t>.</w:t>
      </w:r>
      <w:r>
        <w:rPr>
          <w:rFonts w:asciiTheme="minorHAnsi" w:hAnsiTheme="minorHAnsi" w:cstheme="minorHAnsi"/>
          <w:sz w:val="22"/>
          <w:szCs w:val="22"/>
        </w:rPr>
        <w:t xml:space="preserve"> </w:t>
      </w:r>
      <w:r w:rsidR="00543D73">
        <w:rPr>
          <w:rFonts w:asciiTheme="minorHAnsi" w:hAnsiTheme="minorHAnsi" w:cstheme="minorHAnsi"/>
          <w:sz w:val="22"/>
          <w:szCs w:val="22"/>
        </w:rPr>
        <w:t xml:space="preserve">Vital signs </w:t>
      </w:r>
      <w:r w:rsidR="006830D3">
        <w:rPr>
          <w:rFonts w:asciiTheme="minorHAnsi" w:hAnsiTheme="minorHAnsi" w:cstheme="minorHAnsi"/>
          <w:sz w:val="22"/>
          <w:szCs w:val="22"/>
        </w:rPr>
        <w:t xml:space="preserve">will </w:t>
      </w:r>
      <w:r w:rsidR="00543D73">
        <w:rPr>
          <w:rFonts w:asciiTheme="minorHAnsi" w:hAnsiTheme="minorHAnsi" w:cstheme="minorHAnsi"/>
          <w:sz w:val="22"/>
          <w:szCs w:val="22"/>
        </w:rPr>
        <w:t xml:space="preserve">be recorded. </w:t>
      </w:r>
      <w:r>
        <w:rPr>
          <w:rFonts w:asciiTheme="minorHAnsi" w:hAnsiTheme="minorHAnsi" w:cstheme="minorHAnsi"/>
          <w:sz w:val="22"/>
          <w:szCs w:val="22"/>
        </w:rPr>
        <w:t xml:space="preserve">Those who have potentially significant lesions with increased uptake on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Pr>
          <w:rFonts w:asciiTheme="minorHAnsi" w:hAnsiTheme="minorHAnsi" w:cstheme="minorHAnsi"/>
          <w:sz w:val="22"/>
          <w:szCs w:val="22"/>
        </w:rPr>
        <w:t>PET</w:t>
      </w:r>
      <w:r w:rsidR="00DA7693">
        <w:rPr>
          <w:rFonts w:asciiTheme="minorHAnsi" w:hAnsiTheme="minorHAnsi" w:cstheme="minorHAnsi"/>
          <w:sz w:val="22"/>
          <w:szCs w:val="22"/>
        </w:rPr>
        <w:t>/CT</w:t>
      </w:r>
      <w:r>
        <w:rPr>
          <w:rFonts w:asciiTheme="minorHAnsi" w:hAnsiTheme="minorHAnsi" w:cstheme="minorHAnsi"/>
          <w:sz w:val="22"/>
          <w:szCs w:val="22"/>
        </w:rPr>
        <w:t xml:space="preserve"> but not on FDG PET</w:t>
      </w:r>
      <w:r w:rsidR="00DA7693">
        <w:rPr>
          <w:rFonts w:asciiTheme="minorHAnsi" w:hAnsiTheme="minorHAnsi" w:cstheme="minorHAnsi"/>
          <w:sz w:val="22"/>
          <w:szCs w:val="22"/>
        </w:rPr>
        <w:t>/CT</w:t>
      </w:r>
      <w:r>
        <w:rPr>
          <w:rFonts w:asciiTheme="minorHAnsi" w:hAnsiTheme="minorHAnsi" w:cstheme="minorHAnsi"/>
          <w:sz w:val="22"/>
          <w:szCs w:val="22"/>
        </w:rPr>
        <w:t xml:space="preserve"> would have their imaging discussed at the next available Uro-Oncology MDT to determine if further investigation or a deviation in management plan is required. </w:t>
      </w:r>
      <w:r w:rsidR="0081134C">
        <w:rPr>
          <w:rFonts w:asciiTheme="minorHAnsi" w:hAnsiTheme="minorHAnsi" w:cstheme="minorHAnsi"/>
          <w:sz w:val="22"/>
          <w:szCs w:val="22"/>
        </w:rPr>
        <w:t xml:space="preserve">Adverse event recording </w:t>
      </w:r>
      <w:r w:rsidR="0081134C" w:rsidRPr="00632FB8">
        <w:rPr>
          <w:rFonts w:asciiTheme="minorHAnsi" w:eastAsiaTheme="minorEastAsia" w:hAnsiTheme="minorHAnsi" w:cstheme="minorHAnsi"/>
          <w:sz w:val="22"/>
          <w:szCs w:val="22"/>
        </w:rPr>
        <w:t>(</w:t>
      </w:r>
      <w:r w:rsidR="0081134C" w:rsidRPr="00632FB8">
        <w:rPr>
          <w:rFonts w:asciiTheme="minorHAnsi" w:hAnsiTheme="minorHAnsi" w:cstheme="minorHAnsi"/>
          <w:sz w:val="22"/>
          <w:szCs w:val="22"/>
        </w:rPr>
        <w:t>NCI-CTC v 5.0)</w:t>
      </w:r>
      <w:r w:rsidR="0081134C">
        <w:rPr>
          <w:rFonts w:asciiTheme="minorHAnsi" w:hAnsiTheme="minorHAnsi" w:cstheme="minorHAnsi"/>
          <w:sz w:val="22"/>
          <w:szCs w:val="22"/>
        </w:rPr>
        <w:t xml:space="preserve"> will be performed. </w:t>
      </w:r>
    </w:p>
    <w:p w14:paraId="7F9E033F" w14:textId="493FB493" w:rsidR="00DE0565" w:rsidRPr="00DE0565" w:rsidRDefault="00DE0565" w:rsidP="00632FB8">
      <w:pPr>
        <w:pStyle w:val="Default"/>
        <w:spacing w:after="198"/>
        <w:ind w:left="397"/>
        <w:rPr>
          <w:rFonts w:asciiTheme="minorHAnsi" w:hAnsiTheme="minorHAnsi" w:cstheme="minorHAnsi"/>
          <w:b/>
          <w:bCs/>
          <w:sz w:val="22"/>
          <w:szCs w:val="22"/>
        </w:rPr>
      </w:pPr>
      <w:r w:rsidRPr="00632FB8">
        <w:rPr>
          <w:rFonts w:asciiTheme="minorHAnsi" w:hAnsiTheme="minorHAnsi" w:cstheme="minorHAnsi"/>
          <w:b/>
          <w:bCs/>
          <w:sz w:val="22"/>
          <w:szCs w:val="22"/>
        </w:rPr>
        <w:t>7.5 Surgery</w:t>
      </w:r>
    </w:p>
    <w:p w14:paraId="030D3A6B" w14:textId="730E17E6" w:rsidR="00DE0565" w:rsidRDefault="00DE0565" w:rsidP="00660135">
      <w:pPr>
        <w:pStyle w:val="Default"/>
        <w:spacing w:after="198"/>
        <w:jc w:val="both"/>
        <w:rPr>
          <w:rFonts w:asciiTheme="minorHAnsi" w:hAnsiTheme="minorHAnsi" w:cstheme="minorHAnsi"/>
          <w:sz w:val="22"/>
          <w:szCs w:val="22"/>
        </w:rPr>
      </w:pPr>
      <w:r>
        <w:rPr>
          <w:rFonts w:asciiTheme="minorHAnsi" w:hAnsiTheme="minorHAnsi" w:cstheme="minorHAnsi"/>
          <w:sz w:val="22"/>
          <w:szCs w:val="22"/>
        </w:rPr>
        <w:t xml:space="preserve">Those who are deemed suitable for surgery would undergo their radical cystectomy and pelvic lymph node dissection any time after imaging. </w:t>
      </w:r>
    </w:p>
    <w:p w14:paraId="7FD94943" w14:textId="2D1FB31D" w:rsidR="00DE0565" w:rsidRDefault="00DE0565" w:rsidP="00660135">
      <w:pPr>
        <w:pStyle w:val="Default"/>
        <w:spacing w:after="198"/>
        <w:jc w:val="both"/>
        <w:rPr>
          <w:rFonts w:asciiTheme="minorHAnsi" w:hAnsiTheme="minorHAnsi" w:cstheme="minorHAnsi"/>
          <w:sz w:val="22"/>
          <w:szCs w:val="22"/>
        </w:rPr>
      </w:pPr>
      <w:r>
        <w:rPr>
          <w:rFonts w:asciiTheme="minorHAnsi" w:hAnsiTheme="minorHAnsi" w:cstheme="minorHAnsi"/>
          <w:sz w:val="22"/>
          <w:szCs w:val="22"/>
        </w:rPr>
        <w:t xml:space="preserve">Histopathology specimens will be sent to the study site pathology service to be reported by a specialist Uro-pathologist. </w:t>
      </w:r>
    </w:p>
    <w:p w14:paraId="0C81BF8B" w14:textId="77777777" w:rsidR="009A25D6" w:rsidRDefault="009A25D6" w:rsidP="00632FB8">
      <w:pPr>
        <w:pStyle w:val="Default"/>
        <w:spacing w:after="198"/>
        <w:ind w:left="397"/>
        <w:rPr>
          <w:rFonts w:asciiTheme="minorHAnsi" w:hAnsiTheme="minorHAnsi" w:cstheme="minorHAnsi"/>
          <w:b/>
          <w:bCs/>
          <w:sz w:val="22"/>
          <w:szCs w:val="22"/>
        </w:rPr>
      </w:pPr>
    </w:p>
    <w:p w14:paraId="23D2D8A1" w14:textId="77777777" w:rsidR="009A25D6" w:rsidRDefault="009A25D6" w:rsidP="00632FB8">
      <w:pPr>
        <w:pStyle w:val="Default"/>
        <w:spacing w:after="198"/>
        <w:ind w:left="397"/>
        <w:rPr>
          <w:rFonts w:asciiTheme="minorHAnsi" w:hAnsiTheme="minorHAnsi" w:cstheme="minorHAnsi"/>
          <w:b/>
          <w:bCs/>
          <w:sz w:val="22"/>
          <w:szCs w:val="22"/>
        </w:rPr>
      </w:pPr>
    </w:p>
    <w:p w14:paraId="2BA238FB" w14:textId="226BFCED" w:rsidR="00DE0565" w:rsidRDefault="00DE0565" w:rsidP="00632FB8">
      <w:pPr>
        <w:pStyle w:val="Default"/>
        <w:spacing w:after="198"/>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7.6 </w:t>
      </w:r>
      <w:r w:rsidR="00DA7693">
        <w:rPr>
          <w:rFonts w:asciiTheme="minorHAnsi" w:hAnsiTheme="minorHAnsi" w:cstheme="minorHAnsi"/>
          <w:b/>
          <w:bCs/>
          <w:sz w:val="22"/>
          <w:szCs w:val="22"/>
        </w:rPr>
        <w:t>Follow-up phone consult</w:t>
      </w:r>
      <w:r w:rsidRPr="00632FB8">
        <w:rPr>
          <w:rFonts w:asciiTheme="minorHAnsi" w:hAnsiTheme="minorHAnsi" w:cstheme="minorHAnsi"/>
          <w:b/>
          <w:bCs/>
          <w:sz w:val="22"/>
          <w:szCs w:val="22"/>
        </w:rPr>
        <w:t xml:space="preserve"> (Day </w:t>
      </w:r>
      <w:r w:rsidR="00DA7693">
        <w:rPr>
          <w:rFonts w:asciiTheme="minorHAnsi" w:hAnsiTheme="minorHAnsi" w:cstheme="minorHAnsi"/>
          <w:b/>
          <w:bCs/>
          <w:sz w:val="22"/>
          <w:szCs w:val="22"/>
        </w:rPr>
        <w:t>14 or before commencement of chemotherapy or surgery</w:t>
      </w:r>
      <w:r w:rsidRPr="00632FB8">
        <w:rPr>
          <w:rFonts w:asciiTheme="minorHAnsi" w:hAnsiTheme="minorHAnsi" w:cstheme="minorHAnsi"/>
          <w:b/>
          <w:bCs/>
          <w:sz w:val="22"/>
          <w:szCs w:val="22"/>
        </w:rPr>
        <w:t>)</w:t>
      </w:r>
      <w:r>
        <w:rPr>
          <w:rFonts w:asciiTheme="minorHAnsi" w:hAnsiTheme="minorHAnsi" w:cstheme="minorHAnsi"/>
          <w:b/>
          <w:bCs/>
          <w:sz w:val="22"/>
          <w:szCs w:val="22"/>
        </w:rPr>
        <w:t xml:space="preserve"> / Final visit</w:t>
      </w:r>
    </w:p>
    <w:p w14:paraId="73122624" w14:textId="2D4BB60A" w:rsidR="00DE0565" w:rsidRDefault="00DE0565" w:rsidP="00632FB8">
      <w:pPr>
        <w:pStyle w:val="Default"/>
        <w:spacing w:after="198"/>
        <w:rPr>
          <w:rFonts w:asciiTheme="minorHAnsi" w:hAnsiTheme="minorHAnsi" w:cstheme="minorHAnsi"/>
          <w:sz w:val="22"/>
          <w:szCs w:val="22"/>
        </w:rPr>
      </w:pPr>
      <w:r>
        <w:rPr>
          <w:rFonts w:asciiTheme="minorHAnsi" w:hAnsiTheme="minorHAnsi" w:cstheme="minorHAnsi"/>
          <w:sz w:val="22"/>
          <w:szCs w:val="22"/>
        </w:rPr>
        <w:t xml:space="preserve">All patients will have a </w:t>
      </w:r>
      <w:r w:rsidR="00DA7693">
        <w:rPr>
          <w:rFonts w:asciiTheme="minorHAnsi" w:hAnsiTheme="minorHAnsi" w:cstheme="minorHAnsi"/>
          <w:sz w:val="22"/>
          <w:szCs w:val="22"/>
        </w:rPr>
        <w:t xml:space="preserve">phone consult on Day 14 </w:t>
      </w:r>
      <w:r>
        <w:rPr>
          <w:rFonts w:asciiTheme="minorHAnsi" w:hAnsiTheme="minorHAnsi" w:cstheme="minorHAnsi"/>
          <w:sz w:val="22"/>
          <w:szCs w:val="22"/>
        </w:rPr>
        <w:t>post administration</w:t>
      </w:r>
      <w:r w:rsidR="00DA7693">
        <w:rPr>
          <w:rFonts w:asciiTheme="minorHAnsi" w:hAnsiTheme="minorHAnsi" w:cstheme="minorHAnsi"/>
          <w:sz w:val="22"/>
          <w:szCs w:val="22"/>
        </w:rPr>
        <w:t xml:space="preserve"> (or before commencement of chemotherapy or surgery)</w:t>
      </w:r>
      <w:r>
        <w:rPr>
          <w:rFonts w:asciiTheme="minorHAnsi" w:hAnsiTheme="minorHAnsi" w:cstheme="minorHAnsi"/>
          <w:sz w:val="22"/>
          <w:szCs w:val="22"/>
        </w:rPr>
        <w:t>, which</w:t>
      </w:r>
      <w:r w:rsidR="00DA7693">
        <w:rPr>
          <w:rFonts w:asciiTheme="minorHAnsi" w:hAnsiTheme="minorHAnsi" w:cstheme="minorHAnsi"/>
          <w:sz w:val="22"/>
          <w:szCs w:val="22"/>
        </w:rPr>
        <w:t xml:space="preserve"> </w:t>
      </w:r>
      <w:r>
        <w:rPr>
          <w:rFonts w:asciiTheme="minorHAnsi" w:hAnsiTheme="minorHAnsi" w:cstheme="minorHAnsi"/>
          <w:sz w:val="22"/>
          <w:szCs w:val="22"/>
        </w:rPr>
        <w:t xml:space="preserve">will include the following: </w:t>
      </w:r>
    </w:p>
    <w:p w14:paraId="479304AB" w14:textId="7193E356" w:rsidR="00DA7693" w:rsidRPr="00632FB8" w:rsidRDefault="00DA7693">
      <w:pPr>
        <w:pStyle w:val="ListParagraph"/>
        <w:numPr>
          <w:ilvl w:val="0"/>
          <w:numId w:val="57"/>
        </w:numPr>
        <w:tabs>
          <w:tab w:val="left" w:pos="1185"/>
        </w:tabs>
        <w:spacing w:after="0" w:line="240" w:lineRule="auto"/>
        <w:ind w:left="1077" w:firstLine="0"/>
        <w:contextualSpacing w:val="0"/>
        <w:jc w:val="both"/>
      </w:pPr>
      <w:r>
        <w:rPr>
          <w:rFonts w:cstheme="minorHAnsi"/>
        </w:rPr>
        <w:tab/>
        <w:t>Current symptoms enquiry</w:t>
      </w:r>
    </w:p>
    <w:p w14:paraId="28AEFC53" w14:textId="6E26F3E1" w:rsidR="00DE0565" w:rsidRPr="00632FB8" w:rsidRDefault="00DA7693" w:rsidP="00632FB8">
      <w:pPr>
        <w:pStyle w:val="ListParagraph"/>
        <w:numPr>
          <w:ilvl w:val="0"/>
          <w:numId w:val="57"/>
        </w:numPr>
        <w:tabs>
          <w:tab w:val="left" w:pos="1185"/>
        </w:tabs>
        <w:spacing w:after="0" w:line="240" w:lineRule="auto"/>
        <w:ind w:left="1077" w:firstLine="0"/>
        <w:contextualSpacing w:val="0"/>
        <w:jc w:val="both"/>
      </w:pPr>
      <w:r>
        <w:rPr>
          <w:rFonts w:cstheme="minorHAnsi"/>
        </w:rPr>
        <w:tab/>
      </w:r>
      <w:r w:rsidR="00DE0565">
        <w:rPr>
          <w:rFonts w:cstheme="minorHAnsi"/>
        </w:rPr>
        <w:t>C</w:t>
      </w:r>
      <w:r w:rsidR="00DE0565" w:rsidRPr="000F1283">
        <w:rPr>
          <w:rFonts w:cstheme="minorHAnsi"/>
        </w:rPr>
        <w:t>oncomitant medications</w:t>
      </w:r>
    </w:p>
    <w:p w14:paraId="29D465E1" w14:textId="4BDD625C" w:rsidR="00DE0565" w:rsidRDefault="00DA7693" w:rsidP="00632FB8">
      <w:pPr>
        <w:pStyle w:val="ListParagraph"/>
        <w:numPr>
          <w:ilvl w:val="0"/>
          <w:numId w:val="57"/>
        </w:numPr>
        <w:tabs>
          <w:tab w:val="left" w:pos="1185"/>
        </w:tabs>
        <w:spacing w:after="0" w:line="240" w:lineRule="auto"/>
        <w:ind w:left="1077" w:firstLine="0"/>
        <w:contextualSpacing w:val="0"/>
        <w:jc w:val="both"/>
      </w:pPr>
      <w:r>
        <w:rPr>
          <w:rFonts w:eastAsiaTheme="minorEastAsia"/>
        </w:rPr>
        <w:tab/>
      </w:r>
      <w:r w:rsidR="00DE0565">
        <w:rPr>
          <w:rFonts w:eastAsiaTheme="minorEastAsia"/>
        </w:rPr>
        <w:t>Adverse event recording (</w:t>
      </w:r>
      <w:r w:rsidR="00DE0565">
        <w:t>NCI-CTC v 5.0)</w:t>
      </w:r>
    </w:p>
    <w:p w14:paraId="4709C9FA" w14:textId="77777777" w:rsidR="005E0DC5" w:rsidRDefault="005E0DC5" w:rsidP="00632FB8">
      <w:pPr>
        <w:pStyle w:val="ListParagraph"/>
        <w:tabs>
          <w:tab w:val="left" w:pos="1185"/>
        </w:tabs>
        <w:spacing w:after="0" w:line="240" w:lineRule="auto"/>
        <w:ind w:left="1077"/>
        <w:contextualSpacing w:val="0"/>
        <w:jc w:val="both"/>
      </w:pPr>
    </w:p>
    <w:p w14:paraId="1451A19D" w14:textId="37AB907A" w:rsidR="00DE0565" w:rsidRDefault="00DE0565" w:rsidP="00632FB8">
      <w:pPr>
        <w:tabs>
          <w:tab w:val="left" w:pos="1185"/>
        </w:tabs>
        <w:spacing w:line="240" w:lineRule="auto"/>
        <w:ind w:left="397"/>
        <w:jc w:val="both"/>
        <w:rPr>
          <w:b/>
          <w:bCs/>
        </w:rPr>
      </w:pPr>
      <w:r w:rsidRPr="00632FB8">
        <w:rPr>
          <w:b/>
          <w:bCs/>
        </w:rPr>
        <w:t>8. Procedures and Variables</w:t>
      </w:r>
    </w:p>
    <w:p w14:paraId="4BD27468" w14:textId="3E8388F1" w:rsidR="00DE0565" w:rsidRDefault="00DE0565" w:rsidP="00632FB8">
      <w:pPr>
        <w:tabs>
          <w:tab w:val="left" w:pos="1185"/>
        </w:tabs>
        <w:spacing w:line="240" w:lineRule="auto"/>
        <w:jc w:val="both"/>
      </w:pPr>
      <w:r>
        <w:t xml:space="preserve">Patients will provide written informed consent before any study-related procedures can be performed. </w:t>
      </w:r>
    </w:p>
    <w:p w14:paraId="57295307" w14:textId="615B8058" w:rsidR="00DE0565" w:rsidRDefault="00DE0565" w:rsidP="00632FB8">
      <w:pPr>
        <w:tabs>
          <w:tab w:val="left" w:pos="1185"/>
        </w:tabs>
        <w:spacing w:line="240" w:lineRule="auto"/>
        <w:jc w:val="both"/>
      </w:pPr>
      <w:r>
        <w:t xml:space="preserve">Patient-related events and activities including specific instructions, procedures, concomitant medications, dispensing of study drug, and descriptions of adverse events are to be recorded in the appropriate source documents and CRFs. </w:t>
      </w:r>
    </w:p>
    <w:p w14:paraId="458192CD" w14:textId="0375B70F" w:rsidR="00DE0565" w:rsidRDefault="00DE0565" w:rsidP="00632FB8">
      <w:pPr>
        <w:tabs>
          <w:tab w:val="left" w:pos="1185"/>
        </w:tabs>
        <w:spacing w:line="240" w:lineRule="auto"/>
        <w:jc w:val="both"/>
      </w:pPr>
      <w:r>
        <w:t xml:space="preserve">An additional visit can be scheduled at any time if the investigator considers it necessary. </w:t>
      </w:r>
    </w:p>
    <w:p w14:paraId="55FC6083" w14:textId="0E9B996E" w:rsidR="00DE0565" w:rsidRPr="00632FB8" w:rsidRDefault="00DE0565" w:rsidP="00632FB8">
      <w:pPr>
        <w:tabs>
          <w:tab w:val="left" w:pos="1185"/>
        </w:tabs>
        <w:spacing w:line="240" w:lineRule="auto"/>
        <w:ind w:left="397"/>
        <w:jc w:val="both"/>
        <w:rPr>
          <w:b/>
          <w:bCs/>
        </w:rPr>
      </w:pPr>
      <w:r w:rsidRPr="00632FB8">
        <w:rPr>
          <w:b/>
          <w:bCs/>
        </w:rPr>
        <w:t>8.1 Baseline Characteristics</w:t>
      </w:r>
    </w:p>
    <w:p w14:paraId="1619971A" w14:textId="57489ABB" w:rsidR="00DE0565" w:rsidRDefault="00DE0565" w:rsidP="00632FB8">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8.1.1 Demographic Characteristics </w:t>
      </w:r>
    </w:p>
    <w:p w14:paraId="1764CACF" w14:textId="77777777" w:rsidR="00DE0565" w:rsidRPr="00632FB8" w:rsidRDefault="00DE0565" w:rsidP="00632FB8">
      <w:pPr>
        <w:pStyle w:val="Default"/>
        <w:ind w:left="397"/>
        <w:rPr>
          <w:rFonts w:asciiTheme="minorHAnsi" w:hAnsiTheme="minorHAnsi" w:cstheme="minorHAnsi"/>
          <w:sz w:val="22"/>
          <w:szCs w:val="22"/>
        </w:rPr>
      </w:pPr>
    </w:p>
    <w:p w14:paraId="6EC67CFC" w14:textId="5DC0596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following demographic characteristics will be recorded: </w:t>
      </w:r>
    </w:p>
    <w:p w14:paraId="3731F405" w14:textId="77777777" w:rsidR="00DE0565" w:rsidRPr="00632FB8" w:rsidRDefault="00DE0565" w:rsidP="00632FB8">
      <w:pPr>
        <w:pStyle w:val="Default"/>
        <w:ind w:left="397"/>
        <w:rPr>
          <w:rFonts w:asciiTheme="minorHAnsi" w:hAnsiTheme="minorHAnsi" w:cstheme="minorHAnsi"/>
          <w:sz w:val="22"/>
          <w:szCs w:val="22"/>
        </w:rPr>
      </w:pPr>
    </w:p>
    <w:p w14:paraId="4FB5C6C2" w14:textId="26754D0D"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date of birth or age, depending on local EC requirements </w:t>
      </w:r>
    </w:p>
    <w:p w14:paraId="0B96DA05" w14:textId="7D19B1A1"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weight, height, ethnic origin </w:t>
      </w:r>
    </w:p>
    <w:p w14:paraId="3536A79E" w14:textId="77777777" w:rsidR="00DE0565" w:rsidRPr="00632FB8" w:rsidRDefault="00DE0565" w:rsidP="00632FB8">
      <w:pPr>
        <w:pStyle w:val="Default"/>
        <w:ind w:left="397"/>
        <w:rPr>
          <w:rFonts w:asciiTheme="minorHAnsi" w:hAnsiTheme="minorHAnsi" w:cstheme="minorHAnsi"/>
          <w:sz w:val="22"/>
          <w:szCs w:val="22"/>
        </w:rPr>
      </w:pPr>
    </w:p>
    <w:p w14:paraId="0CC91BEA" w14:textId="6ABB24AC" w:rsidR="00DE0565" w:rsidRDefault="00DE0565" w:rsidP="00632FB8">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8.1.2 Medical and Surgical History, Baseline Findings </w:t>
      </w:r>
    </w:p>
    <w:p w14:paraId="287ABDC4" w14:textId="77777777" w:rsidR="00DE0565" w:rsidRPr="00632FB8" w:rsidRDefault="00DE0565" w:rsidP="00632FB8">
      <w:pPr>
        <w:pStyle w:val="Default"/>
        <w:ind w:left="397"/>
        <w:rPr>
          <w:rFonts w:asciiTheme="minorHAnsi" w:hAnsiTheme="minorHAnsi" w:cstheme="minorHAnsi"/>
          <w:sz w:val="22"/>
          <w:szCs w:val="22"/>
        </w:rPr>
      </w:pPr>
    </w:p>
    <w:p w14:paraId="1A408660" w14:textId="65894372"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Medical/</w:t>
      </w:r>
      <w:r w:rsidR="009A25D6">
        <w:rPr>
          <w:rFonts w:asciiTheme="minorHAnsi" w:hAnsiTheme="minorHAnsi" w:cstheme="minorHAnsi"/>
          <w:sz w:val="22"/>
          <w:szCs w:val="22"/>
        </w:rPr>
        <w:t>oncological/</w:t>
      </w:r>
      <w:r w:rsidRPr="00632FB8">
        <w:rPr>
          <w:rFonts w:asciiTheme="minorHAnsi" w:hAnsiTheme="minorHAnsi" w:cstheme="minorHAnsi"/>
          <w:sz w:val="22"/>
          <w:szCs w:val="22"/>
        </w:rPr>
        <w:t xml:space="preserve">surgical history and medical conditions present before the administration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will be recorded at the screening visit. </w:t>
      </w:r>
    </w:p>
    <w:p w14:paraId="0A0BD77A" w14:textId="77777777" w:rsidR="00DE0565" w:rsidRPr="00632FB8" w:rsidRDefault="00DE0565" w:rsidP="00632FB8">
      <w:pPr>
        <w:pStyle w:val="Default"/>
        <w:ind w:left="397"/>
        <w:jc w:val="both"/>
        <w:rPr>
          <w:rFonts w:asciiTheme="minorHAnsi" w:hAnsiTheme="minorHAnsi" w:cstheme="minorHAnsi"/>
          <w:sz w:val="22"/>
          <w:szCs w:val="22"/>
        </w:rPr>
      </w:pPr>
    </w:p>
    <w:p w14:paraId="386FC45A" w14:textId="62F7015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Detailed instructions on the differentiation between (i) medical/</w:t>
      </w:r>
      <w:r w:rsidR="009A25D6">
        <w:rPr>
          <w:rFonts w:asciiTheme="minorHAnsi" w:hAnsiTheme="minorHAnsi" w:cstheme="minorHAnsi"/>
          <w:sz w:val="22"/>
          <w:szCs w:val="22"/>
        </w:rPr>
        <w:t>oncological/</w:t>
      </w:r>
      <w:r w:rsidRPr="00632FB8">
        <w:rPr>
          <w:rFonts w:asciiTheme="minorHAnsi" w:hAnsiTheme="minorHAnsi" w:cstheme="minorHAnsi"/>
          <w:sz w:val="22"/>
          <w:szCs w:val="22"/>
        </w:rPr>
        <w:t xml:space="preserve">surgical history and (ii) baseline findings can be found in Section 8.8.1.1. </w:t>
      </w:r>
    </w:p>
    <w:p w14:paraId="177EEFC0" w14:textId="77777777" w:rsidR="00DE0565" w:rsidRPr="00632FB8" w:rsidRDefault="00DE0565" w:rsidP="00632FB8">
      <w:pPr>
        <w:pStyle w:val="Default"/>
        <w:ind w:left="397"/>
        <w:jc w:val="both"/>
        <w:rPr>
          <w:rFonts w:asciiTheme="minorHAnsi" w:hAnsiTheme="minorHAnsi" w:cstheme="minorHAnsi"/>
          <w:sz w:val="22"/>
          <w:szCs w:val="22"/>
        </w:rPr>
      </w:pPr>
    </w:p>
    <w:p w14:paraId="32CC825E" w14:textId="7BC062DA" w:rsidR="00DE0565" w:rsidRDefault="00DE0565" w:rsidP="00632FB8">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8.1.3 Prior and Concomitant Medication </w:t>
      </w:r>
    </w:p>
    <w:p w14:paraId="1E9D37B0" w14:textId="77777777" w:rsidR="00DE0565" w:rsidRPr="00632FB8" w:rsidRDefault="00DE0565" w:rsidP="00632FB8">
      <w:pPr>
        <w:pStyle w:val="Default"/>
        <w:ind w:left="397"/>
        <w:rPr>
          <w:rFonts w:asciiTheme="minorHAnsi" w:hAnsiTheme="minorHAnsi" w:cstheme="minorHAnsi"/>
          <w:sz w:val="22"/>
          <w:szCs w:val="22"/>
        </w:rPr>
      </w:pPr>
    </w:p>
    <w:p w14:paraId="0CB6790F" w14:textId="0E57AAC8"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Prior and concomitant medication will be recorded on the CRF from screening. </w:t>
      </w:r>
    </w:p>
    <w:p w14:paraId="3E45DE53" w14:textId="77777777" w:rsidR="00A338D6" w:rsidRDefault="00A338D6" w:rsidP="00632FB8">
      <w:pPr>
        <w:pStyle w:val="Default"/>
        <w:ind w:left="397"/>
        <w:rPr>
          <w:rFonts w:asciiTheme="minorHAnsi" w:hAnsiTheme="minorHAnsi" w:cstheme="minorHAnsi"/>
          <w:sz w:val="22"/>
          <w:szCs w:val="22"/>
        </w:rPr>
      </w:pPr>
    </w:p>
    <w:p w14:paraId="611E375A" w14:textId="543F62F7"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The following concomitant medication should not be recorded on the CRF:</w:t>
      </w:r>
    </w:p>
    <w:p w14:paraId="444845FD" w14:textId="77777777" w:rsidR="005E0DC5" w:rsidRDefault="005E0DC5" w:rsidP="00632FB8">
      <w:pPr>
        <w:pStyle w:val="Default"/>
        <w:rPr>
          <w:rFonts w:asciiTheme="minorHAnsi" w:hAnsiTheme="minorHAnsi" w:cstheme="minorHAnsi"/>
          <w:sz w:val="22"/>
          <w:szCs w:val="22"/>
        </w:rPr>
      </w:pPr>
    </w:p>
    <w:p w14:paraId="78610158" w14:textId="1819370C"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Anaesthetics, analgesics, sedatives and laxatives given in routinely used regimen and dosage in connection with </w:t>
      </w:r>
      <w:r w:rsidR="00A338D6">
        <w:rPr>
          <w:rFonts w:asciiTheme="minorHAnsi" w:hAnsiTheme="minorHAnsi" w:cstheme="minorHAnsi"/>
          <w:sz w:val="22"/>
          <w:szCs w:val="22"/>
        </w:rPr>
        <w:t>surgery</w:t>
      </w:r>
      <w:r w:rsidRPr="00632FB8">
        <w:rPr>
          <w:rFonts w:asciiTheme="minorHAnsi" w:hAnsiTheme="minorHAnsi" w:cstheme="minorHAnsi"/>
          <w:sz w:val="22"/>
          <w:szCs w:val="22"/>
        </w:rPr>
        <w:t xml:space="preserve"> </w:t>
      </w:r>
    </w:p>
    <w:p w14:paraId="5152A56D" w14:textId="77777777" w:rsidR="00A338D6" w:rsidRPr="00632FB8" w:rsidRDefault="00A338D6" w:rsidP="00632FB8">
      <w:pPr>
        <w:pStyle w:val="Default"/>
        <w:ind w:left="397"/>
        <w:jc w:val="both"/>
        <w:rPr>
          <w:rFonts w:asciiTheme="minorHAnsi" w:hAnsiTheme="minorHAnsi" w:cstheme="minorHAnsi"/>
          <w:sz w:val="22"/>
          <w:szCs w:val="22"/>
        </w:rPr>
      </w:pPr>
    </w:p>
    <w:p w14:paraId="3C7D7FAF" w14:textId="1A618BB3"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8.1.4 Pre-baseline Morphological Imaging </w:t>
      </w:r>
    </w:p>
    <w:p w14:paraId="2B3903D2" w14:textId="77777777" w:rsidR="00A338D6" w:rsidRPr="00632FB8" w:rsidRDefault="00A338D6" w:rsidP="00632FB8">
      <w:pPr>
        <w:pStyle w:val="Default"/>
        <w:ind w:left="397"/>
        <w:rPr>
          <w:rFonts w:asciiTheme="minorHAnsi" w:hAnsiTheme="minorHAnsi" w:cstheme="minorHAnsi"/>
          <w:sz w:val="22"/>
          <w:szCs w:val="22"/>
        </w:rPr>
      </w:pPr>
    </w:p>
    <w:p w14:paraId="4FE5C2F3" w14:textId="124028E8"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8.1.5 Tumour Histology </w:t>
      </w:r>
    </w:p>
    <w:p w14:paraId="426E018E" w14:textId="77777777" w:rsidR="00A338D6" w:rsidRPr="00632FB8" w:rsidRDefault="00A338D6" w:rsidP="00632FB8">
      <w:pPr>
        <w:pStyle w:val="Default"/>
        <w:ind w:left="397"/>
        <w:rPr>
          <w:rFonts w:asciiTheme="minorHAnsi" w:hAnsiTheme="minorHAnsi" w:cstheme="minorHAnsi"/>
          <w:sz w:val="22"/>
          <w:szCs w:val="22"/>
        </w:rPr>
      </w:pPr>
    </w:p>
    <w:p w14:paraId="3C74B8A6" w14:textId="6909BD17" w:rsidR="00DE0565" w:rsidRDefault="009A25D6" w:rsidP="00632FB8">
      <w:pPr>
        <w:pStyle w:val="Default"/>
        <w:rPr>
          <w:rFonts w:asciiTheme="minorHAnsi" w:hAnsiTheme="minorHAnsi" w:cstheme="minorHAnsi"/>
          <w:sz w:val="22"/>
          <w:szCs w:val="22"/>
        </w:rPr>
      </w:pPr>
      <w:r>
        <w:rPr>
          <w:rFonts w:asciiTheme="minorHAnsi" w:hAnsiTheme="minorHAnsi" w:cstheme="minorHAnsi"/>
          <w:sz w:val="22"/>
          <w:szCs w:val="22"/>
        </w:rPr>
        <w:t>A detailed t</w:t>
      </w:r>
      <w:r w:rsidR="00A338D6">
        <w:rPr>
          <w:rFonts w:asciiTheme="minorHAnsi" w:hAnsiTheme="minorHAnsi" w:cstheme="minorHAnsi"/>
          <w:sz w:val="22"/>
          <w:szCs w:val="22"/>
        </w:rPr>
        <w:t xml:space="preserve">umour histology at the time of diagnosis </w:t>
      </w:r>
      <w:r>
        <w:rPr>
          <w:rFonts w:asciiTheme="minorHAnsi" w:hAnsiTheme="minorHAnsi" w:cstheme="minorHAnsi"/>
          <w:sz w:val="22"/>
          <w:szCs w:val="22"/>
        </w:rPr>
        <w:t xml:space="preserve">will </w:t>
      </w:r>
      <w:r w:rsidR="00A338D6">
        <w:rPr>
          <w:rFonts w:asciiTheme="minorHAnsi" w:hAnsiTheme="minorHAnsi" w:cstheme="minorHAnsi"/>
          <w:sz w:val="22"/>
          <w:szCs w:val="22"/>
        </w:rPr>
        <w:t>be recorded on the CRF.</w:t>
      </w:r>
    </w:p>
    <w:p w14:paraId="265C8392" w14:textId="77777777" w:rsidR="00A338D6" w:rsidRPr="00632FB8" w:rsidRDefault="00A338D6" w:rsidP="00632FB8">
      <w:pPr>
        <w:pStyle w:val="Default"/>
        <w:ind w:left="397"/>
        <w:rPr>
          <w:rFonts w:asciiTheme="minorHAnsi" w:hAnsiTheme="minorHAnsi" w:cstheme="minorHAnsi"/>
          <w:sz w:val="22"/>
          <w:szCs w:val="22"/>
        </w:rPr>
      </w:pPr>
    </w:p>
    <w:p w14:paraId="6F7C111C" w14:textId="77777777" w:rsidR="009A25D6" w:rsidRDefault="009A25D6" w:rsidP="00DE0565">
      <w:pPr>
        <w:pStyle w:val="Default"/>
        <w:ind w:left="397"/>
        <w:rPr>
          <w:rFonts w:asciiTheme="minorHAnsi" w:hAnsiTheme="minorHAnsi" w:cstheme="minorHAnsi"/>
          <w:b/>
          <w:bCs/>
          <w:sz w:val="22"/>
          <w:szCs w:val="22"/>
        </w:rPr>
      </w:pPr>
    </w:p>
    <w:p w14:paraId="64DC8002" w14:textId="4D5FCE59"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8.1.6 Pregnancy Tests and Assessment of Postmenopausal Status </w:t>
      </w:r>
    </w:p>
    <w:p w14:paraId="2ECB1E2F" w14:textId="77777777" w:rsidR="00A338D6" w:rsidRPr="00632FB8" w:rsidRDefault="00A338D6" w:rsidP="00632FB8">
      <w:pPr>
        <w:pStyle w:val="Default"/>
        <w:ind w:left="397"/>
        <w:rPr>
          <w:rFonts w:asciiTheme="minorHAnsi" w:hAnsiTheme="minorHAnsi" w:cstheme="minorHAnsi"/>
          <w:sz w:val="22"/>
          <w:szCs w:val="22"/>
        </w:rPr>
      </w:pPr>
    </w:p>
    <w:p w14:paraId="7A27C668" w14:textId="2456B683"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Part of the blood samples taken for the clinical laboratory tests at screening will be used to perform a serum </w:t>
      </w:r>
      <w:r w:rsidR="00A338D6">
        <w:rPr>
          <w:rFonts w:asciiTheme="minorHAnsi" w:hAnsiTheme="minorHAnsi" w:cstheme="minorHAnsi"/>
          <w:sz w:val="22"/>
          <w:szCs w:val="22"/>
        </w:rPr>
        <w:sym w:font="Symbol" w:char="F062"/>
      </w:r>
      <w:r w:rsidRPr="00632FB8">
        <w:rPr>
          <w:rFonts w:asciiTheme="minorHAnsi" w:hAnsiTheme="minorHAnsi" w:cstheme="minorHAnsi"/>
          <w:sz w:val="22"/>
          <w:szCs w:val="22"/>
        </w:rPr>
        <w:t xml:space="preserve">-HCG pregnancy test in women of childbearing potential. On Day 0, a urine pregnancy test will be performed within 24 hours before administration of study drug to confirm the negative pregnancy result from screening. </w:t>
      </w:r>
    </w:p>
    <w:p w14:paraId="2DA495C2" w14:textId="77777777" w:rsidR="00A338D6" w:rsidRPr="00632FB8" w:rsidRDefault="00A338D6" w:rsidP="00632FB8">
      <w:pPr>
        <w:pStyle w:val="Default"/>
        <w:ind w:left="397"/>
        <w:jc w:val="both"/>
        <w:rPr>
          <w:rFonts w:asciiTheme="minorHAnsi" w:hAnsiTheme="minorHAnsi" w:cstheme="minorHAnsi"/>
          <w:sz w:val="22"/>
          <w:szCs w:val="22"/>
        </w:rPr>
      </w:pPr>
    </w:p>
    <w:p w14:paraId="3A1BACC2" w14:textId="70A397CA" w:rsidR="00DE0565" w:rsidRPr="00305BC5" w:rsidRDefault="00DE0565" w:rsidP="00632FB8">
      <w:pPr>
        <w:tabs>
          <w:tab w:val="left" w:pos="1185"/>
        </w:tabs>
        <w:spacing w:line="240" w:lineRule="auto"/>
        <w:jc w:val="both"/>
        <w:rPr>
          <w:rFonts w:cstheme="minorHAnsi"/>
        </w:rPr>
      </w:pPr>
      <w:r w:rsidRPr="00305BC5">
        <w:rPr>
          <w:rFonts w:cstheme="minorHAnsi"/>
        </w:rPr>
        <w:t>In postmenopausal women &lt; 55 years a permanent postmenopausal status must be proven through history of hysterectomy or hormone analysis in serum, with estradiol &lt; 20 pg/mL and follicle stimulating hormone FSH &lt; 40 IU/L, or last spontaneous bleeding at least 2 years before start of the study.</w:t>
      </w:r>
    </w:p>
    <w:p w14:paraId="0F4B0939" w14:textId="4E50D0D0"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8.2 Imaging during the Study </w:t>
      </w:r>
    </w:p>
    <w:p w14:paraId="0D679A6D" w14:textId="77777777" w:rsidR="00A338D6" w:rsidRPr="00632FB8" w:rsidRDefault="00A338D6" w:rsidP="00632FB8">
      <w:pPr>
        <w:pStyle w:val="Default"/>
        <w:ind w:left="397"/>
        <w:rPr>
          <w:rFonts w:asciiTheme="minorHAnsi" w:hAnsiTheme="minorHAnsi" w:cstheme="minorHAnsi"/>
          <w:sz w:val="22"/>
          <w:szCs w:val="22"/>
        </w:rPr>
      </w:pPr>
    </w:p>
    <w:p w14:paraId="4CAD97B6" w14:textId="64997B70"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parameters used to acquire each image in this study are outlined in the </w:t>
      </w:r>
      <w:r w:rsidRPr="0081134C">
        <w:rPr>
          <w:rFonts w:asciiTheme="minorHAnsi" w:hAnsiTheme="minorHAnsi" w:cstheme="minorHAnsi"/>
          <w:sz w:val="22"/>
          <w:szCs w:val="22"/>
        </w:rPr>
        <w:t>Subject Imaging Manual.</w:t>
      </w:r>
      <w:r w:rsidRPr="00632FB8">
        <w:rPr>
          <w:rFonts w:asciiTheme="minorHAnsi" w:hAnsiTheme="minorHAnsi" w:cstheme="minorHAnsi"/>
          <w:sz w:val="22"/>
          <w:szCs w:val="22"/>
        </w:rPr>
        <w:t xml:space="preserve"> </w:t>
      </w:r>
    </w:p>
    <w:p w14:paraId="6F215844" w14:textId="6D442E13" w:rsidR="00A338D6" w:rsidRDefault="00A338D6" w:rsidP="00DE0565">
      <w:pPr>
        <w:pStyle w:val="Default"/>
        <w:ind w:left="397"/>
        <w:rPr>
          <w:rFonts w:asciiTheme="minorHAnsi" w:hAnsiTheme="minorHAnsi" w:cstheme="minorHAnsi"/>
          <w:sz w:val="22"/>
          <w:szCs w:val="22"/>
        </w:rPr>
      </w:pPr>
    </w:p>
    <w:p w14:paraId="6BA87507" w14:textId="66F1FD6D" w:rsidR="00A338D6" w:rsidRDefault="00A338D6"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8.2.1 FDG PET</w:t>
      </w:r>
      <w:r>
        <w:rPr>
          <w:rFonts w:asciiTheme="minorHAnsi" w:hAnsiTheme="minorHAnsi" w:cstheme="minorHAnsi"/>
          <w:b/>
          <w:bCs/>
          <w:sz w:val="22"/>
          <w:szCs w:val="22"/>
        </w:rPr>
        <w:t>/CT Imaging</w:t>
      </w:r>
    </w:p>
    <w:p w14:paraId="69868DE2" w14:textId="14D9C014" w:rsidR="00A338D6" w:rsidRDefault="00A338D6" w:rsidP="00DE0565">
      <w:pPr>
        <w:pStyle w:val="Default"/>
        <w:ind w:left="397"/>
        <w:rPr>
          <w:rFonts w:asciiTheme="minorHAnsi" w:hAnsiTheme="minorHAnsi" w:cstheme="minorHAnsi"/>
          <w:b/>
          <w:bCs/>
          <w:sz w:val="22"/>
          <w:szCs w:val="22"/>
        </w:rPr>
      </w:pPr>
    </w:p>
    <w:p w14:paraId="00AA6974" w14:textId="1EABD1B9" w:rsidR="00A338D6" w:rsidRPr="00A338D6" w:rsidRDefault="00A338D6" w:rsidP="00632FB8">
      <w:pPr>
        <w:pStyle w:val="Default"/>
        <w:jc w:val="both"/>
        <w:rPr>
          <w:rFonts w:asciiTheme="minorHAnsi" w:hAnsiTheme="minorHAnsi" w:cstheme="minorHAnsi"/>
          <w:sz w:val="22"/>
          <w:szCs w:val="22"/>
        </w:rPr>
      </w:pPr>
      <w:r>
        <w:rPr>
          <w:rFonts w:asciiTheme="minorHAnsi" w:hAnsiTheme="minorHAnsi" w:cstheme="minorHAnsi"/>
          <w:sz w:val="22"/>
          <w:szCs w:val="22"/>
        </w:rPr>
        <w:t xml:space="preserve">Whole body PET/CT scans will be acquired over </w:t>
      </w:r>
      <w:r w:rsidR="00704BD5">
        <w:rPr>
          <w:rFonts w:asciiTheme="minorHAnsi" w:hAnsiTheme="minorHAnsi" w:cstheme="minorHAnsi"/>
          <w:sz w:val="22"/>
          <w:szCs w:val="22"/>
        </w:rPr>
        <w:t xml:space="preserve">a maximum of </w:t>
      </w:r>
      <w:r w:rsidRPr="0081134C">
        <w:rPr>
          <w:rFonts w:asciiTheme="minorHAnsi" w:hAnsiTheme="minorHAnsi" w:cstheme="minorHAnsi"/>
          <w:sz w:val="22"/>
          <w:szCs w:val="22"/>
        </w:rPr>
        <w:t>45 minutes in 4 bed positions</w:t>
      </w:r>
      <w:r>
        <w:rPr>
          <w:rFonts w:asciiTheme="minorHAnsi" w:hAnsiTheme="minorHAnsi" w:cstheme="minorHAnsi"/>
          <w:sz w:val="22"/>
          <w:szCs w:val="22"/>
        </w:rPr>
        <w:t xml:space="preserve"> at a single time point between 28 days and 1 day before the administration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Pr>
          <w:rFonts w:asciiTheme="minorHAnsi" w:hAnsiTheme="minorHAnsi" w:cstheme="minorHAnsi"/>
          <w:sz w:val="22"/>
          <w:szCs w:val="22"/>
        </w:rPr>
        <w:t>on Day 0 in line with routine site protocols.</w:t>
      </w:r>
    </w:p>
    <w:p w14:paraId="34EEF599" w14:textId="77777777" w:rsidR="00A338D6" w:rsidRPr="00632FB8" w:rsidRDefault="00A338D6" w:rsidP="00632FB8">
      <w:pPr>
        <w:pStyle w:val="Default"/>
        <w:ind w:left="397"/>
        <w:rPr>
          <w:rFonts w:asciiTheme="minorHAnsi" w:hAnsiTheme="minorHAnsi" w:cstheme="minorHAnsi"/>
          <w:sz w:val="22"/>
          <w:szCs w:val="22"/>
        </w:rPr>
      </w:pPr>
    </w:p>
    <w:p w14:paraId="3AA21050" w14:textId="24979EE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8.2.</w:t>
      </w:r>
      <w:r w:rsidR="00A338D6">
        <w:rPr>
          <w:rFonts w:asciiTheme="minorHAnsi" w:hAnsiTheme="minorHAnsi" w:cstheme="minorHAnsi"/>
          <w:b/>
          <w:bCs/>
          <w:sz w:val="22"/>
          <w:szCs w:val="22"/>
        </w:rPr>
        <w:t>2</w:t>
      </w:r>
      <w:r w:rsidRPr="00632FB8">
        <w:rPr>
          <w:rFonts w:asciiTheme="minorHAnsi" w:hAnsiTheme="minorHAnsi" w:cstheme="minorHAnsi"/>
          <w:b/>
          <w:bCs/>
          <w:sz w:val="22"/>
          <w:szCs w:val="22"/>
        </w:rPr>
        <w:t xml:space="preserve"> </w:t>
      </w:r>
      <w:r w:rsidR="00DA7693" w:rsidRPr="00632FB8">
        <w:rPr>
          <w:rFonts w:asciiTheme="minorHAnsi" w:hAnsiTheme="minorHAnsi" w:cstheme="minorHAnsi"/>
          <w:b/>
          <w:sz w:val="22"/>
          <w:szCs w:val="22"/>
          <w:vertAlign w:val="superscript"/>
        </w:rPr>
        <w:t>89</w:t>
      </w:r>
      <w:r w:rsidR="00DA7693" w:rsidRPr="00632FB8">
        <w:rPr>
          <w:rFonts w:asciiTheme="minorHAnsi" w:hAnsiTheme="minorHAnsi" w:cstheme="minorHAnsi"/>
          <w:b/>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b/>
          <w:bCs/>
          <w:sz w:val="22"/>
          <w:szCs w:val="22"/>
        </w:rPr>
        <w:t xml:space="preserve">PET / CT Imaging </w:t>
      </w:r>
    </w:p>
    <w:p w14:paraId="049AF3D3" w14:textId="77777777" w:rsidR="00A338D6" w:rsidRPr="00632FB8" w:rsidRDefault="00A338D6" w:rsidP="00632FB8">
      <w:pPr>
        <w:pStyle w:val="Default"/>
        <w:ind w:left="397"/>
        <w:rPr>
          <w:rFonts w:asciiTheme="minorHAnsi" w:hAnsiTheme="minorHAnsi" w:cstheme="minorHAnsi"/>
          <w:sz w:val="22"/>
          <w:szCs w:val="22"/>
        </w:rPr>
      </w:pPr>
    </w:p>
    <w:p w14:paraId="3F785B14" w14:textId="33D78928" w:rsidR="00DE0565" w:rsidRDefault="00A338D6" w:rsidP="00632FB8">
      <w:pPr>
        <w:pStyle w:val="Default"/>
        <w:jc w:val="both"/>
        <w:rPr>
          <w:rFonts w:asciiTheme="minorHAnsi" w:hAnsiTheme="minorHAnsi" w:cstheme="minorHAnsi"/>
          <w:sz w:val="22"/>
          <w:szCs w:val="22"/>
        </w:rPr>
      </w:pPr>
      <w:r>
        <w:rPr>
          <w:rFonts w:asciiTheme="minorHAnsi" w:hAnsiTheme="minorHAnsi" w:cstheme="minorHAnsi"/>
          <w:sz w:val="22"/>
          <w:szCs w:val="22"/>
        </w:rPr>
        <w:t>Whole body</w:t>
      </w:r>
      <w:r w:rsidR="00DE0565" w:rsidRPr="00632FB8">
        <w:rPr>
          <w:rFonts w:asciiTheme="minorHAnsi" w:hAnsiTheme="minorHAnsi" w:cstheme="minorHAnsi"/>
          <w:sz w:val="22"/>
          <w:szCs w:val="22"/>
        </w:rPr>
        <w:t xml:space="preserve"> PET/CT scans will be acquired over </w:t>
      </w:r>
      <w:r w:rsidR="00704BD5">
        <w:rPr>
          <w:rFonts w:asciiTheme="minorHAnsi" w:hAnsiTheme="minorHAnsi" w:cstheme="minorHAnsi"/>
          <w:sz w:val="22"/>
          <w:szCs w:val="22"/>
        </w:rPr>
        <w:t xml:space="preserve">a maximum of </w:t>
      </w:r>
      <w:r w:rsidRPr="0081134C">
        <w:rPr>
          <w:rFonts w:asciiTheme="minorHAnsi" w:hAnsiTheme="minorHAnsi" w:cstheme="minorHAnsi"/>
          <w:sz w:val="22"/>
          <w:szCs w:val="22"/>
        </w:rPr>
        <w:t>45</w:t>
      </w:r>
      <w:r w:rsidR="00DE0565" w:rsidRPr="0081134C">
        <w:rPr>
          <w:rFonts w:asciiTheme="minorHAnsi" w:hAnsiTheme="minorHAnsi" w:cstheme="minorHAnsi"/>
          <w:sz w:val="22"/>
          <w:szCs w:val="22"/>
        </w:rPr>
        <w:t xml:space="preserve"> minutes in </w:t>
      </w:r>
      <w:r w:rsidRPr="0081134C">
        <w:rPr>
          <w:rFonts w:asciiTheme="minorHAnsi" w:hAnsiTheme="minorHAnsi" w:cstheme="minorHAnsi"/>
          <w:sz w:val="22"/>
          <w:szCs w:val="22"/>
        </w:rPr>
        <w:t>4</w:t>
      </w:r>
      <w:r w:rsidR="00DE0565" w:rsidRPr="0081134C">
        <w:rPr>
          <w:rFonts w:asciiTheme="minorHAnsi" w:hAnsiTheme="minorHAnsi" w:cstheme="minorHAnsi"/>
          <w:sz w:val="22"/>
          <w:szCs w:val="22"/>
        </w:rPr>
        <w:t xml:space="preserve"> bed position</w:t>
      </w:r>
      <w:r w:rsidRPr="0081134C">
        <w:rPr>
          <w:rFonts w:asciiTheme="minorHAnsi" w:hAnsiTheme="minorHAnsi" w:cstheme="minorHAnsi"/>
          <w:sz w:val="22"/>
          <w:szCs w:val="22"/>
        </w:rPr>
        <w:t>s</w:t>
      </w:r>
      <w:r w:rsidR="00DE0565" w:rsidRPr="00632FB8">
        <w:rPr>
          <w:rFonts w:asciiTheme="minorHAnsi" w:hAnsiTheme="minorHAnsi" w:cstheme="minorHAnsi"/>
          <w:sz w:val="22"/>
          <w:szCs w:val="22"/>
        </w:rPr>
        <w:t xml:space="preserve"> at a single time point on Day 5 ± 2 post administration (p.a.)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00DE0565" w:rsidRPr="00632FB8">
        <w:rPr>
          <w:rFonts w:asciiTheme="minorHAnsi" w:hAnsiTheme="minorHAnsi" w:cstheme="minorHAnsi"/>
          <w:sz w:val="22"/>
          <w:szCs w:val="22"/>
        </w:rPr>
        <w:t xml:space="preserve">using static image acquisition and low dose CT without contrast agent. </w:t>
      </w:r>
    </w:p>
    <w:p w14:paraId="5D4B7AF6" w14:textId="77777777" w:rsidR="00A338D6" w:rsidRPr="00632FB8" w:rsidRDefault="00A338D6" w:rsidP="00632FB8">
      <w:pPr>
        <w:pStyle w:val="Default"/>
        <w:ind w:left="397"/>
        <w:jc w:val="both"/>
        <w:rPr>
          <w:rFonts w:asciiTheme="minorHAnsi" w:hAnsiTheme="minorHAnsi" w:cstheme="minorHAnsi"/>
          <w:sz w:val="22"/>
          <w:szCs w:val="22"/>
        </w:rPr>
      </w:pPr>
    </w:p>
    <w:p w14:paraId="578885F0" w14:textId="173856CA"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8.2.</w:t>
      </w:r>
      <w:r w:rsidR="00A338D6">
        <w:rPr>
          <w:rFonts w:asciiTheme="minorHAnsi" w:hAnsiTheme="minorHAnsi" w:cstheme="minorHAnsi"/>
          <w:b/>
          <w:bCs/>
          <w:sz w:val="22"/>
          <w:szCs w:val="22"/>
        </w:rPr>
        <w:t>3</w:t>
      </w:r>
      <w:r w:rsidRPr="00632FB8">
        <w:rPr>
          <w:rFonts w:asciiTheme="minorHAnsi" w:hAnsiTheme="minorHAnsi" w:cstheme="minorHAnsi"/>
          <w:b/>
          <w:bCs/>
          <w:sz w:val="22"/>
          <w:szCs w:val="22"/>
        </w:rPr>
        <w:t xml:space="preserve"> Imaging Analysis </w:t>
      </w:r>
    </w:p>
    <w:p w14:paraId="5155B0C6" w14:textId="77777777" w:rsidR="00A338D6" w:rsidRPr="00632FB8" w:rsidRDefault="00A338D6" w:rsidP="00632FB8">
      <w:pPr>
        <w:pStyle w:val="Default"/>
        <w:ind w:left="397"/>
        <w:jc w:val="both"/>
        <w:rPr>
          <w:rFonts w:asciiTheme="minorHAnsi" w:hAnsiTheme="minorHAnsi" w:cstheme="minorHAnsi"/>
          <w:sz w:val="22"/>
          <w:szCs w:val="22"/>
        </w:rPr>
      </w:pPr>
    </w:p>
    <w:p w14:paraId="2B872699" w14:textId="35A81AF6"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Reading for the </w:t>
      </w:r>
      <w:r w:rsidR="00A338D6">
        <w:rPr>
          <w:rFonts w:asciiTheme="minorHAnsi" w:hAnsiTheme="minorHAnsi" w:cstheme="minorHAnsi"/>
          <w:sz w:val="22"/>
          <w:szCs w:val="22"/>
        </w:rPr>
        <w:t>secondary</w:t>
      </w:r>
      <w:r w:rsidRPr="00632FB8">
        <w:rPr>
          <w:rFonts w:asciiTheme="minorHAnsi" w:hAnsiTheme="minorHAnsi" w:cstheme="minorHAnsi"/>
          <w:sz w:val="22"/>
          <w:szCs w:val="22"/>
        </w:rPr>
        <w:t xml:space="preserve"> endpoints (</w:t>
      </w:r>
      <w:r w:rsidR="00A338D6">
        <w:rPr>
          <w:rFonts w:asciiTheme="minorHAnsi" w:hAnsiTheme="minorHAnsi" w:cstheme="minorHAnsi"/>
          <w:sz w:val="22"/>
          <w:szCs w:val="22"/>
        </w:rPr>
        <w:t xml:space="preserve">effectiveness of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00A338D6">
        <w:rPr>
          <w:rFonts w:asciiTheme="minorHAnsi" w:hAnsiTheme="minorHAnsi" w:cstheme="minorHAnsi"/>
          <w:sz w:val="22"/>
          <w:szCs w:val="22"/>
        </w:rPr>
        <w:t xml:space="preserve">PET/CT in detecting metastatic urothelial carcinoma or bladder cancer) </w:t>
      </w:r>
      <w:r w:rsidRPr="00632FB8">
        <w:rPr>
          <w:rFonts w:asciiTheme="minorHAnsi" w:hAnsiTheme="minorHAnsi" w:cstheme="minorHAnsi"/>
          <w:sz w:val="22"/>
          <w:szCs w:val="22"/>
        </w:rPr>
        <w:t xml:space="preserve">will be conducted by </w:t>
      </w:r>
      <w:r w:rsidR="009A25D6">
        <w:rPr>
          <w:rFonts w:asciiTheme="minorHAnsi" w:hAnsiTheme="minorHAnsi" w:cstheme="minorHAnsi"/>
          <w:sz w:val="22"/>
          <w:szCs w:val="22"/>
        </w:rPr>
        <w:t>two</w:t>
      </w:r>
      <w:r w:rsidRPr="00632FB8">
        <w:rPr>
          <w:rFonts w:asciiTheme="minorHAnsi" w:hAnsiTheme="minorHAnsi" w:cstheme="minorHAnsi"/>
          <w:sz w:val="22"/>
          <w:szCs w:val="22"/>
        </w:rPr>
        <w:t xml:space="preserve"> trained readers</w:t>
      </w:r>
      <w:r w:rsidR="009A25D6">
        <w:rPr>
          <w:rFonts w:asciiTheme="minorHAnsi" w:hAnsiTheme="minorHAnsi" w:cstheme="minorHAnsi"/>
          <w:sz w:val="22"/>
          <w:szCs w:val="22"/>
        </w:rPr>
        <w:t xml:space="preserve"> and in the event that the trained readers do not reach the same conclusion, a third adjudicator reader will review the patient images and the majority rule will apply</w:t>
      </w:r>
      <w:r w:rsidR="00A257FA">
        <w:rPr>
          <w:rFonts w:asciiTheme="minorHAnsi" w:hAnsiTheme="minorHAnsi" w:cstheme="minorHAnsi"/>
          <w:sz w:val="22"/>
          <w:szCs w:val="22"/>
        </w:rPr>
        <w:t xml:space="preserve">. </w:t>
      </w:r>
      <w:r w:rsidRPr="00632FB8">
        <w:rPr>
          <w:rFonts w:asciiTheme="minorHAnsi" w:hAnsiTheme="minorHAnsi" w:cstheme="minorHAnsi"/>
          <w:sz w:val="22"/>
          <w:szCs w:val="22"/>
        </w:rPr>
        <w:t xml:space="preserve"> </w:t>
      </w:r>
    </w:p>
    <w:p w14:paraId="0D9F1300" w14:textId="77777777" w:rsidR="00A338D6" w:rsidRPr="00632FB8" w:rsidRDefault="00A338D6" w:rsidP="00632FB8">
      <w:pPr>
        <w:pStyle w:val="Default"/>
        <w:ind w:left="397"/>
        <w:jc w:val="both"/>
        <w:rPr>
          <w:rFonts w:asciiTheme="minorHAnsi" w:hAnsiTheme="minorHAnsi" w:cstheme="minorHAnsi"/>
          <w:sz w:val="22"/>
          <w:szCs w:val="22"/>
        </w:rPr>
      </w:pPr>
    </w:p>
    <w:p w14:paraId="140DAAB4" w14:textId="055915F0"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lastRenderedPageBreak/>
        <w:t>8.2.</w:t>
      </w:r>
      <w:r w:rsidR="0019626F">
        <w:rPr>
          <w:rFonts w:asciiTheme="minorHAnsi" w:hAnsiTheme="minorHAnsi" w:cstheme="minorHAnsi"/>
          <w:b/>
          <w:bCs/>
          <w:sz w:val="22"/>
          <w:szCs w:val="22"/>
        </w:rPr>
        <w:t>3</w:t>
      </w:r>
      <w:r w:rsidRPr="00632FB8">
        <w:rPr>
          <w:rFonts w:asciiTheme="minorHAnsi" w:hAnsiTheme="minorHAnsi" w:cstheme="minorHAnsi"/>
          <w:b/>
          <w:bCs/>
          <w:sz w:val="22"/>
          <w:szCs w:val="22"/>
        </w:rPr>
        <w:t xml:space="preserve">.1 Qualitative </w:t>
      </w:r>
      <w:r w:rsidR="00DA7693" w:rsidRPr="00632FB8">
        <w:rPr>
          <w:rFonts w:asciiTheme="minorHAnsi" w:hAnsiTheme="minorHAnsi" w:cstheme="minorHAnsi"/>
          <w:b/>
          <w:sz w:val="22"/>
          <w:szCs w:val="22"/>
          <w:vertAlign w:val="superscript"/>
        </w:rPr>
        <w:t>89</w:t>
      </w:r>
      <w:r w:rsidR="00DA7693" w:rsidRPr="00632FB8">
        <w:rPr>
          <w:rFonts w:asciiTheme="minorHAnsi" w:hAnsiTheme="minorHAnsi" w:cstheme="minorHAnsi"/>
          <w:b/>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b/>
          <w:bCs/>
          <w:sz w:val="22"/>
          <w:szCs w:val="22"/>
        </w:rPr>
        <w:t xml:space="preserve">Tumour Targeting </w:t>
      </w:r>
    </w:p>
    <w:p w14:paraId="6C0977B0" w14:textId="77777777" w:rsidR="00A338D6" w:rsidRPr="00632FB8" w:rsidRDefault="00A338D6" w:rsidP="00632FB8">
      <w:pPr>
        <w:pStyle w:val="Default"/>
        <w:ind w:left="397"/>
        <w:rPr>
          <w:rFonts w:asciiTheme="minorHAnsi" w:hAnsiTheme="minorHAnsi" w:cstheme="minorHAnsi"/>
          <w:sz w:val="22"/>
          <w:szCs w:val="22"/>
        </w:rPr>
      </w:pPr>
    </w:p>
    <w:p w14:paraId="6B5A7A41" w14:textId="5C6DA401" w:rsidR="00DE0565" w:rsidRDefault="00DA7693" w:rsidP="00632FB8">
      <w:pPr>
        <w:pStyle w:val="Default"/>
        <w:rPr>
          <w:rFonts w:asciiTheme="minorHAnsi" w:hAnsiTheme="minorHAnsi" w:cstheme="minorHAnsi"/>
          <w:sz w:val="22"/>
          <w:szCs w:val="22"/>
        </w:rPr>
      </w:pP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Pr>
          <w:rFonts w:asciiTheme="minorHAnsi" w:hAnsiTheme="minorHAnsi" w:cstheme="minorHAnsi"/>
          <w:bCs/>
          <w:sz w:val="22"/>
          <w:szCs w:val="22"/>
        </w:rPr>
        <w:t xml:space="preserve"> </w:t>
      </w:r>
      <w:r w:rsidR="00DE0565" w:rsidRPr="00632FB8">
        <w:rPr>
          <w:rFonts w:asciiTheme="minorHAnsi" w:hAnsiTheme="minorHAnsi" w:cstheme="minorHAnsi"/>
          <w:sz w:val="22"/>
          <w:szCs w:val="22"/>
        </w:rPr>
        <w:t xml:space="preserve">tumour uptake will qualitatively be assessed (yes /no), considering whether or not </w:t>
      </w:r>
      <w:r w:rsidRPr="009D2267">
        <w:rPr>
          <w:rFonts w:asciiTheme="minorHAnsi" w:hAnsiTheme="minorHAnsi" w:cstheme="minorHAnsi"/>
          <w:bCs/>
          <w:sz w:val="22"/>
          <w:szCs w:val="22"/>
          <w:vertAlign w:val="superscript"/>
        </w:rPr>
        <w:t>89</w:t>
      </w:r>
      <w:r w:rsidRPr="009D2267">
        <w:rPr>
          <w:rFonts w:asciiTheme="minorHAnsi" w:hAnsiTheme="minorHAnsi" w:cstheme="minorHAnsi"/>
          <w:bCs/>
          <w:sz w:val="22"/>
          <w:szCs w:val="22"/>
        </w:rPr>
        <w:t>Zr-TLX250</w:t>
      </w:r>
      <w:r w:rsidR="00A338D6">
        <w:rPr>
          <w:rFonts w:asciiTheme="minorHAnsi" w:hAnsiTheme="minorHAnsi" w:cstheme="minorHAnsi"/>
          <w:sz w:val="22"/>
          <w:szCs w:val="22"/>
        </w:rPr>
        <w:t xml:space="preserve"> </w:t>
      </w:r>
      <w:r w:rsidR="00DE0565" w:rsidRPr="00632FB8">
        <w:rPr>
          <w:rFonts w:asciiTheme="minorHAnsi" w:hAnsiTheme="minorHAnsi" w:cstheme="minorHAnsi"/>
          <w:sz w:val="22"/>
          <w:szCs w:val="22"/>
        </w:rPr>
        <w:t xml:space="preserve">binding </w:t>
      </w:r>
      <w:r w:rsidR="00A338D6">
        <w:rPr>
          <w:rFonts w:asciiTheme="minorHAnsi" w:hAnsiTheme="minorHAnsi" w:cstheme="minorHAnsi"/>
          <w:sz w:val="22"/>
          <w:szCs w:val="22"/>
        </w:rPr>
        <w:t xml:space="preserve">is noted </w:t>
      </w:r>
      <w:r w:rsidR="00DE0565" w:rsidRPr="00632FB8">
        <w:rPr>
          <w:rFonts w:asciiTheme="minorHAnsi" w:hAnsiTheme="minorHAnsi" w:cstheme="minorHAnsi"/>
          <w:sz w:val="22"/>
          <w:szCs w:val="22"/>
        </w:rPr>
        <w:t xml:space="preserve">inside or in the vicinity of </w:t>
      </w:r>
      <w:r w:rsidR="00A338D6">
        <w:rPr>
          <w:rFonts w:asciiTheme="minorHAnsi" w:hAnsiTheme="minorHAnsi" w:cstheme="minorHAnsi"/>
          <w:sz w:val="22"/>
          <w:szCs w:val="22"/>
        </w:rPr>
        <w:t>lymph nodes or distant visceral organs</w:t>
      </w:r>
      <w:r w:rsidR="00DE0565" w:rsidRPr="00632FB8">
        <w:rPr>
          <w:rFonts w:asciiTheme="minorHAnsi" w:hAnsiTheme="minorHAnsi" w:cstheme="minorHAnsi"/>
          <w:sz w:val="22"/>
          <w:szCs w:val="22"/>
        </w:rPr>
        <w:t xml:space="preserve">. </w:t>
      </w:r>
    </w:p>
    <w:p w14:paraId="0225ED71" w14:textId="77777777" w:rsidR="00A338D6" w:rsidRPr="00632FB8" w:rsidRDefault="00A338D6" w:rsidP="00632FB8">
      <w:pPr>
        <w:pStyle w:val="Default"/>
        <w:ind w:left="397"/>
        <w:rPr>
          <w:rFonts w:asciiTheme="minorHAnsi" w:hAnsiTheme="minorHAnsi" w:cstheme="minorHAnsi"/>
          <w:sz w:val="22"/>
          <w:szCs w:val="22"/>
        </w:rPr>
      </w:pPr>
    </w:p>
    <w:p w14:paraId="050327EF" w14:textId="75AA5686"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lesion will be classified as PET-positive if: </w:t>
      </w:r>
    </w:p>
    <w:p w14:paraId="6129107C" w14:textId="179F9C03" w:rsidR="00DE0565" w:rsidRPr="00632FB8" w:rsidRDefault="00DE0565" w:rsidP="00632FB8">
      <w:pPr>
        <w:pStyle w:val="Default"/>
        <w:numPr>
          <w:ilvl w:val="0"/>
          <w:numId w:val="33"/>
        </w:numPr>
        <w:spacing w:after="150"/>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Radioactivity in the lesion is clearly visible </w:t>
      </w:r>
    </w:p>
    <w:p w14:paraId="7F6A50F1" w14:textId="7692736B"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sz w:val="22"/>
          <w:szCs w:val="22"/>
        </w:rPr>
        <w:t>PET/CT scan is considered positive, if there is at least one positive</w:t>
      </w:r>
      <w:r w:rsidR="00A338D6">
        <w:rPr>
          <w:rFonts w:asciiTheme="minorHAnsi" w:hAnsiTheme="minorHAnsi" w:cstheme="minorHAnsi"/>
          <w:sz w:val="22"/>
          <w:szCs w:val="22"/>
        </w:rPr>
        <w:t xml:space="preserve"> lymph node or distant metastasis</w:t>
      </w:r>
      <w:r w:rsidRPr="00632FB8">
        <w:rPr>
          <w:rFonts w:asciiTheme="minorHAnsi" w:hAnsiTheme="minorHAnsi" w:cstheme="minorHAnsi"/>
          <w:sz w:val="22"/>
          <w:szCs w:val="22"/>
        </w:rPr>
        <w:t xml:space="preserve">. </w:t>
      </w:r>
    </w:p>
    <w:p w14:paraId="3A16623A" w14:textId="77777777" w:rsidR="00A338D6" w:rsidRPr="00632FB8" w:rsidRDefault="00A338D6" w:rsidP="00632FB8">
      <w:pPr>
        <w:pStyle w:val="Default"/>
        <w:ind w:left="397"/>
        <w:rPr>
          <w:rFonts w:asciiTheme="minorHAnsi" w:hAnsiTheme="minorHAnsi" w:cstheme="minorHAnsi"/>
          <w:sz w:val="22"/>
          <w:szCs w:val="22"/>
        </w:rPr>
      </w:pPr>
    </w:p>
    <w:p w14:paraId="36549AB2" w14:textId="55A28007" w:rsidR="00A338D6"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8.2.</w:t>
      </w:r>
      <w:r w:rsidR="0019626F">
        <w:rPr>
          <w:rFonts w:asciiTheme="minorHAnsi" w:hAnsiTheme="minorHAnsi" w:cstheme="minorHAnsi"/>
          <w:b/>
          <w:bCs/>
          <w:sz w:val="22"/>
          <w:szCs w:val="22"/>
        </w:rPr>
        <w:t>3</w:t>
      </w:r>
      <w:r w:rsidRPr="00632FB8">
        <w:rPr>
          <w:rFonts w:asciiTheme="minorHAnsi" w:hAnsiTheme="minorHAnsi" w:cstheme="minorHAnsi"/>
          <w:b/>
          <w:bCs/>
          <w:sz w:val="22"/>
          <w:szCs w:val="22"/>
        </w:rPr>
        <w:t xml:space="preserve">.2 </w:t>
      </w:r>
      <w:r w:rsidR="00A338D6">
        <w:rPr>
          <w:rFonts w:asciiTheme="minorHAnsi" w:hAnsiTheme="minorHAnsi" w:cstheme="minorHAnsi"/>
          <w:b/>
          <w:bCs/>
          <w:sz w:val="22"/>
          <w:szCs w:val="22"/>
        </w:rPr>
        <w:t>Q</w:t>
      </w:r>
      <w:r w:rsidRPr="00632FB8">
        <w:rPr>
          <w:rFonts w:asciiTheme="minorHAnsi" w:hAnsiTheme="minorHAnsi" w:cstheme="minorHAnsi"/>
          <w:b/>
          <w:bCs/>
          <w:sz w:val="22"/>
          <w:szCs w:val="22"/>
        </w:rPr>
        <w:t xml:space="preserve">uantitative </w:t>
      </w:r>
      <w:r w:rsidR="00DA7693" w:rsidRPr="00632FB8">
        <w:rPr>
          <w:rFonts w:asciiTheme="minorHAnsi" w:hAnsiTheme="minorHAnsi" w:cstheme="minorHAnsi"/>
          <w:b/>
          <w:sz w:val="22"/>
          <w:szCs w:val="22"/>
          <w:vertAlign w:val="superscript"/>
        </w:rPr>
        <w:t>89</w:t>
      </w:r>
      <w:r w:rsidR="00DA7693" w:rsidRPr="00632FB8">
        <w:rPr>
          <w:rFonts w:asciiTheme="minorHAnsi" w:hAnsiTheme="minorHAnsi" w:cstheme="minorHAnsi"/>
          <w:b/>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b/>
          <w:bCs/>
          <w:sz w:val="22"/>
          <w:szCs w:val="22"/>
        </w:rPr>
        <w:t xml:space="preserve">Tumour Targeting </w:t>
      </w:r>
    </w:p>
    <w:p w14:paraId="5B3C7600" w14:textId="77777777" w:rsidR="00A338D6" w:rsidRDefault="00A338D6" w:rsidP="00A338D6">
      <w:pPr>
        <w:pStyle w:val="Default"/>
        <w:ind w:left="397"/>
        <w:rPr>
          <w:rFonts w:asciiTheme="minorHAnsi" w:hAnsiTheme="minorHAnsi" w:cstheme="minorHAnsi"/>
          <w:b/>
          <w:bCs/>
          <w:sz w:val="22"/>
          <w:szCs w:val="22"/>
        </w:rPr>
      </w:pPr>
    </w:p>
    <w:p w14:paraId="7B5433D3" w14:textId="4DC268FC" w:rsidR="00DE0565" w:rsidRDefault="00A338D6"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Tumour vs mediastinal uptake ratio for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sz w:val="22"/>
          <w:szCs w:val="22"/>
        </w:rPr>
        <w:t>PET</w:t>
      </w:r>
      <w:r>
        <w:rPr>
          <w:rFonts w:asciiTheme="minorHAnsi" w:hAnsiTheme="minorHAnsi" w:cstheme="minorHAnsi"/>
          <w:sz w:val="22"/>
          <w:szCs w:val="22"/>
        </w:rPr>
        <w:t>/CT</w:t>
      </w:r>
      <w:r w:rsidRPr="00632FB8">
        <w:rPr>
          <w:rFonts w:asciiTheme="minorHAnsi" w:hAnsiTheme="minorHAnsi" w:cstheme="minorHAnsi"/>
          <w:sz w:val="22"/>
          <w:szCs w:val="22"/>
        </w:rPr>
        <w:t xml:space="preserve"> will be calculated</w:t>
      </w:r>
      <w:r>
        <w:rPr>
          <w:rFonts w:asciiTheme="minorHAnsi" w:hAnsiTheme="minorHAnsi" w:cstheme="minorHAnsi"/>
          <w:sz w:val="22"/>
          <w:szCs w:val="22"/>
        </w:rPr>
        <w:t xml:space="preserve">. Results will be reported as 0, 1, 2, or 3 for no, low, intermediate, or high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Pr>
          <w:rFonts w:asciiTheme="minorHAnsi" w:hAnsiTheme="minorHAnsi" w:cstheme="minorHAnsi"/>
          <w:sz w:val="22"/>
          <w:szCs w:val="22"/>
        </w:rPr>
        <w:t xml:space="preserve">uptake. Scores 2 and 3 are empirically considered typical for metastatic lesions. </w:t>
      </w:r>
      <w:r w:rsidR="00DE0565" w:rsidRPr="00632FB8">
        <w:rPr>
          <w:rFonts w:asciiTheme="minorHAnsi" w:hAnsiTheme="minorHAnsi" w:cstheme="minorHAnsi"/>
          <w:sz w:val="22"/>
          <w:szCs w:val="22"/>
        </w:rPr>
        <w:t xml:space="preserve"> </w:t>
      </w:r>
    </w:p>
    <w:p w14:paraId="7C10440C" w14:textId="77777777" w:rsidR="00A338D6" w:rsidRPr="00632FB8" w:rsidRDefault="00A338D6" w:rsidP="00632FB8">
      <w:pPr>
        <w:pStyle w:val="Default"/>
        <w:ind w:left="397"/>
        <w:rPr>
          <w:rFonts w:asciiTheme="minorHAnsi" w:hAnsiTheme="minorHAnsi" w:cstheme="minorHAnsi"/>
          <w:b/>
          <w:bCs/>
          <w:sz w:val="21"/>
          <w:szCs w:val="21"/>
        </w:rPr>
      </w:pPr>
    </w:p>
    <w:p w14:paraId="68552EC5" w14:textId="33F8340F"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8.2.</w:t>
      </w:r>
      <w:r w:rsidR="0019626F">
        <w:rPr>
          <w:rFonts w:asciiTheme="minorHAnsi" w:hAnsiTheme="minorHAnsi" w:cstheme="minorHAnsi"/>
          <w:b/>
          <w:bCs/>
          <w:sz w:val="22"/>
          <w:szCs w:val="22"/>
        </w:rPr>
        <w:t>3</w:t>
      </w:r>
      <w:r w:rsidRPr="00632FB8">
        <w:rPr>
          <w:rFonts w:asciiTheme="minorHAnsi" w:hAnsiTheme="minorHAnsi" w:cstheme="minorHAnsi"/>
          <w:b/>
          <w:bCs/>
          <w:sz w:val="22"/>
          <w:szCs w:val="22"/>
        </w:rPr>
        <w:t xml:space="preserve">.3 </w:t>
      </w:r>
      <w:r w:rsidR="00A338D6" w:rsidRPr="000F1283">
        <w:rPr>
          <w:rFonts w:asciiTheme="minorHAnsi" w:hAnsiTheme="minorHAnsi" w:cstheme="minorHAnsi"/>
          <w:b/>
          <w:bCs/>
          <w:sz w:val="22"/>
          <w:szCs w:val="22"/>
        </w:rPr>
        <w:t xml:space="preserve">Qualitative </w:t>
      </w:r>
      <w:r w:rsidR="00A338D6">
        <w:rPr>
          <w:rFonts w:asciiTheme="minorHAnsi" w:hAnsiTheme="minorHAnsi" w:cstheme="minorHAnsi"/>
          <w:b/>
          <w:bCs/>
          <w:sz w:val="22"/>
          <w:szCs w:val="22"/>
        </w:rPr>
        <w:t>FDG</w:t>
      </w:r>
      <w:r w:rsidR="00A338D6">
        <w:rPr>
          <w:rFonts w:asciiTheme="minorHAnsi" w:hAnsiTheme="minorHAnsi" w:cstheme="minorHAnsi"/>
          <w:sz w:val="22"/>
          <w:szCs w:val="22"/>
        </w:rPr>
        <w:t xml:space="preserve"> </w:t>
      </w:r>
      <w:r w:rsidR="00A338D6" w:rsidRPr="000F1283">
        <w:rPr>
          <w:rFonts w:asciiTheme="minorHAnsi" w:hAnsiTheme="minorHAnsi" w:cstheme="minorHAnsi"/>
          <w:b/>
          <w:bCs/>
          <w:sz w:val="22"/>
          <w:szCs w:val="22"/>
        </w:rPr>
        <w:t>Tumour Targeting</w:t>
      </w:r>
    </w:p>
    <w:p w14:paraId="2716411C" w14:textId="1BCC9B87" w:rsidR="00A338D6" w:rsidRDefault="00A338D6" w:rsidP="00DE0565">
      <w:pPr>
        <w:pStyle w:val="Default"/>
        <w:ind w:left="397"/>
        <w:rPr>
          <w:rFonts w:asciiTheme="minorHAnsi" w:hAnsiTheme="minorHAnsi" w:cstheme="minorHAnsi"/>
          <w:b/>
          <w:bCs/>
          <w:sz w:val="22"/>
          <w:szCs w:val="22"/>
        </w:rPr>
      </w:pPr>
    </w:p>
    <w:p w14:paraId="72A1D77B" w14:textId="7FB34745" w:rsidR="00A338D6" w:rsidRDefault="00A338D6" w:rsidP="00632FB8">
      <w:pPr>
        <w:pStyle w:val="Default"/>
        <w:jc w:val="both"/>
        <w:rPr>
          <w:rFonts w:asciiTheme="minorHAnsi" w:hAnsiTheme="minorHAnsi" w:cstheme="minorHAnsi"/>
          <w:sz w:val="22"/>
          <w:szCs w:val="22"/>
        </w:rPr>
      </w:pPr>
      <w:r>
        <w:rPr>
          <w:rFonts w:asciiTheme="minorHAnsi" w:hAnsiTheme="minorHAnsi" w:cstheme="minorHAnsi"/>
          <w:sz w:val="22"/>
          <w:szCs w:val="22"/>
        </w:rPr>
        <w:t xml:space="preserve">FDG </w:t>
      </w:r>
      <w:r w:rsidRPr="000F1283">
        <w:rPr>
          <w:rFonts w:asciiTheme="minorHAnsi" w:hAnsiTheme="minorHAnsi" w:cstheme="minorHAnsi"/>
          <w:sz w:val="22"/>
          <w:szCs w:val="22"/>
        </w:rPr>
        <w:t xml:space="preserve">tumour uptake will qualitatively be assessed (yes/no), considering whether or not </w:t>
      </w:r>
      <w:r>
        <w:rPr>
          <w:rFonts w:asciiTheme="minorHAnsi" w:hAnsiTheme="minorHAnsi" w:cstheme="minorHAnsi"/>
          <w:sz w:val="22"/>
          <w:szCs w:val="22"/>
        </w:rPr>
        <w:t xml:space="preserve">FDG </w:t>
      </w:r>
      <w:r w:rsidRPr="000F1283">
        <w:rPr>
          <w:rFonts w:asciiTheme="minorHAnsi" w:hAnsiTheme="minorHAnsi" w:cstheme="minorHAnsi"/>
          <w:sz w:val="22"/>
          <w:szCs w:val="22"/>
        </w:rPr>
        <w:t xml:space="preserve">binding </w:t>
      </w:r>
      <w:r>
        <w:rPr>
          <w:rFonts w:asciiTheme="minorHAnsi" w:hAnsiTheme="minorHAnsi" w:cstheme="minorHAnsi"/>
          <w:sz w:val="22"/>
          <w:szCs w:val="22"/>
        </w:rPr>
        <w:t xml:space="preserve">is noted </w:t>
      </w:r>
      <w:r w:rsidRPr="000F1283">
        <w:rPr>
          <w:rFonts w:asciiTheme="minorHAnsi" w:hAnsiTheme="minorHAnsi" w:cstheme="minorHAnsi"/>
          <w:sz w:val="22"/>
          <w:szCs w:val="22"/>
        </w:rPr>
        <w:t xml:space="preserve">inside or in the vicinity of </w:t>
      </w:r>
      <w:r>
        <w:rPr>
          <w:rFonts w:asciiTheme="minorHAnsi" w:hAnsiTheme="minorHAnsi" w:cstheme="minorHAnsi"/>
          <w:sz w:val="22"/>
          <w:szCs w:val="22"/>
        </w:rPr>
        <w:t>lymph nodes or distant visceral organs</w:t>
      </w:r>
      <w:r w:rsidRPr="000F1283">
        <w:rPr>
          <w:rFonts w:asciiTheme="minorHAnsi" w:hAnsiTheme="minorHAnsi" w:cstheme="minorHAnsi"/>
          <w:sz w:val="22"/>
          <w:szCs w:val="22"/>
        </w:rPr>
        <w:t xml:space="preserve">. </w:t>
      </w:r>
    </w:p>
    <w:p w14:paraId="45D47E0C" w14:textId="77777777" w:rsidR="00A338D6" w:rsidRPr="000F1283" w:rsidRDefault="00A338D6" w:rsidP="00632FB8">
      <w:pPr>
        <w:pStyle w:val="Default"/>
        <w:ind w:left="397"/>
        <w:jc w:val="both"/>
        <w:rPr>
          <w:rFonts w:asciiTheme="minorHAnsi" w:hAnsiTheme="minorHAnsi" w:cstheme="minorHAnsi"/>
          <w:sz w:val="22"/>
          <w:szCs w:val="22"/>
        </w:rPr>
      </w:pPr>
    </w:p>
    <w:p w14:paraId="03F46FA6" w14:textId="77777777" w:rsidR="00A338D6" w:rsidRPr="000F1283" w:rsidRDefault="00A338D6" w:rsidP="00632FB8">
      <w:pPr>
        <w:pStyle w:val="Default"/>
        <w:jc w:val="both"/>
        <w:rPr>
          <w:rFonts w:asciiTheme="minorHAnsi" w:hAnsiTheme="minorHAnsi" w:cstheme="minorHAnsi"/>
          <w:sz w:val="22"/>
          <w:szCs w:val="22"/>
        </w:rPr>
      </w:pPr>
      <w:r w:rsidRPr="000F1283">
        <w:rPr>
          <w:rFonts w:asciiTheme="minorHAnsi" w:hAnsiTheme="minorHAnsi" w:cstheme="minorHAnsi"/>
          <w:sz w:val="22"/>
          <w:szCs w:val="22"/>
        </w:rPr>
        <w:t xml:space="preserve">The lesion will be classified as PET-positive if: </w:t>
      </w:r>
    </w:p>
    <w:p w14:paraId="536BEC40" w14:textId="77777777" w:rsidR="00A338D6" w:rsidRPr="000F1283" w:rsidRDefault="00A338D6" w:rsidP="00632FB8">
      <w:pPr>
        <w:pStyle w:val="Default"/>
        <w:numPr>
          <w:ilvl w:val="0"/>
          <w:numId w:val="33"/>
        </w:numPr>
        <w:spacing w:after="150"/>
        <w:ind w:left="1077" w:hanging="357"/>
        <w:jc w:val="both"/>
        <w:rPr>
          <w:rFonts w:asciiTheme="minorHAnsi" w:hAnsiTheme="minorHAnsi" w:cstheme="minorHAnsi"/>
          <w:sz w:val="22"/>
          <w:szCs w:val="22"/>
        </w:rPr>
      </w:pPr>
      <w:r w:rsidRPr="000F1283">
        <w:rPr>
          <w:rFonts w:asciiTheme="minorHAnsi" w:hAnsiTheme="minorHAnsi" w:cstheme="minorHAnsi"/>
          <w:sz w:val="22"/>
          <w:szCs w:val="22"/>
        </w:rPr>
        <w:t xml:space="preserve">Radioactivity in the lesion is clearly visible </w:t>
      </w:r>
    </w:p>
    <w:p w14:paraId="6E532EE3" w14:textId="1ECE2733" w:rsidR="00A338D6" w:rsidRDefault="00A338D6" w:rsidP="00632FB8">
      <w:pPr>
        <w:pStyle w:val="Default"/>
        <w:jc w:val="both"/>
        <w:rPr>
          <w:rFonts w:asciiTheme="minorHAnsi" w:hAnsiTheme="minorHAnsi" w:cstheme="minorHAnsi"/>
          <w:sz w:val="22"/>
          <w:szCs w:val="22"/>
        </w:rPr>
      </w:pPr>
      <w:r>
        <w:rPr>
          <w:rFonts w:asciiTheme="minorHAnsi" w:hAnsiTheme="minorHAnsi" w:cstheme="minorHAnsi"/>
          <w:sz w:val="22"/>
          <w:szCs w:val="22"/>
        </w:rPr>
        <w:t xml:space="preserve">An FDG </w:t>
      </w:r>
      <w:r w:rsidRPr="000F1283">
        <w:rPr>
          <w:rFonts w:asciiTheme="minorHAnsi" w:hAnsiTheme="minorHAnsi" w:cstheme="minorHAnsi"/>
          <w:sz w:val="22"/>
          <w:szCs w:val="22"/>
        </w:rPr>
        <w:t>PET/CT scan is considered positive, if there is at least one positive</w:t>
      </w:r>
      <w:r>
        <w:rPr>
          <w:rFonts w:asciiTheme="minorHAnsi" w:hAnsiTheme="minorHAnsi" w:cstheme="minorHAnsi"/>
          <w:sz w:val="22"/>
          <w:szCs w:val="22"/>
        </w:rPr>
        <w:t xml:space="preserve"> lymph node or distant metastasis</w:t>
      </w:r>
      <w:r w:rsidRPr="000F1283">
        <w:rPr>
          <w:rFonts w:asciiTheme="minorHAnsi" w:hAnsiTheme="minorHAnsi" w:cstheme="minorHAnsi"/>
          <w:sz w:val="22"/>
          <w:szCs w:val="22"/>
        </w:rPr>
        <w:t xml:space="preserve">. </w:t>
      </w:r>
    </w:p>
    <w:p w14:paraId="1377410B" w14:textId="77777777" w:rsidR="00A338D6" w:rsidRPr="00632FB8" w:rsidRDefault="00A338D6" w:rsidP="00632FB8">
      <w:pPr>
        <w:pStyle w:val="Default"/>
        <w:ind w:left="397"/>
        <w:jc w:val="both"/>
        <w:rPr>
          <w:rFonts w:asciiTheme="minorHAnsi" w:hAnsiTheme="minorHAnsi" w:cstheme="minorHAnsi"/>
          <w:sz w:val="22"/>
          <w:szCs w:val="22"/>
        </w:rPr>
      </w:pPr>
    </w:p>
    <w:p w14:paraId="65C7ED8D" w14:textId="10B50CF3"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8.2.2.4 </w:t>
      </w:r>
      <w:r w:rsidR="00A338D6">
        <w:rPr>
          <w:rFonts w:asciiTheme="minorHAnsi" w:hAnsiTheme="minorHAnsi" w:cstheme="minorHAnsi"/>
          <w:b/>
          <w:bCs/>
          <w:sz w:val="22"/>
          <w:szCs w:val="22"/>
        </w:rPr>
        <w:t>Q</w:t>
      </w:r>
      <w:r w:rsidR="00A338D6" w:rsidRPr="000F1283">
        <w:rPr>
          <w:rFonts w:asciiTheme="minorHAnsi" w:hAnsiTheme="minorHAnsi" w:cstheme="minorHAnsi"/>
          <w:b/>
          <w:bCs/>
          <w:sz w:val="22"/>
          <w:szCs w:val="22"/>
        </w:rPr>
        <w:t xml:space="preserve">uantitative </w:t>
      </w:r>
      <w:r w:rsidR="00A338D6">
        <w:rPr>
          <w:rFonts w:asciiTheme="minorHAnsi" w:hAnsiTheme="minorHAnsi" w:cstheme="minorHAnsi"/>
          <w:b/>
          <w:bCs/>
          <w:sz w:val="22"/>
          <w:szCs w:val="22"/>
        </w:rPr>
        <w:t>FDG</w:t>
      </w:r>
      <w:r w:rsidR="00A338D6">
        <w:rPr>
          <w:rFonts w:asciiTheme="minorHAnsi" w:hAnsiTheme="minorHAnsi" w:cstheme="minorHAnsi"/>
          <w:sz w:val="22"/>
          <w:szCs w:val="22"/>
        </w:rPr>
        <w:t xml:space="preserve"> </w:t>
      </w:r>
      <w:r w:rsidR="00A338D6" w:rsidRPr="000F1283">
        <w:rPr>
          <w:rFonts w:asciiTheme="minorHAnsi" w:hAnsiTheme="minorHAnsi" w:cstheme="minorHAnsi"/>
          <w:b/>
          <w:bCs/>
          <w:sz w:val="22"/>
          <w:szCs w:val="22"/>
        </w:rPr>
        <w:t>Tumour Targeting</w:t>
      </w:r>
    </w:p>
    <w:p w14:paraId="0CBE770F" w14:textId="7364C0CE" w:rsidR="00A338D6" w:rsidRDefault="00A338D6" w:rsidP="00632FB8">
      <w:pPr>
        <w:pStyle w:val="Default"/>
        <w:ind w:left="397"/>
        <w:jc w:val="both"/>
        <w:rPr>
          <w:rFonts w:asciiTheme="minorHAnsi" w:hAnsiTheme="minorHAnsi" w:cstheme="minorHAnsi"/>
          <w:sz w:val="22"/>
          <w:szCs w:val="22"/>
        </w:rPr>
      </w:pPr>
    </w:p>
    <w:p w14:paraId="39F00900" w14:textId="702DA79A" w:rsidR="00A338D6" w:rsidRPr="000F1283" w:rsidRDefault="00A338D6" w:rsidP="00632FB8">
      <w:pPr>
        <w:pStyle w:val="Default"/>
        <w:jc w:val="both"/>
        <w:rPr>
          <w:rFonts w:asciiTheme="minorHAnsi" w:hAnsiTheme="minorHAnsi" w:cstheme="minorHAnsi"/>
          <w:b/>
          <w:bCs/>
          <w:sz w:val="21"/>
          <w:szCs w:val="21"/>
        </w:rPr>
      </w:pPr>
      <w:r w:rsidRPr="000F1283">
        <w:rPr>
          <w:rFonts w:asciiTheme="minorHAnsi" w:hAnsiTheme="minorHAnsi" w:cstheme="minorHAnsi"/>
          <w:sz w:val="22"/>
          <w:szCs w:val="22"/>
        </w:rPr>
        <w:t xml:space="preserve">Tumour vs mediastinal uptake ratio for </w:t>
      </w:r>
      <w:r w:rsidRPr="00632FB8">
        <w:rPr>
          <w:rFonts w:asciiTheme="minorHAnsi" w:hAnsiTheme="minorHAnsi" w:cstheme="minorHAnsi"/>
          <w:sz w:val="22"/>
          <w:szCs w:val="22"/>
        </w:rPr>
        <w:t>FDG</w:t>
      </w:r>
      <w:r w:rsidRPr="00A338D6">
        <w:rPr>
          <w:rFonts w:asciiTheme="minorHAnsi" w:hAnsiTheme="minorHAnsi" w:cstheme="minorHAnsi"/>
          <w:sz w:val="22"/>
          <w:szCs w:val="22"/>
        </w:rPr>
        <w:t xml:space="preserve"> </w:t>
      </w:r>
      <w:r w:rsidRPr="000F1283">
        <w:rPr>
          <w:rFonts w:asciiTheme="minorHAnsi" w:hAnsiTheme="minorHAnsi" w:cstheme="minorHAnsi"/>
          <w:sz w:val="22"/>
          <w:szCs w:val="22"/>
        </w:rPr>
        <w:t>PET</w:t>
      </w:r>
      <w:r>
        <w:rPr>
          <w:rFonts w:asciiTheme="minorHAnsi" w:hAnsiTheme="minorHAnsi" w:cstheme="minorHAnsi"/>
          <w:sz w:val="22"/>
          <w:szCs w:val="22"/>
        </w:rPr>
        <w:t>/CT</w:t>
      </w:r>
      <w:r w:rsidRPr="000F1283">
        <w:rPr>
          <w:rFonts w:asciiTheme="minorHAnsi" w:hAnsiTheme="minorHAnsi" w:cstheme="minorHAnsi"/>
          <w:sz w:val="22"/>
          <w:szCs w:val="22"/>
        </w:rPr>
        <w:t xml:space="preserve"> will be calculated</w:t>
      </w:r>
      <w:r>
        <w:rPr>
          <w:rFonts w:asciiTheme="minorHAnsi" w:hAnsiTheme="minorHAnsi" w:cstheme="minorHAnsi"/>
          <w:sz w:val="22"/>
          <w:szCs w:val="22"/>
        </w:rPr>
        <w:t xml:space="preserve">. Results will be reported as 0, 1, 2, or 3 for no, low, intermediate, or high </w:t>
      </w:r>
      <w:r w:rsidRPr="00632FB8">
        <w:rPr>
          <w:rFonts w:asciiTheme="minorHAnsi" w:hAnsiTheme="minorHAnsi" w:cstheme="minorHAnsi"/>
          <w:sz w:val="22"/>
          <w:szCs w:val="22"/>
        </w:rPr>
        <w:t>FDG</w:t>
      </w:r>
      <w:r w:rsidRPr="00A338D6">
        <w:rPr>
          <w:rFonts w:asciiTheme="minorHAnsi" w:hAnsiTheme="minorHAnsi" w:cstheme="minorHAnsi"/>
          <w:sz w:val="22"/>
          <w:szCs w:val="22"/>
        </w:rPr>
        <w:t xml:space="preserve"> </w:t>
      </w:r>
      <w:r>
        <w:rPr>
          <w:rFonts w:asciiTheme="minorHAnsi" w:hAnsiTheme="minorHAnsi" w:cstheme="minorHAnsi"/>
          <w:sz w:val="22"/>
          <w:szCs w:val="22"/>
        </w:rPr>
        <w:t xml:space="preserve">uptake. Scores 2 and 3 are empirically considered typical for metastatic lesions. </w:t>
      </w:r>
      <w:r w:rsidRPr="000F1283">
        <w:rPr>
          <w:rFonts w:asciiTheme="minorHAnsi" w:hAnsiTheme="minorHAnsi" w:cstheme="minorHAnsi"/>
          <w:sz w:val="22"/>
          <w:szCs w:val="22"/>
        </w:rPr>
        <w:t xml:space="preserve"> </w:t>
      </w:r>
    </w:p>
    <w:p w14:paraId="7B45A5A1" w14:textId="77777777" w:rsidR="00A338D6" w:rsidRPr="00632FB8" w:rsidRDefault="00A338D6" w:rsidP="00632FB8">
      <w:pPr>
        <w:pStyle w:val="Default"/>
        <w:ind w:left="397"/>
        <w:jc w:val="both"/>
        <w:rPr>
          <w:rFonts w:asciiTheme="minorHAnsi" w:hAnsiTheme="minorHAnsi" w:cstheme="minorHAnsi"/>
          <w:sz w:val="22"/>
          <w:szCs w:val="22"/>
        </w:rPr>
      </w:pPr>
    </w:p>
    <w:p w14:paraId="07A6DE13"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sz w:val="22"/>
          <w:szCs w:val="22"/>
        </w:rPr>
        <w:t xml:space="preserve">8.3 Determination of Histological Standard of Truth </w:t>
      </w:r>
    </w:p>
    <w:p w14:paraId="23EEE4FA" w14:textId="77777777" w:rsidR="00A338D6" w:rsidRDefault="00A338D6" w:rsidP="00DE0565">
      <w:pPr>
        <w:pStyle w:val="Default"/>
        <w:ind w:left="397"/>
        <w:rPr>
          <w:rFonts w:asciiTheme="minorHAnsi" w:hAnsiTheme="minorHAnsi" w:cstheme="minorHAnsi"/>
          <w:sz w:val="22"/>
          <w:szCs w:val="22"/>
        </w:rPr>
      </w:pPr>
    </w:p>
    <w:p w14:paraId="25043B23" w14:textId="0D1F0FA9" w:rsidR="00A338D6" w:rsidRDefault="00A338D6" w:rsidP="00632FB8">
      <w:pPr>
        <w:pStyle w:val="Default"/>
        <w:jc w:val="both"/>
        <w:rPr>
          <w:rFonts w:asciiTheme="minorHAnsi" w:hAnsiTheme="minorHAnsi" w:cstheme="minorHAnsi"/>
          <w:sz w:val="22"/>
          <w:szCs w:val="22"/>
        </w:rPr>
      </w:pPr>
      <w:r>
        <w:rPr>
          <w:rFonts w:asciiTheme="minorHAnsi" w:hAnsiTheme="minorHAnsi" w:cstheme="minorHAnsi"/>
          <w:sz w:val="22"/>
          <w:szCs w:val="22"/>
        </w:rPr>
        <w:t xml:space="preserve">Newly diagnosed urothelial carcinoma or bladder cancer patients who do not have distant metastasis on FDG PET imaging will proceed with cystectomy and pelvic lymphadenectomy as part of standard of care. </w:t>
      </w:r>
    </w:p>
    <w:p w14:paraId="58877CB4" w14:textId="77777777" w:rsidR="00A338D6" w:rsidRDefault="00A338D6" w:rsidP="00632FB8">
      <w:pPr>
        <w:pStyle w:val="Default"/>
        <w:ind w:left="397"/>
        <w:jc w:val="both"/>
        <w:rPr>
          <w:rFonts w:asciiTheme="minorHAnsi" w:hAnsiTheme="minorHAnsi" w:cstheme="minorHAnsi"/>
          <w:sz w:val="22"/>
          <w:szCs w:val="22"/>
        </w:rPr>
      </w:pPr>
    </w:p>
    <w:p w14:paraId="1217E012" w14:textId="1140CB59"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8.3.1 Pathology Assessment </w:t>
      </w:r>
    </w:p>
    <w:p w14:paraId="5755B264" w14:textId="77777777" w:rsidR="00A338D6" w:rsidRPr="00632FB8" w:rsidRDefault="00A338D6" w:rsidP="00632FB8">
      <w:pPr>
        <w:pStyle w:val="Default"/>
        <w:ind w:left="397"/>
        <w:rPr>
          <w:rFonts w:asciiTheme="minorHAnsi" w:hAnsiTheme="minorHAnsi" w:cstheme="minorHAnsi"/>
          <w:sz w:val="22"/>
          <w:szCs w:val="22"/>
        </w:rPr>
      </w:pPr>
    </w:p>
    <w:p w14:paraId="183992D7" w14:textId="7BA87406" w:rsidR="00A338D6"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Surgical resection material, along with appropriate documentation of its </w:t>
      </w:r>
      <w:r w:rsidRPr="00660135">
        <w:rPr>
          <w:rFonts w:asciiTheme="minorHAnsi" w:hAnsiTheme="minorHAnsi" w:cstheme="minorHAnsi"/>
          <w:i/>
          <w:iCs/>
          <w:sz w:val="22"/>
          <w:szCs w:val="22"/>
        </w:rPr>
        <w:t>in</w:t>
      </w:r>
      <w:r w:rsidR="00A338D6" w:rsidRPr="00660135">
        <w:rPr>
          <w:rFonts w:asciiTheme="minorHAnsi" w:hAnsiTheme="minorHAnsi" w:cstheme="minorHAnsi"/>
          <w:i/>
          <w:iCs/>
          <w:sz w:val="22"/>
          <w:szCs w:val="22"/>
        </w:rPr>
        <w:t>-</w:t>
      </w:r>
      <w:r w:rsidRPr="00660135">
        <w:rPr>
          <w:rFonts w:asciiTheme="minorHAnsi" w:hAnsiTheme="minorHAnsi" w:cstheme="minorHAnsi"/>
          <w:i/>
          <w:iCs/>
          <w:sz w:val="22"/>
          <w:szCs w:val="22"/>
        </w:rPr>
        <w:t>situ</w:t>
      </w:r>
      <w:r w:rsidRPr="00632FB8">
        <w:rPr>
          <w:rFonts w:asciiTheme="minorHAnsi" w:hAnsiTheme="minorHAnsi" w:cstheme="minorHAnsi"/>
          <w:sz w:val="22"/>
          <w:szCs w:val="22"/>
        </w:rPr>
        <w:t xml:space="preserve"> origin, allowing identification with lesion localisation on PET</w:t>
      </w:r>
      <w:r w:rsidR="00DA7693">
        <w:rPr>
          <w:rFonts w:asciiTheme="minorHAnsi" w:hAnsiTheme="minorHAnsi" w:cstheme="minorHAnsi"/>
          <w:sz w:val="22"/>
          <w:szCs w:val="22"/>
        </w:rPr>
        <w:t>/CT</w:t>
      </w:r>
      <w:r w:rsidRPr="00632FB8">
        <w:rPr>
          <w:rFonts w:asciiTheme="minorHAnsi" w:hAnsiTheme="minorHAnsi" w:cstheme="minorHAnsi"/>
          <w:sz w:val="22"/>
          <w:szCs w:val="22"/>
        </w:rPr>
        <w:t xml:space="preserve"> images will be sent to the local pathology department for routine histological work-up (H&amp;E staining, histological diagnosis</w:t>
      </w:r>
      <w:r w:rsidR="00A338D6">
        <w:rPr>
          <w:rFonts w:asciiTheme="minorHAnsi" w:hAnsiTheme="minorHAnsi" w:cstheme="minorHAnsi"/>
          <w:sz w:val="22"/>
          <w:szCs w:val="22"/>
        </w:rPr>
        <w:t xml:space="preserve">). The determination of pelvic lymph node histology would be used as standard of truth for comparison with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00A338D6">
        <w:rPr>
          <w:rFonts w:asciiTheme="minorHAnsi" w:hAnsiTheme="minorHAnsi" w:cstheme="minorHAnsi"/>
          <w:sz w:val="22"/>
          <w:szCs w:val="22"/>
        </w:rPr>
        <w:t>and FDG PET</w:t>
      </w:r>
      <w:r w:rsidR="00DA7693">
        <w:rPr>
          <w:rFonts w:asciiTheme="minorHAnsi" w:hAnsiTheme="minorHAnsi" w:cstheme="minorHAnsi"/>
          <w:sz w:val="22"/>
          <w:szCs w:val="22"/>
        </w:rPr>
        <w:t>/CT</w:t>
      </w:r>
      <w:r w:rsidR="00A338D6">
        <w:rPr>
          <w:rFonts w:asciiTheme="minorHAnsi" w:hAnsiTheme="minorHAnsi" w:cstheme="minorHAnsi"/>
          <w:sz w:val="22"/>
          <w:szCs w:val="22"/>
        </w:rPr>
        <w:t xml:space="preserve"> </w:t>
      </w:r>
      <w:r w:rsidR="00A338D6" w:rsidRPr="000F1283">
        <w:rPr>
          <w:rFonts w:asciiTheme="minorHAnsi" w:hAnsiTheme="minorHAnsi" w:cstheme="minorHAnsi"/>
          <w:sz w:val="22"/>
          <w:szCs w:val="22"/>
        </w:rPr>
        <w:t>imaging</w:t>
      </w:r>
      <w:r w:rsidR="00A338D6">
        <w:rPr>
          <w:rFonts w:asciiTheme="minorHAnsi" w:hAnsiTheme="minorHAnsi" w:cstheme="minorHAnsi"/>
          <w:sz w:val="22"/>
          <w:szCs w:val="22"/>
        </w:rPr>
        <w:t xml:space="preserve">. Bladder histology </w:t>
      </w:r>
      <w:r w:rsidR="009A25D6">
        <w:rPr>
          <w:rFonts w:asciiTheme="minorHAnsi" w:hAnsiTheme="minorHAnsi" w:cstheme="minorHAnsi"/>
          <w:sz w:val="22"/>
          <w:szCs w:val="22"/>
        </w:rPr>
        <w:t xml:space="preserve">will </w:t>
      </w:r>
      <w:r w:rsidR="00A338D6">
        <w:rPr>
          <w:rFonts w:asciiTheme="minorHAnsi" w:hAnsiTheme="minorHAnsi" w:cstheme="minorHAnsi"/>
          <w:sz w:val="22"/>
          <w:szCs w:val="22"/>
        </w:rPr>
        <w:t xml:space="preserve">be compared to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00A338D6">
        <w:rPr>
          <w:rFonts w:asciiTheme="minorHAnsi" w:hAnsiTheme="minorHAnsi" w:cstheme="minorHAnsi"/>
          <w:sz w:val="22"/>
          <w:szCs w:val="22"/>
        </w:rPr>
        <w:t>and FDG PET</w:t>
      </w:r>
      <w:r w:rsidR="00DA7693">
        <w:rPr>
          <w:rFonts w:asciiTheme="minorHAnsi" w:hAnsiTheme="minorHAnsi" w:cstheme="minorHAnsi"/>
          <w:sz w:val="22"/>
          <w:szCs w:val="22"/>
        </w:rPr>
        <w:t>/CT</w:t>
      </w:r>
      <w:r w:rsidR="00A338D6">
        <w:rPr>
          <w:rFonts w:asciiTheme="minorHAnsi" w:hAnsiTheme="minorHAnsi" w:cstheme="minorHAnsi"/>
          <w:sz w:val="22"/>
          <w:szCs w:val="22"/>
        </w:rPr>
        <w:t xml:space="preserve"> imaging to determine if primary tumour was detected. </w:t>
      </w:r>
    </w:p>
    <w:p w14:paraId="285677A1" w14:textId="1BB47924" w:rsidR="00A338D6"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sz w:val="22"/>
          <w:szCs w:val="22"/>
        </w:rPr>
        <w:t xml:space="preserve"> </w:t>
      </w:r>
    </w:p>
    <w:p w14:paraId="529E4065" w14:textId="3BABF25B"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8.4 Diagnostic Performance </w:t>
      </w:r>
    </w:p>
    <w:p w14:paraId="4E7D5F2E" w14:textId="77777777" w:rsidR="00A338D6" w:rsidRPr="00632FB8" w:rsidRDefault="00A338D6" w:rsidP="00632FB8">
      <w:pPr>
        <w:pStyle w:val="Default"/>
        <w:ind w:left="397"/>
        <w:rPr>
          <w:rFonts w:asciiTheme="minorHAnsi" w:hAnsiTheme="minorHAnsi" w:cstheme="minorHAnsi"/>
          <w:sz w:val="22"/>
          <w:szCs w:val="22"/>
        </w:rPr>
      </w:pPr>
    </w:p>
    <w:p w14:paraId="1C194633" w14:textId="356F6617"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lastRenderedPageBreak/>
        <w:t xml:space="preserve">Test performance parameters (sensitivity, specificity, positive and negative predictive values, accuracy), will be determined considering visually determined qualitatitive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tumour uptake (yes/no), </w:t>
      </w:r>
      <w:r w:rsidR="00A338D6">
        <w:rPr>
          <w:rFonts w:asciiTheme="minorHAnsi" w:hAnsiTheme="minorHAnsi" w:cstheme="minorHAnsi"/>
          <w:sz w:val="22"/>
          <w:szCs w:val="22"/>
        </w:rPr>
        <w:t xml:space="preserve">qualitative FDG tumour uptake (yes/no), </w:t>
      </w:r>
      <w:r w:rsidRPr="00632FB8">
        <w:rPr>
          <w:rFonts w:asciiTheme="minorHAnsi" w:hAnsiTheme="minorHAnsi" w:cstheme="minorHAnsi"/>
          <w:sz w:val="22"/>
          <w:szCs w:val="22"/>
        </w:rPr>
        <w:t>and histopathology (</w:t>
      </w:r>
      <w:r w:rsidR="00A338D6">
        <w:rPr>
          <w:rFonts w:asciiTheme="minorHAnsi" w:hAnsiTheme="minorHAnsi" w:cstheme="minorHAnsi"/>
          <w:sz w:val="22"/>
          <w:szCs w:val="22"/>
        </w:rPr>
        <w:t>lymph nodes positive / negative for tumour).</w:t>
      </w:r>
    </w:p>
    <w:p w14:paraId="3B6C0FEE" w14:textId="77777777" w:rsidR="00A338D6" w:rsidRPr="00632FB8" w:rsidRDefault="00A338D6" w:rsidP="00632FB8">
      <w:pPr>
        <w:pStyle w:val="Default"/>
        <w:ind w:left="397"/>
        <w:rPr>
          <w:rFonts w:asciiTheme="minorHAnsi" w:hAnsiTheme="minorHAnsi" w:cstheme="minorHAnsi"/>
          <w:sz w:val="22"/>
          <w:szCs w:val="22"/>
        </w:rPr>
      </w:pPr>
    </w:p>
    <w:p w14:paraId="10A6CE66" w14:textId="34A50F13"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8.5 Safety Evaluation </w:t>
      </w:r>
    </w:p>
    <w:p w14:paraId="3B401854" w14:textId="77777777" w:rsidR="00A338D6" w:rsidRPr="00632FB8" w:rsidRDefault="00A338D6" w:rsidP="00632FB8">
      <w:pPr>
        <w:pStyle w:val="Default"/>
        <w:ind w:left="397"/>
        <w:rPr>
          <w:rFonts w:asciiTheme="minorHAnsi" w:hAnsiTheme="minorHAnsi" w:cstheme="minorHAnsi"/>
          <w:sz w:val="22"/>
          <w:szCs w:val="22"/>
        </w:rPr>
      </w:pPr>
    </w:p>
    <w:p w14:paraId="50245439" w14:textId="77777777" w:rsidR="009A25D6" w:rsidRPr="00700366" w:rsidRDefault="009A25D6" w:rsidP="009A25D6">
      <w:pPr>
        <w:spacing w:after="0" w:line="240" w:lineRule="auto"/>
        <w:ind w:right="-30"/>
        <w:jc w:val="both"/>
      </w:pPr>
      <w:r w:rsidRPr="00700366">
        <w:t xml:space="preserve">Clinical experience in 40 patients </w:t>
      </w:r>
      <w:r>
        <w:t>administered with</w:t>
      </w:r>
      <w:r w:rsidRPr="00700366">
        <w:t xml:space="preserve"> </w:t>
      </w:r>
      <w:r w:rsidRPr="004727CB">
        <w:rPr>
          <w:vertAlign w:val="superscript"/>
        </w:rPr>
        <w:t>89</w:t>
      </w:r>
      <w:r w:rsidRPr="004727CB">
        <w:t>Zr-TLX250</w:t>
      </w:r>
      <w:r>
        <w:t xml:space="preserve"> </w:t>
      </w:r>
      <w:r w:rsidRPr="00700366">
        <w:t>as a single dose</w:t>
      </w:r>
      <w:r>
        <w:t>,</w:t>
      </w:r>
      <w:r w:rsidRPr="00700366">
        <w:t xml:space="preserve"> </w:t>
      </w:r>
      <w:r>
        <w:t xml:space="preserve">reported </w:t>
      </w:r>
      <w:r w:rsidRPr="00700366">
        <w:t xml:space="preserve">mild nausea, which is an expected side effect of girentuximab. </w:t>
      </w:r>
    </w:p>
    <w:p w14:paraId="1CBFF609" w14:textId="77777777" w:rsidR="009A25D6" w:rsidRDefault="009A25D6" w:rsidP="009A25D6">
      <w:pPr>
        <w:spacing w:after="0" w:line="240" w:lineRule="auto"/>
        <w:ind w:right="-30"/>
        <w:jc w:val="both"/>
      </w:pPr>
    </w:p>
    <w:p w14:paraId="0B4E7D42" w14:textId="77777777" w:rsidR="009A25D6" w:rsidRPr="00700366" w:rsidRDefault="009A25D6" w:rsidP="009A25D6">
      <w:pPr>
        <w:spacing w:after="0" w:line="240" w:lineRule="auto"/>
        <w:ind w:right="-30"/>
        <w:jc w:val="both"/>
      </w:pPr>
      <w:r w:rsidRPr="00700366">
        <w:t xml:space="preserve">The following </w:t>
      </w:r>
      <w:r>
        <w:t xml:space="preserve">side effects </w:t>
      </w:r>
      <w:r w:rsidRPr="00700366">
        <w:t>have</w:t>
      </w:r>
      <w:r>
        <w:t xml:space="preserve"> also</w:t>
      </w:r>
      <w:r w:rsidRPr="00700366">
        <w:t xml:space="preserve"> been observed with </w:t>
      </w:r>
      <w:r w:rsidRPr="004727CB">
        <w:rPr>
          <w:vertAlign w:val="superscript"/>
        </w:rPr>
        <w:t>89</w:t>
      </w:r>
      <w:r w:rsidRPr="004727CB">
        <w:t>Zr-TLX250</w:t>
      </w:r>
      <w:r>
        <w:t xml:space="preserve"> </w:t>
      </w:r>
      <w:r w:rsidRPr="00700366">
        <w:t xml:space="preserve">but, the study doctor considered these unlikely or not related to the study treatment: </w:t>
      </w:r>
    </w:p>
    <w:p w14:paraId="5D27F31D"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Diarrhoea</w:t>
      </w:r>
    </w:p>
    <w:p w14:paraId="60A68AD5"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Urinary tract infection</w:t>
      </w:r>
    </w:p>
    <w:p w14:paraId="7028EB69"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Common cold</w:t>
      </w:r>
    </w:p>
    <w:p w14:paraId="6CDC19C5"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 xml:space="preserve">Monoclonal gammopathy (condition where abnormal proteins (antibodies) are found in the blood) </w:t>
      </w:r>
    </w:p>
    <w:p w14:paraId="52D599DE"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 xml:space="preserve">Headache </w:t>
      </w:r>
    </w:p>
    <w:p w14:paraId="677CCADD" w14:textId="77777777" w:rsidR="009A25D6" w:rsidRPr="004727CB" w:rsidRDefault="009A25D6" w:rsidP="009A25D6">
      <w:pPr>
        <w:pStyle w:val="ListParagraph"/>
        <w:widowControl w:val="0"/>
        <w:numPr>
          <w:ilvl w:val="0"/>
          <w:numId w:val="61"/>
        </w:numPr>
        <w:tabs>
          <w:tab w:val="left" w:pos="284"/>
        </w:tabs>
        <w:autoSpaceDE w:val="0"/>
        <w:autoSpaceDN w:val="0"/>
        <w:spacing w:after="0" w:line="240" w:lineRule="auto"/>
        <w:ind w:left="284" w:right="73" w:hanging="284"/>
        <w:contextualSpacing w:val="0"/>
      </w:pPr>
      <w:r w:rsidRPr="004727CB">
        <w:t>Flank pain (discomfort in your upper abdomen or back and sides)</w:t>
      </w:r>
    </w:p>
    <w:p w14:paraId="50CF4941" w14:textId="77777777" w:rsidR="009A25D6" w:rsidRDefault="009A25D6" w:rsidP="00BF49CE">
      <w:pPr>
        <w:pStyle w:val="Default"/>
        <w:rPr>
          <w:rFonts w:asciiTheme="minorHAnsi" w:hAnsiTheme="minorHAnsi" w:cstheme="minorHAnsi"/>
          <w:sz w:val="22"/>
          <w:szCs w:val="22"/>
        </w:rPr>
      </w:pPr>
    </w:p>
    <w:p w14:paraId="6A48D78C" w14:textId="0877FBC6"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As extensive safety information on </w:t>
      </w:r>
      <w:r w:rsidR="00DA7693" w:rsidRPr="009D2267">
        <w:rPr>
          <w:rFonts w:asciiTheme="minorHAnsi" w:hAnsiTheme="minorHAnsi" w:cstheme="minorHAnsi"/>
          <w:bCs/>
          <w:sz w:val="22"/>
          <w:szCs w:val="22"/>
          <w:vertAlign w:val="superscript"/>
        </w:rPr>
        <w:t>89</w:t>
      </w:r>
      <w:r w:rsidR="00DA7693" w:rsidRPr="009D2267">
        <w:rPr>
          <w:rFonts w:asciiTheme="minorHAnsi" w:hAnsiTheme="minorHAnsi" w:cstheme="minorHAnsi"/>
          <w:bCs/>
          <w:sz w:val="22"/>
          <w:szCs w:val="22"/>
        </w:rPr>
        <w:t>Zr-TLX250</w:t>
      </w:r>
      <w:r w:rsidR="00DA7693">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and on girentuximab radiolabelled with other radionuclides is </w:t>
      </w:r>
      <w:r w:rsidR="009A25D6">
        <w:rPr>
          <w:rFonts w:asciiTheme="minorHAnsi" w:hAnsiTheme="minorHAnsi" w:cstheme="minorHAnsi"/>
          <w:sz w:val="22"/>
          <w:szCs w:val="22"/>
        </w:rPr>
        <w:t>also</w:t>
      </w:r>
      <w:r w:rsidR="009A25D6" w:rsidRPr="00632FB8">
        <w:rPr>
          <w:rFonts w:asciiTheme="minorHAnsi" w:hAnsiTheme="minorHAnsi" w:cstheme="minorHAnsi"/>
          <w:sz w:val="22"/>
          <w:szCs w:val="22"/>
        </w:rPr>
        <w:t xml:space="preserve"> </w:t>
      </w:r>
      <w:r w:rsidRPr="00632FB8">
        <w:rPr>
          <w:rFonts w:asciiTheme="minorHAnsi" w:hAnsiTheme="minorHAnsi" w:cstheme="minorHAnsi"/>
          <w:sz w:val="22"/>
          <w:szCs w:val="22"/>
        </w:rPr>
        <w:t xml:space="preserve">available, only the following basic standard safety evaluations will be made: </w:t>
      </w:r>
    </w:p>
    <w:p w14:paraId="0782146B" w14:textId="1BC21B6A" w:rsidR="00DE0565" w:rsidRPr="00632FB8" w:rsidRDefault="00DE0565" w:rsidP="00632FB8">
      <w:pPr>
        <w:pStyle w:val="Default"/>
        <w:numPr>
          <w:ilvl w:val="0"/>
          <w:numId w:val="59"/>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Standard laboratory (hematology, clinical chemistry and urinalysis) </w:t>
      </w:r>
    </w:p>
    <w:p w14:paraId="2455F855" w14:textId="00A27E9D" w:rsidR="00DE0565" w:rsidRPr="00632FB8" w:rsidRDefault="00DE0565" w:rsidP="00632FB8">
      <w:pPr>
        <w:pStyle w:val="Default"/>
        <w:numPr>
          <w:ilvl w:val="0"/>
          <w:numId w:val="59"/>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Physical examination </w:t>
      </w:r>
    </w:p>
    <w:p w14:paraId="112495D8" w14:textId="74DFFCFD" w:rsidR="00DE0565" w:rsidRPr="00632FB8" w:rsidRDefault="00DE0565" w:rsidP="00632FB8">
      <w:pPr>
        <w:pStyle w:val="Default"/>
        <w:numPr>
          <w:ilvl w:val="0"/>
          <w:numId w:val="58"/>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12-lead ECG </w:t>
      </w:r>
    </w:p>
    <w:p w14:paraId="43954574" w14:textId="4FF95957" w:rsidR="00DE0565" w:rsidRPr="00632FB8" w:rsidRDefault="00DE0565" w:rsidP="00632FB8">
      <w:pPr>
        <w:pStyle w:val="Default"/>
        <w:numPr>
          <w:ilvl w:val="0"/>
          <w:numId w:val="58"/>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Vital signs </w:t>
      </w:r>
    </w:p>
    <w:p w14:paraId="50963FA4" w14:textId="2BE54555" w:rsidR="00DE0565" w:rsidRPr="00632FB8" w:rsidRDefault="00DE0565" w:rsidP="00632FB8">
      <w:pPr>
        <w:pStyle w:val="Default"/>
        <w:numPr>
          <w:ilvl w:val="0"/>
          <w:numId w:val="58"/>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Adverse event recording (NCI-CTCAE v 5.0) </w:t>
      </w:r>
    </w:p>
    <w:p w14:paraId="41121069" w14:textId="15A1A8D8" w:rsidR="00DE0565" w:rsidRDefault="00DE0565" w:rsidP="00632FB8">
      <w:pPr>
        <w:pStyle w:val="Default"/>
        <w:numPr>
          <w:ilvl w:val="0"/>
          <w:numId w:val="58"/>
        </w:numPr>
        <w:ind w:left="357" w:firstLine="0"/>
        <w:rPr>
          <w:rFonts w:asciiTheme="minorHAnsi" w:hAnsiTheme="minorHAnsi" w:cstheme="minorHAnsi"/>
          <w:sz w:val="22"/>
          <w:szCs w:val="22"/>
        </w:rPr>
      </w:pPr>
      <w:r w:rsidRPr="00632FB8">
        <w:rPr>
          <w:rFonts w:asciiTheme="minorHAnsi" w:hAnsiTheme="minorHAnsi" w:cstheme="minorHAnsi"/>
          <w:sz w:val="22"/>
          <w:szCs w:val="22"/>
        </w:rPr>
        <w:t xml:space="preserve">Concomitant medication recording </w:t>
      </w:r>
    </w:p>
    <w:p w14:paraId="6EDC059B" w14:textId="77777777" w:rsidR="007142E3" w:rsidRPr="00632FB8" w:rsidRDefault="007142E3" w:rsidP="00632FB8">
      <w:pPr>
        <w:pStyle w:val="Default"/>
        <w:ind w:left="1440"/>
        <w:rPr>
          <w:rFonts w:asciiTheme="minorHAnsi" w:hAnsiTheme="minorHAnsi" w:cstheme="minorHAnsi"/>
          <w:sz w:val="22"/>
          <w:szCs w:val="22"/>
        </w:rPr>
      </w:pPr>
    </w:p>
    <w:p w14:paraId="6D0C64EF" w14:textId="562F4EF5"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8.6 Sample Shipment </w:t>
      </w:r>
    </w:p>
    <w:p w14:paraId="6FF4FA9F" w14:textId="77777777" w:rsidR="00A338D6" w:rsidRPr="00632FB8" w:rsidRDefault="00A338D6" w:rsidP="00632FB8">
      <w:pPr>
        <w:pStyle w:val="Default"/>
        <w:ind w:left="397"/>
        <w:rPr>
          <w:rFonts w:asciiTheme="minorHAnsi" w:hAnsiTheme="minorHAnsi" w:cstheme="minorHAnsi"/>
          <w:sz w:val="22"/>
          <w:szCs w:val="22"/>
        </w:rPr>
      </w:pPr>
    </w:p>
    <w:p w14:paraId="0F890808" w14:textId="1A93C8C0"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Study product will be shipped as requested to the site in patient specific vials in appropriately shielded containers. Product accountability will be monitored during the study with the appropriate study specific form. </w:t>
      </w:r>
    </w:p>
    <w:p w14:paraId="375077C1" w14:textId="77777777" w:rsidR="00A338D6" w:rsidRPr="00632FB8" w:rsidRDefault="00A338D6" w:rsidP="00632FB8">
      <w:pPr>
        <w:pStyle w:val="Default"/>
        <w:ind w:left="397"/>
        <w:rPr>
          <w:rFonts w:asciiTheme="minorHAnsi" w:hAnsiTheme="minorHAnsi" w:cstheme="minorHAnsi"/>
          <w:sz w:val="22"/>
          <w:szCs w:val="22"/>
        </w:rPr>
      </w:pPr>
    </w:p>
    <w:p w14:paraId="3F724E4F" w14:textId="5AFC48B4" w:rsidR="007142E3"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8.7 Sample Retention/Destruction</w:t>
      </w:r>
    </w:p>
    <w:p w14:paraId="1705E144" w14:textId="1F32FE00"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 </w:t>
      </w:r>
    </w:p>
    <w:p w14:paraId="6DA56EC2" w14:textId="37213571" w:rsidR="00DE0565" w:rsidRPr="00556D59" w:rsidRDefault="00A257FA" w:rsidP="00632FB8">
      <w:pPr>
        <w:tabs>
          <w:tab w:val="left" w:pos="1185"/>
        </w:tabs>
        <w:spacing w:line="240" w:lineRule="auto"/>
        <w:jc w:val="both"/>
        <w:rPr>
          <w:rFonts w:cstheme="minorHAnsi"/>
        </w:rPr>
      </w:pPr>
      <w:r>
        <w:rPr>
          <w:rFonts w:cstheme="minorHAnsi"/>
        </w:rPr>
        <w:t>Baseline b</w:t>
      </w:r>
      <w:r w:rsidR="00DE0565" w:rsidRPr="00305BC5">
        <w:rPr>
          <w:rFonts w:cstheme="minorHAnsi"/>
        </w:rPr>
        <w:t>lood and urine samples will be processed</w:t>
      </w:r>
      <w:r>
        <w:rPr>
          <w:rFonts w:cstheme="minorHAnsi"/>
        </w:rPr>
        <w:t xml:space="preserve"> routinely and n</w:t>
      </w:r>
      <w:r w:rsidR="00DE0565" w:rsidRPr="00305BC5">
        <w:rPr>
          <w:rFonts w:cstheme="minorHAnsi"/>
        </w:rPr>
        <w:t>o samples will be ret</w:t>
      </w:r>
      <w:r w:rsidR="007142E3">
        <w:rPr>
          <w:rFonts w:cstheme="minorHAnsi"/>
        </w:rPr>
        <w:t>a</w:t>
      </w:r>
      <w:r w:rsidR="00DE0565" w:rsidRPr="00305BC5">
        <w:rPr>
          <w:rFonts w:cstheme="minorHAnsi"/>
        </w:rPr>
        <w:t xml:space="preserve">ined. </w:t>
      </w:r>
      <w:r w:rsidR="009A25D6">
        <w:rPr>
          <w:rFonts w:cstheme="minorHAnsi"/>
        </w:rPr>
        <w:t>If the patient consents, PET/CT images may be used in future research for which there is no defined plan as yet.</w:t>
      </w:r>
    </w:p>
    <w:p w14:paraId="0F0B176F" w14:textId="78E4AD33"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 Safety </w:t>
      </w:r>
    </w:p>
    <w:p w14:paraId="77D5837F" w14:textId="77777777" w:rsidR="00A338D6" w:rsidRPr="00632FB8" w:rsidRDefault="00A338D6" w:rsidP="00632FB8">
      <w:pPr>
        <w:pStyle w:val="Default"/>
        <w:ind w:left="397"/>
        <w:rPr>
          <w:rFonts w:asciiTheme="minorHAnsi" w:hAnsiTheme="minorHAnsi" w:cstheme="minorHAnsi"/>
          <w:sz w:val="22"/>
          <w:szCs w:val="22"/>
        </w:rPr>
      </w:pPr>
    </w:p>
    <w:p w14:paraId="378EA76F" w14:textId="552296A5"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8.8.1 Baseline Findings </w:t>
      </w:r>
    </w:p>
    <w:p w14:paraId="2AFA2D5B" w14:textId="77777777" w:rsidR="00A338D6" w:rsidRPr="00632FB8" w:rsidRDefault="00A338D6" w:rsidP="00632FB8">
      <w:pPr>
        <w:pStyle w:val="Default"/>
        <w:ind w:left="397"/>
        <w:rPr>
          <w:rFonts w:asciiTheme="minorHAnsi" w:hAnsiTheme="minorHAnsi" w:cstheme="minorHAnsi"/>
          <w:sz w:val="22"/>
          <w:szCs w:val="22"/>
        </w:rPr>
      </w:pPr>
    </w:p>
    <w:p w14:paraId="76BA2A4F" w14:textId="5AAAC7B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8.8.1.1 Definition of Baseline Finding </w:t>
      </w:r>
    </w:p>
    <w:p w14:paraId="02470AF0" w14:textId="77777777" w:rsidR="007142E3" w:rsidRPr="00632FB8" w:rsidRDefault="007142E3" w:rsidP="00BF49CE">
      <w:pPr>
        <w:pStyle w:val="Default"/>
        <w:rPr>
          <w:rFonts w:asciiTheme="minorHAnsi" w:hAnsiTheme="minorHAnsi" w:cstheme="minorHAnsi"/>
          <w:sz w:val="22"/>
          <w:szCs w:val="22"/>
        </w:rPr>
      </w:pPr>
    </w:p>
    <w:p w14:paraId="5EF6027F" w14:textId="507F1F2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 baseline finding is defined as any untoward medical condition in a study patient who has signed the informed consent form but not yet received the first dose of the study drug. This includes conditions stabilised by treatment. By definition, a baseline finding cannot be causally related to study drug; however, it may be causally related to the study (e.g. caused by study-conduct-related investigations). </w:t>
      </w:r>
    </w:p>
    <w:p w14:paraId="37D9E2C5" w14:textId="77777777" w:rsidR="00A338D6" w:rsidRPr="00632FB8" w:rsidRDefault="00A338D6" w:rsidP="00632FB8">
      <w:pPr>
        <w:pStyle w:val="Default"/>
        <w:ind w:left="397"/>
        <w:jc w:val="both"/>
        <w:rPr>
          <w:rFonts w:asciiTheme="minorHAnsi" w:hAnsiTheme="minorHAnsi" w:cstheme="minorHAnsi"/>
          <w:sz w:val="22"/>
          <w:szCs w:val="22"/>
        </w:rPr>
      </w:pPr>
    </w:p>
    <w:p w14:paraId="1ECAAE43" w14:textId="5255B248" w:rsidR="00DE0565" w:rsidRDefault="00DE0565" w:rsidP="00632FB8">
      <w:pPr>
        <w:pStyle w:val="Default"/>
        <w:jc w:val="both"/>
        <w:rPr>
          <w:rFonts w:asciiTheme="minorHAnsi" w:hAnsiTheme="minorHAnsi" w:cstheme="minorHAnsi"/>
          <w:i/>
          <w:iCs/>
          <w:sz w:val="22"/>
          <w:szCs w:val="22"/>
        </w:rPr>
      </w:pPr>
      <w:r w:rsidRPr="00632FB8">
        <w:rPr>
          <w:rFonts w:asciiTheme="minorHAnsi" w:hAnsiTheme="minorHAnsi" w:cstheme="minorHAnsi"/>
          <w:i/>
          <w:iCs/>
          <w:sz w:val="22"/>
          <w:szCs w:val="22"/>
        </w:rPr>
        <w:t xml:space="preserve">Differentiation between medical / surgical history and baseline findings: </w:t>
      </w:r>
    </w:p>
    <w:p w14:paraId="3CA56021" w14:textId="77777777" w:rsidR="00A338D6" w:rsidRPr="00632FB8" w:rsidRDefault="00A338D6" w:rsidP="00632FB8">
      <w:pPr>
        <w:pStyle w:val="Default"/>
        <w:ind w:left="397"/>
        <w:jc w:val="both"/>
        <w:rPr>
          <w:rFonts w:asciiTheme="minorHAnsi" w:hAnsiTheme="minorHAnsi" w:cstheme="minorHAnsi"/>
          <w:sz w:val="22"/>
          <w:szCs w:val="22"/>
        </w:rPr>
      </w:pPr>
    </w:p>
    <w:p w14:paraId="608BF7EF" w14:textId="5E78EE83"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Conditions which started before signature of informed consent and for which no symptoms or treatment are present until the first administration of study drug (e.g., seasonal allergy without acute complaints) are recorded as medical / surgical history. </w:t>
      </w:r>
    </w:p>
    <w:p w14:paraId="606308CE" w14:textId="77777777" w:rsidR="00A338D6" w:rsidRPr="00632FB8" w:rsidRDefault="00A338D6" w:rsidP="00632FB8">
      <w:pPr>
        <w:pStyle w:val="Default"/>
        <w:ind w:left="397"/>
        <w:jc w:val="both"/>
        <w:rPr>
          <w:rFonts w:asciiTheme="minorHAnsi" w:hAnsiTheme="minorHAnsi" w:cstheme="minorHAnsi"/>
          <w:sz w:val="22"/>
          <w:szCs w:val="22"/>
        </w:rPr>
      </w:pPr>
    </w:p>
    <w:p w14:paraId="74B3837B" w14:textId="3CDD78BB"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Conditions which started before signature of informed consent and for which symptoms or treatment are present between signature of informed consent and first administration of study drug (e.g. allergic pollinosis) are recorded as baseline findings. </w:t>
      </w:r>
    </w:p>
    <w:p w14:paraId="176D7D9F" w14:textId="77777777" w:rsidR="00A338D6" w:rsidRPr="00632FB8" w:rsidRDefault="00A338D6" w:rsidP="00632FB8">
      <w:pPr>
        <w:pStyle w:val="Default"/>
        <w:ind w:left="397"/>
        <w:jc w:val="both"/>
        <w:rPr>
          <w:rFonts w:asciiTheme="minorHAnsi" w:hAnsiTheme="minorHAnsi" w:cstheme="minorHAnsi"/>
          <w:sz w:val="22"/>
          <w:szCs w:val="22"/>
        </w:rPr>
      </w:pPr>
    </w:p>
    <w:p w14:paraId="25C808F6" w14:textId="2F65A203" w:rsidR="00DE0565" w:rsidRDefault="00DE0565" w:rsidP="00632FB8">
      <w:pPr>
        <w:pStyle w:val="Default"/>
        <w:jc w:val="both"/>
        <w:rPr>
          <w:rFonts w:asciiTheme="minorHAnsi" w:hAnsiTheme="minorHAnsi" w:cstheme="minorHAnsi"/>
          <w:i/>
          <w:iCs/>
          <w:sz w:val="22"/>
          <w:szCs w:val="22"/>
        </w:rPr>
      </w:pPr>
      <w:r w:rsidRPr="00632FB8">
        <w:rPr>
          <w:rFonts w:asciiTheme="minorHAnsi" w:hAnsiTheme="minorHAnsi" w:cstheme="minorHAnsi"/>
          <w:i/>
          <w:iCs/>
          <w:sz w:val="22"/>
          <w:szCs w:val="22"/>
        </w:rPr>
        <w:t xml:space="preserve">Differentiation between baseline findings and adverse events: </w:t>
      </w:r>
    </w:p>
    <w:p w14:paraId="690526A1" w14:textId="77777777" w:rsidR="00A338D6" w:rsidRPr="00632FB8" w:rsidRDefault="00A338D6" w:rsidP="00632FB8">
      <w:pPr>
        <w:pStyle w:val="Default"/>
        <w:ind w:left="397"/>
        <w:jc w:val="both"/>
        <w:rPr>
          <w:rFonts w:asciiTheme="minorHAnsi" w:hAnsiTheme="minorHAnsi" w:cstheme="minorHAnsi"/>
          <w:sz w:val="22"/>
          <w:szCs w:val="22"/>
        </w:rPr>
      </w:pPr>
    </w:p>
    <w:p w14:paraId="060C81D7" w14:textId="05A7CAA7"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Conditions (e.g., abnormal physical examination findings, symptoms, diseases, laboratory) present before the first administration of study drug will be documented as baseline findings. </w:t>
      </w:r>
    </w:p>
    <w:p w14:paraId="11162C2E" w14:textId="77777777" w:rsidR="00A338D6" w:rsidRPr="00632FB8" w:rsidRDefault="00A338D6" w:rsidP="00632FB8">
      <w:pPr>
        <w:pStyle w:val="Default"/>
        <w:ind w:left="397"/>
        <w:jc w:val="both"/>
        <w:rPr>
          <w:rFonts w:asciiTheme="minorHAnsi" w:hAnsiTheme="minorHAnsi" w:cstheme="minorHAnsi"/>
          <w:sz w:val="22"/>
          <w:szCs w:val="22"/>
        </w:rPr>
      </w:pPr>
    </w:p>
    <w:p w14:paraId="28DDB8A0" w14:textId="1AA9AD71"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Conditions which started or deteriorated after the first administration of study drug will be documented as adverse events. </w:t>
      </w:r>
    </w:p>
    <w:p w14:paraId="7A6F7B86" w14:textId="77777777" w:rsidR="00A338D6" w:rsidRPr="00632FB8" w:rsidRDefault="00A338D6" w:rsidP="00632FB8">
      <w:pPr>
        <w:pStyle w:val="Default"/>
        <w:ind w:left="397"/>
        <w:jc w:val="both"/>
        <w:rPr>
          <w:rFonts w:asciiTheme="minorHAnsi" w:hAnsiTheme="minorHAnsi" w:cstheme="minorHAnsi"/>
          <w:sz w:val="22"/>
          <w:szCs w:val="22"/>
        </w:rPr>
      </w:pPr>
    </w:p>
    <w:p w14:paraId="5D008959" w14:textId="21E2BBB8" w:rsidR="00DE0565" w:rsidRDefault="00DE0565" w:rsidP="00632FB8">
      <w:pPr>
        <w:pStyle w:val="Default"/>
        <w:jc w:val="both"/>
        <w:rPr>
          <w:rFonts w:asciiTheme="minorHAnsi" w:hAnsiTheme="minorHAnsi" w:cstheme="minorHAnsi"/>
          <w:i/>
          <w:iCs/>
          <w:sz w:val="22"/>
          <w:szCs w:val="22"/>
        </w:rPr>
      </w:pPr>
      <w:r w:rsidRPr="00632FB8">
        <w:rPr>
          <w:rFonts w:asciiTheme="minorHAnsi" w:hAnsiTheme="minorHAnsi" w:cstheme="minorHAnsi"/>
          <w:i/>
          <w:iCs/>
          <w:sz w:val="22"/>
          <w:szCs w:val="22"/>
        </w:rPr>
        <w:t xml:space="preserve">Categories, assessments and documentation of baseline findings </w:t>
      </w:r>
    </w:p>
    <w:p w14:paraId="12483506" w14:textId="77777777" w:rsidR="00A338D6" w:rsidRPr="00632FB8" w:rsidRDefault="00A338D6" w:rsidP="00632FB8">
      <w:pPr>
        <w:pStyle w:val="Default"/>
        <w:ind w:left="397"/>
        <w:jc w:val="both"/>
        <w:rPr>
          <w:rFonts w:asciiTheme="minorHAnsi" w:hAnsiTheme="minorHAnsi" w:cstheme="minorHAnsi"/>
          <w:sz w:val="22"/>
          <w:szCs w:val="22"/>
        </w:rPr>
      </w:pPr>
    </w:p>
    <w:p w14:paraId="78A1F026" w14:textId="77777777"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date and time of the first acute occurrence of the event is documented as the onset. </w:t>
      </w:r>
    </w:p>
    <w:p w14:paraId="7786D351" w14:textId="5C6B624A" w:rsidR="00DE0565" w:rsidRDefault="00E64601" w:rsidP="00632FB8">
      <w:pPr>
        <w:pStyle w:val="Default"/>
        <w:jc w:val="both"/>
        <w:rPr>
          <w:rFonts w:asciiTheme="minorHAnsi" w:hAnsiTheme="minorHAnsi" w:cstheme="minorHAnsi"/>
          <w:sz w:val="22"/>
          <w:szCs w:val="22"/>
        </w:rPr>
      </w:pPr>
      <w:r>
        <w:rPr>
          <w:rFonts w:asciiTheme="minorHAnsi" w:hAnsiTheme="minorHAnsi" w:cstheme="minorHAnsi"/>
          <w:sz w:val="22"/>
          <w:szCs w:val="22"/>
        </w:rPr>
        <w:t>I</w:t>
      </w:r>
      <w:r w:rsidR="00DE0565" w:rsidRPr="00632FB8">
        <w:rPr>
          <w:rFonts w:asciiTheme="minorHAnsi" w:hAnsiTheme="minorHAnsi" w:cstheme="minorHAnsi"/>
          <w:sz w:val="22"/>
          <w:szCs w:val="22"/>
        </w:rPr>
        <w:t xml:space="preserve">f the baseline finding is "continuing" into the treatment phase, no AE is to be recorded if, after start of study treatment, the event has the same or milder pattern and intensity. If the finding worsens in terms of either the pattern or intensity after study drug administration, the event must be documented as an AE. </w:t>
      </w:r>
    </w:p>
    <w:p w14:paraId="28F84CB2" w14:textId="77777777" w:rsidR="00A338D6" w:rsidRPr="00632FB8" w:rsidRDefault="00A338D6" w:rsidP="00632FB8">
      <w:pPr>
        <w:pStyle w:val="Default"/>
        <w:ind w:left="397"/>
        <w:jc w:val="both"/>
        <w:rPr>
          <w:rFonts w:asciiTheme="minorHAnsi" w:hAnsiTheme="minorHAnsi" w:cstheme="minorHAnsi"/>
          <w:sz w:val="22"/>
          <w:szCs w:val="22"/>
        </w:rPr>
      </w:pPr>
    </w:p>
    <w:p w14:paraId="60F7B106" w14:textId="103D45F3" w:rsidR="007142E3" w:rsidRPr="00632FB8" w:rsidRDefault="00DE0565" w:rsidP="00632FB8">
      <w:pPr>
        <w:pStyle w:val="Default"/>
        <w:jc w:val="both"/>
        <w:rPr>
          <w:rFonts w:asciiTheme="minorHAnsi" w:hAnsiTheme="minorHAnsi" w:cstheme="minorHAnsi"/>
          <w:sz w:val="21"/>
          <w:szCs w:val="21"/>
        </w:rPr>
      </w:pPr>
      <w:r w:rsidRPr="00632FB8">
        <w:rPr>
          <w:rFonts w:asciiTheme="minorHAnsi" w:hAnsiTheme="minorHAnsi" w:cstheme="minorHAnsi"/>
          <w:sz w:val="22"/>
          <w:szCs w:val="22"/>
        </w:rPr>
        <w:t xml:space="preserve">If the event is concluded, this should be recorded in the CRF ("resolved"). If the event vanishes but re-occurs during treatment, an AE with a start date of its re-occurrence should be entered. </w:t>
      </w:r>
    </w:p>
    <w:p w14:paraId="04376913" w14:textId="77777777" w:rsidR="007142E3" w:rsidRPr="00632FB8" w:rsidRDefault="007142E3" w:rsidP="00632FB8">
      <w:pPr>
        <w:pStyle w:val="Default"/>
        <w:jc w:val="both"/>
        <w:rPr>
          <w:sz w:val="22"/>
          <w:szCs w:val="22"/>
        </w:rPr>
      </w:pPr>
    </w:p>
    <w:p w14:paraId="7AB11F92" w14:textId="58A31577" w:rsidR="00DE0565" w:rsidRPr="00556D59" w:rsidRDefault="00DE0565" w:rsidP="00632FB8">
      <w:pPr>
        <w:tabs>
          <w:tab w:val="left" w:pos="1185"/>
        </w:tabs>
        <w:spacing w:line="240" w:lineRule="auto"/>
        <w:jc w:val="both"/>
        <w:rPr>
          <w:rFonts w:cstheme="minorHAnsi"/>
        </w:rPr>
      </w:pPr>
      <w:r w:rsidRPr="00305BC5">
        <w:rPr>
          <w:rFonts w:cstheme="minorHAnsi"/>
        </w:rPr>
        <w:t>All baseline findings will be assessed and documented by the investigator according to the following categories:</w:t>
      </w:r>
    </w:p>
    <w:p w14:paraId="78151494" w14:textId="77777777" w:rsidR="00DE0565" w:rsidRPr="00632FB8" w:rsidRDefault="00DE0565" w:rsidP="00632FB8">
      <w:pPr>
        <w:pStyle w:val="Default"/>
        <w:spacing w:after="199"/>
        <w:jc w:val="both"/>
        <w:rPr>
          <w:rFonts w:asciiTheme="minorHAnsi" w:hAnsiTheme="minorHAnsi" w:cstheme="minorHAnsi"/>
          <w:sz w:val="22"/>
          <w:szCs w:val="22"/>
        </w:rPr>
      </w:pPr>
      <w:r w:rsidRPr="00632FB8">
        <w:rPr>
          <w:rFonts w:asciiTheme="minorHAnsi" w:hAnsiTheme="minorHAnsi" w:cstheme="minorHAnsi"/>
          <w:sz w:val="22"/>
          <w:szCs w:val="22"/>
        </w:rPr>
        <w:t xml:space="preserve">Seriousness: for each baseline finding, the seriousness must be determined according to the criteria given in Section 8.8.2.2. If serious, the baseline finding has to be handled in the same way as an SAE. </w:t>
      </w:r>
    </w:p>
    <w:p w14:paraId="5BC36B5F" w14:textId="0E948D47"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Intensity </w:t>
      </w:r>
    </w:p>
    <w:p w14:paraId="72FB1438" w14:textId="73FC985C"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Specific drug treatment </w:t>
      </w:r>
    </w:p>
    <w:p w14:paraId="25439A16" w14:textId="73E88A96" w:rsidR="00DE0565" w:rsidRPr="00632FB8" w:rsidRDefault="00A338D6" w:rsidP="00632FB8">
      <w:pPr>
        <w:pStyle w:val="Default"/>
        <w:numPr>
          <w:ilvl w:val="0"/>
          <w:numId w:val="33"/>
        </w:numPr>
        <w:ind w:left="1077" w:hanging="357"/>
        <w:rPr>
          <w:rFonts w:asciiTheme="minorHAnsi" w:hAnsiTheme="minorHAnsi" w:cstheme="minorHAnsi"/>
          <w:sz w:val="22"/>
          <w:szCs w:val="22"/>
        </w:rPr>
      </w:pPr>
      <w:r>
        <w:rPr>
          <w:rFonts w:asciiTheme="minorHAnsi" w:hAnsiTheme="minorHAnsi" w:cstheme="minorHAnsi"/>
          <w:sz w:val="22"/>
          <w:szCs w:val="22"/>
        </w:rPr>
        <w:t>S</w:t>
      </w:r>
      <w:r w:rsidR="00DE0565" w:rsidRPr="00632FB8">
        <w:rPr>
          <w:rFonts w:asciiTheme="minorHAnsi" w:hAnsiTheme="minorHAnsi" w:cstheme="minorHAnsi"/>
          <w:sz w:val="22"/>
          <w:szCs w:val="22"/>
        </w:rPr>
        <w:t xml:space="preserve">pecific non-drug treatment </w:t>
      </w:r>
    </w:p>
    <w:p w14:paraId="2D7B0DA4" w14:textId="3B1989AA"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Causal relationship to study conduct </w:t>
      </w:r>
    </w:p>
    <w:p w14:paraId="64C729A3" w14:textId="7080C280" w:rsidR="00DE0565" w:rsidRDefault="00DE0565" w:rsidP="00BF49CE">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Outcome </w:t>
      </w:r>
    </w:p>
    <w:p w14:paraId="16B28D48" w14:textId="77777777" w:rsidR="00A338D6" w:rsidRPr="00632FB8" w:rsidRDefault="00A338D6" w:rsidP="00632FB8">
      <w:pPr>
        <w:pStyle w:val="Default"/>
        <w:ind w:left="1077"/>
        <w:rPr>
          <w:rFonts w:asciiTheme="minorHAnsi" w:hAnsiTheme="minorHAnsi" w:cstheme="minorHAnsi"/>
          <w:sz w:val="22"/>
          <w:szCs w:val="22"/>
        </w:rPr>
      </w:pPr>
    </w:p>
    <w:p w14:paraId="479542FB" w14:textId="5AE2C278"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intensity of an event, the causal relationship to study conduct, and the outcome of the baseline finding should be classified according to the same categories used for AEs, as specified in Section 8.8.2.2. </w:t>
      </w:r>
    </w:p>
    <w:p w14:paraId="484B6217" w14:textId="77777777" w:rsidR="00A338D6" w:rsidRPr="00632FB8" w:rsidRDefault="00A338D6" w:rsidP="00632FB8">
      <w:pPr>
        <w:pStyle w:val="Default"/>
        <w:ind w:left="397"/>
        <w:rPr>
          <w:rFonts w:asciiTheme="minorHAnsi" w:hAnsiTheme="minorHAnsi" w:cstheme="minorHAnsi"/>
          <w:sz w:val="22"/>
          <w:szCs w:val="22"/>
        </w:rPr>
      </w:pPr>
    </w:p>
    <w:p w14:paraId="44377F2F" w14:textId="0EFEE6CC"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8.8.1.2 Serious Baseline Findings </w:t>
      </w:r>
    </w:p>
    <w:p w14:paraId="63E8DCCD" w14:textId="77777777" w:rsidR="00A338D6" w:rsidRPr="00632FB8" w:rsidRDefault="00A338D6" w:rsidP="00632FB8">
      <w:pPr>
        <w:pStyle w:val="Default"/>
        <w:ind w:left="397"/>
        <w:rPr>
          <w:rFonts w:asciiTheme="minorHAnsi" w:hAnsiTheme="minorHAnsi" w:cstheme="minorHAnsi"/>
          <w:sz w:val="22"/>
          <w:szCs w:val="22"/>
        </w:rPr>
      </w:pPr>
    </w:p>
    <w:p w14:paraId="20170C69" w14:textId="6D7C9F49"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Definition</w:t>
      </w:r>
      <w:r w:rsidR="007142E3">
        <w:rPr>
          <w:rFonts w:asciiTheme="minorHAnsi" w:hAnsiTheme="minorHAnsi" w:cstheme="minorHAnsi"/>
          <w:sz w:val="22"/>
          <w:szCs w:val="22"/>
        </w:rPr>
        <w:t>:</w:t>
      </w:r>
      <w:r w:rsidRPr="00632FB8">
        <w:rPr>
          <w:rFonts w:asciiTheme="minorHAnsi" w:hAnsiTheme="minorHAnsi" w:cstheme="minorHAnsi"/>
          <w:sz w:val="22"/>
          <w:szCs w:val="22"/>
        </w:rPr>
        <w:t xml:space="preserve"> </w:t>
      </w:r>
    </w:p>
    <w:p w14:paraId="2F43E5EC" w14:textId="776B8341"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Baseline findings will be regarded as serious if they meet the criteria used for defining serious adverse events (SAEs) and will be reported on the SAE form (see Section 8.8.2.5). </w:t>
      </w:r>
    </w:p>
    <w:p w14:paraId="72974C32" w14:textId="77777777" w:rsidR="00A338D6" w:rsidRPr="00632FB8" w:rsidRDefault="00A338D6" w:rsidP="00632FB8">
      <w:pPr>
        <w:pStyle w:val="Default"/>
        <w:ind w:left="397"/>
        <w:jc w:val="both"/>
        <w:rPr>
          <w:rFonts w:asciiTheme="minorHAnsi" w:hAnsiTheme="minorHAnsi" w:cstheme="minorHAnsi"/>
          <w:sz w:val="22"/>
          <w:szCs w:val="22"/>
        </w:rPr>
      </w:pPr>
    </w:p>
    <w:p w14:paraId="5AD8570A" w14:textId="31531679"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lastRenderedPageBreak/>
        <w:t xml:space="preserve">8.8.2 Adverse Events </w:t>
      </w:r>
    </w:p>
    <w:p w14:paraId="5B91E09E" w14:textId="77777777" w:rsidR="00A338D6" w:rsidRPr="00632FB8" w:rsidRDefault="00A338D6" w:rsidP="00632FB8">
      <w:pPr>
        <w:pStyle w:val="Default"/>
        <w:ind w:left="397"/>
        <w:jc w:val="both"/>
        <w:rPr>
          <w:rFonts w:asciiTheme="minorHAnsi" w:hAnsiTheme="minorHAnsi" w:cstheme="minorHAnsi"/>
          <w:sz w:val="22"/>
          <w:szCs w:val="22"/>
        </w:rPr>
      </w:pPr>
    </w:p>
    <w:p w14:paraId="388FFF56" w14:textId="0663043D"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8.8.2.1 Definition of Adverse Event </w:t>
      </w:r>
    </w:p>
    <w:p w14:paraId="1FA64EC9" w14:textId="77777777" w:rsidR="00A338D6" w:rsidRPr="00632FB8" w:rsidRDefault="00A338D6" w:rsidP="00632FB8">
      <w:pPr>
        <w:pStyle w:val="Default"/>
        <w:ind w:left="397"/>
        <w:jc w:val="both"/>
        <w:rPr>
          <w:rFonts w:asciiTheme="minorHAnsi" w:hAnsiTheme="minorHAnsi" w:cstheme="minorHAnsi"/>
          <w:sz w:val="22"/>
          <w:szCs w:val="22"/>
        </w:rPr>
      </w:pPr>
    </w:p>
    <w:p w14:paraId="074364E1" w14:textId="4A293874"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definitions below follow International Conference on Harmonization (ICH) – Good Clinical Practice (GCP) (see also ICH Guideline for Clinical Safety Data Management: Definitions and Standards for Expedited Reporting): </w:t>
      </w:r>
    </w:p>
    <w:p w14:paraId="2A67A644" w14:textId="77777777" w:rsidR="00A338D6" w:rsidRPr="00632FB8" w:rsidRDefault="00A338D6" w:rsidP="00632FB8">
      <w:pPr>
        <w:pStyle w:val="Default"/>
        <w:ind w:left="397"/>
        <w:jc w:val="both"/>
        <w:rPr>
          <w:rFonts w:asciiTheme="minorHAnsi" w:hAnsiTheme="minorHAnsi" w:cstheme="minorHAnsi"/>
          <w:sz w:val="22"/>
          <w:szCs w:val="22"/>
        </w:rPr>
      </w:pPr>
    </w:p>
    <w:p w14:paraId="3F81CF06" w14:textId="77777777" w:rsidR="00DE0565" w:rsidRPr="00660135" w:rsidRDefault="00DE0565" w:rsidP="00632FB8">
      <w:pPr>
        <w:pStyle w:val="Default"/>
        <w:jc w:val="both"/>
        <w:rPr>
          <w:rFonts w:asciiTheme="minorHAnsi" w:hAnsiTheme="minorHAnsi" w:cstheme="minorHAnsi"/>
          <w:b/>
          <w:bCs/>
          <w:i/>
          <w:iCs/>
          <w:sz w:val="22"/>
          <w:szCs w:val="22"/>
        </w:rPr>
      </w:pPr>
      <w:r w:rsidRPr="00660135">
        <w:rPr>
          <w:rFonts w:asciiTheme="minorHAnsi" w:hAnsiTheme="minorHAnsi" w:cstheme="minorHAnsi"/>
          <w:b/>
          <w:bCs/>
          <w:i/>
          <w:iCs/>
          <w:sz w:val="22"/>
          <w:szCs w:val="22"/>
        </w:rPr>
        <w:t xml:space="preserve">Adverse event (AE) </w:t>
      </w:r>
    </w:p>
    <w:p w14:paraId="71EFF75D" w14:textId="6562364C"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Any untoward medical occurrence in a patient or clinical investigation subject administered a pharmaceutical product and which does not necessarily have a causal relationship with this treatment. An AE can therefore be any unfavourable and unintended sign (including an abnormal laboratory finding), symptom, or disease temporally associated with the use of a medicinal (investigational) product, whether or not considered related to the medicinal (investigational) product. </w:t>
      </w:r>
    </w:p>
    <w:p w14:paraId="03C9F946" w14:textId="77777777" w:rsidR="00A338D6" w:rsidRPr="00632FB8" w:rsidRDefault="00A338D6" w:rsidP="00632FB8">
      <w:pPr>
        <w:pStyle w:val="Default"/>
        <w:ind w:left="397"/>
        <w:jc w:val="both"/>
        <w:rPr>
          <w:rFonts w:asciiTheme="minorHAnsi" w:hAnsiTheme="minorHAnsi" w:cstheme="minorHAnsi"/>
          <w:sz w:val="22"/>
          <w:szCs w:val="22"/>
        </w:rPr>
      </w:pPr>
    </w:p>
    <w:p w14:paraId="625B8A39" w14:textId="1DF190FD" w:rsidR="00DE0565" w:rsidRPr="00846E0E" w:rsidRDefault="00DE0565" w:rsidP="00632FB8">
      <w:pPr>
        <w:tabs>
          <w:tab w:val="left" w:pos="1185"/>
        </w:tabs>
        <w:spacing w:line="240" w:lineRule="auto"/>
        <w:jc w:val="both"/>
        <w:rPr>
          <w:rFonts w:cstheme="minorHAnsi"/>
        </w:rPr>
      </w:pPr>
      <w:r w:rsidRPr="00305BC5">
        <w:rPr>
          <w:rFonts w:cstheme="minorHAnsi"/>
        </w:rPr>
        <w:t xml:space="preserve">By definition, for this study, all AEs are regarded as </w:t>
      </w:r>
      <w:r w:rsidRPr="00556D59">
        <w:rPr>
          <w:rFonts w:cstheme="minorHAnsi"/>
        </w:rPr>
        <w:t>'treatment emergent', i.e., not seen before treatment or, if already present before treatment, worsened af</w:t>
      </w:r>
      <w:r w:rsidRPr="00613F26">
        <w:rPr>
          <w:rFonts w:cstheme="minorHAnsi"/>
        </w:rPr>
        <w:t>ter start of treatment.</w:t>
      </w:r>
    </w:p>
    <w:p w14:paraId="4019661E" w14:textId="2D5DB544"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Pre-planned or elective surgeries or therapies should be recorded in the patient</w:t>
      </w:r>
      <w:r w:rsidR="00A338D6">
        <w:rPr>
          <w:rFonts w:asciiTheme="minorHAnsi" w:hAnsiTheme="minorHAnsi" w:cstheme="minorHAnsi"/>
          <w:sz w:val="22"/>
          <w:szCs w:val="22"/>
        </w:rPr>
        <w:t>’</w:t>
      </w:r>
      <w:r w:rsidRPr="00632FB8">
        <w:rPr>
          <w:rFonts w:asciiTheme="minorHAnsi" w:hAnsiTheme="minorHAnsi" w:cstheme="minorHAnsi"/>
          <w:sz w:val="22"/>
          <w:szCs w:val="22"/>
        </w:rPr>
        <w:t>s source documents but are not to be considered AEs unless there was any change to the patient</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s medical condition during the AE collection period. </w:t>
      </w:r>
    </w:p>
    <w:p w14:paraId="7EFFCE9C" w14:textId="77777777" w:rsidR="00A338D6" w:rsidRPr="00632FB8" w:rsidRDefault="00A338D6" w:rsidP="00632FB8">
      <w:pPr>
        <w:pStyle w:val="Default"/>
        <w:ind w:left="397"/>
        <w:jc w:val="both"/>
        <w:rPr>
          <w:rFonts w:asciiTheme="minorHAnsi" w:hAnsiTheme="minorHAnsi" w:cstheme="minorHAnsi"/>
          <w:sz w:val="22"/>
          <w:szCs w:val="22"/>
        </w:rPr>
      </w:pPr>
    </w:p>
    <w:p w14:paraId="296F6D1C" w14:textId="36A63FDE"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All AEs will be assessed and documented by the investigator according to the categories detailed in Section 8.8.2.2. </w:t>
      </w:r>
    </w:p>
    <w:p w14:paraId="22ECF19B" w14:textId="77777777" w:rsidR="00A338D6" w:rsidRPr="00632FB8" w:rsidRDefault="00A338D6" w:rsidP="00632FB8">
      <w:pPr>
        <w:pStyle w:val="Default"/>
        <w:ind w:left="397"/>
        <w:rPr>
          <w:rFonts w:asciiTheme="minorHAnsi" w:hAnsiTheme="minorHAnsi" w:cstheme="minorHAnsi"/>
          <w:sz w:val="22"/>
          <w:szCs w:val="22"/>
        </w:rPr>
      </w:pPr>
    </w:p>
    <w:p w14:paraId="32B98757" w14:textId="76FD857F"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8.8.2.2 Categories of Adverse Event Assessment </w:t>
      </w:r>
    </w:p>
    <w:p w14:paraId="76F75032" w14:textId="77777777" w:rsidR="00A338D6" w:rsidRPr="00632FB8" w:rsidRDefault="00A338D6" w:rsidP="00632FB8">
      <w:pPr>
        <w:pStyle w:val="Default"/>
        <w:ind w:left="397"/>
        <w:rPr>
          <w:rFonts w:asciiTheme="minorHAnsi" w:hAnsiTheme="minorHAnsi" w:cstheme="minorHAnsi"/>
          <w:sz w:val="22"/>
          <w:szCs w:val="22"/>
        </w:rPr>
      </w:pPr>
    </w:p>
    <w:p w14:paraId="1289E8FA"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sz w:val="22"/>
          <w:szCs w:val="22"/>
        </w:rPr>
        <w:t xml:space="preserve">Seriousness </w:t>
      </w:r>
    </w:p>
    <w:p w14:paraId="4FBB8687" w14:textId="08CC802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seriousness must be determined for each AE, according to the criteria given in Section 8.8.2.5. </w:t>
      </w:r>
    </w:p>
    <w:p w14:paraId="285C5678" w14:textId="77777777" w:rsidR="00A338D6" w:rsidRPr="00632FB8" w:rsidRDefault="00A338D6" w:rsidP="00632FB8">
      <w:pPr>
        <w:pStyle w:val="Default"/>
        <w:ind w:left="397"/>
        <w:rPr>
          <w:rFonts w:asciiTheme="minorHAnsi" w:hAnsiTheme="minorHAnsi" w:cstheme="minorHAnsi"/>
          <w:sz w:val="22"/>
          <w:szCs w:val="22"/>
        </w:rPr>
      </w:pPr>
    </w:p>
    <w:p w14:paraId="6824BC5C"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sz w:val="22"/>
          <w:szCs w:val="22"/>
        </w:rPr>
        <w:t xml:space="preserve">Intensity </w:t>
      </w:r>
    </w:p>
    <w:p w14:paraId="645B1506" w14:textId="77777777"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intensity of an AE is classified according to NCI-CTCAE version 5.0, taking into account the possible range of the intensity of the event: </w:t>
      </w:r>
    </w:p>
    <w:p w14:paraId="15426DD6" w14:textId="47FA406D"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NCI-CTCAE Grade 1 (mild) </w:t>
      </w:r>
    </w:p>
    <w:p w14:paraId="307C5860" w14:textId="668663AC"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NCI-CTCAE Grade 2 (moderate) </w:t>
      </w:r>
    </w:p>
    <w:p w14:paraId="2D57261B" w14:textId="4CAAA1AA"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NCI-CTCAE Grade 3 (severe) </w:t>
      </w:r>
    </w:p>
    <w:p w14:paraId="035D9B60" w14:textId="4908CAFA"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NCI-CTCAE Grade 4 (life-threatening) </w:t>
      </w:r>
    </w:p>
    <w:p w14:paraId="391E62E1" w14:textId="715FB8F3"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NCI-CTCAE Grade 5 (fatal) </w:t>
      </w:r>
    </w:p>
    <w:p w14:paraId="5DC423A2" w14:textId="77777777" w:rsidR="00DE0565" w:rsidRPr="00632FB8" w:rsidRDefault="00DE0565" w:rsidP="00632FB8">
      <w:pPr>
        <w:pStyle w:val="Default"/>
        <w:ind w:left="397"/>
        <w:rPr>
          <w:rFonts w:asciiTheme="minorHAnsi" w:hAnsiTheme="minorHAnsi" w:cstheme="minorHAnsi"/>
          <w:sz w:val="22"/>
          <w:szCs w:val="22"/>
        </w:rPr>
      </w:pPr>
    </w:p>
    <w:p w14:paraId="4897EC25"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sz w:val="22"/>
          <w:szCs w:val="22"/>
        </w:rPr>
        <w:t xml:space="preserve">Study drug action </w:t>
      </w:r>
    </w:p>
    <w:p w14:paraId="074B2FAC" w14:textId="3B4AB6D6"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AEs requiring any action, i.e. medication or therapy for treatment, should be treated according to </w:t>
      </w:r>
      <w:r w:rsidR="00A338D6" w:rsidRPr="00DE0565">
        <w:rPr>
          <w:rFonts w:asciiTheme="minorHAnsi" w:hAnsiTheme="minorHAnsi" w:cstheme="minorHAnsi"/>
          <w:sz w:val="22"/>
          <w:szCs w:val="22"/>
        </w:rPr>
        <w:t>recognized</w:t>
      </w:r>
      <w:r w:rsidRPr="00632FB8">
        <w:rPr>
          <w:rFonts w:asciiTheme="minorHAnsi" w:hAnsiTheme="minorHAnsi" w:cstheme="minorHAnsi"/>
          <w:sz w:val="22"/>
          <w:szCs w:val="22"/>
        </w:rPr>
        <w:t xml:space="preserve"> standards of medical care to protect the health and well-being of the patient. </w:t>
      </w:r>
    </w:p>
    <w:p w14:paraId="49105788" w14:textId="77777777" w:rsidR="00A338D6" w:rsidRPr="00632FB8" w:rsidRDefault="00A338D6" w:rsidP="00632FB8">
      <w:pPr>
        <w:pStyle w:val="Default"/>
        <w:ind w:left="397"/>
        <w:rPr>
          <w:rFonts w:asciiTheme="minorHAnsi" w:hAnsiTheme="minorHAnsi" w:cstheme="minorHAnsi"/>
          <w:sz w:val="22"/>
          <w:szCs w:val="22"/>
        </w:rPr>
      </w:pPr>
    </w:p>
    <w:p w14:paraId="6A707FFF" w14:textId="77777777"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Any potential study drug action to resolve the AEs is to be documented as follows </w:t>
      </w:r>
    </w:p>
    <w:p w14:paraId="78EB4169" w14:textId="3C2BEBC6"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Drug withdrawn </w:t>
      </w:r>
    </w:p>
    <w:p w14:paraId="743948EF" w14:textId="7C00D807"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Dose reduced </w:t>
      </w:r>
    </w:p>
    <w:p w14:paraId="54AFF953" w14:textId="476C8139"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Dose not changed </w:t>
      </w:r>
    </w:p>
    <w:p w14:paraId="7DFCD2C5" w14:textId="28A64B23"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Other action (stopped: definitely, temporarily with exact dates) </w:t>
      </w:r>
    </w:p>
    <w:p w14:paraId="672EC5CD" w14:textId="77777777" w:rsidR="00DE0565" w:rsidRPr="00632FB8" w:rsidRDefault="00DE0565" w:rsidP="00632FB8">
      <w:pPr>
        <w:pStyle w:val="Default"/>
        <w:ind w:left="397"/>
        <w:rPr>
          <w:rFonts w:asciiTheme="minorHAnsi" w:hAnsiTheme="minorHAnsi" w:cstheme="minorHAnsi"/>
          <w:sz w:val="22"/>
          <w:szCs w:val="22"/>
        </w:rPr>
      </w:pPr>
    </w:p>
    <w:p w14:paraId="7F744051" w14:textId="518A62B7" w:rsidR="00DE0565" w:rsidRPr="00632FB8" w:rsidRDefault="00DE0565" w:rsidP="00632FB8">
      <w:pPr>
        <w:pStyle w:val="Default"/>
        <w:spacing w:after="198"/>
        <w:rPr>
          <w:rFonts w:asciiTheme="minorHAnsi" w:hAnsiTheme="minorHAnsi" w:cstheme="minorHAnsi"/>
          <w:sz w:val="22"/>
          <w:szCs w:val="22"/>
        </w:rPr>
      </w:pPr>
      <w:r w:rsidRPr="00632FB8">
        <w:rPr>
          <w:rFonts w:asciiTheme="minorHAnsi" w:hAnsiTheme="minorHAnsi" w:cstheme="minorHAnsi"/>
          <w:sz w:val="22"/>
          <w:szCs w:val="22"/>
        </w:rPr>
        <w:t>Any potential study drug action to resolve the AEs is to be documented in free text in the CRF, e.g. 'dose interrupted', 'dose interrupted and re-started'.</w:t>
      </w:r>
    </w:p>
    <w:p w14:paraId="456B51CD" w14:textId="412DFD4A" w:rsidR="00A338D6" w:rsidRPr="00632FB8" w:rsidRDefault="00DE0565" w:rsidP="00632FB8">
      <w:pPr>
        <w:pStyle w:val="Default"/>
        <w:ind w:left="397"/>
        <w:rPr>
          <w:rFonts w:asciiTheme="minorHAnsi" w:hAnsiTheme="minorHAnsi" w:cstheme="minorHAnsi"/>
          <w:b/>
          <w:bCs/>
          <w:i/>
          <w:iCs/>
          <w:sz w:val="22"/>
          <w:szCs w:val="22"/>
        </w:rPr>
      </w:pPr>
      <w:r w:rsidRPr="00632FB8">
        <w:rPr>
          <w:rFonts w:asciiTheme="minorHAnsi" w:hAnsiTheme="minorHAnsi" w:cstheme="minorHAnsi"/>
          <w:b/>
          <w:bCs/>
          <w:i/>
          <w:iCs/>
          <w:sz w:val="22"/>
          <w:szCs w:val="22"/>
        </w:rPr>
        <w:lastRenderedPageBreak/>
        <w:t xml:space="preserve">Causal relationship to study drug </w:t>
      </w:r>
    </w:p>
    <w:p w14:paraId="632C09E9" w14:textId="77A92DE5" w:rsidR="00A338D6"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possible causal relationship between the AE and the administration of the study drug is classified according to the following question: </w:t>
      </w:r>
    </w:p>
    <w:p w14:paraId="3052A467" w14:textId="77777777" w:rsidR="00A338D6" w:rsidRPr="00632FB8" w:rsidRDefault="00A338D6" w:rsidP="00632FB8">
      <w:pPr>
        <w:pStyle w:val="Default"/>
        <w:ind w:left="397"/>
        <w:rPr>
          <w:rFonts w:asciiTheme="minorHAnsi" w:hAnsiTheme="minorHAnsi" w:cstheme="minorHAnsi"/>
          <w:sz w:val="22"/>
          <w:szCs w:val="22"/>
        </w:rPr>
      </w:pPr>
    </w:p>
    <w:p w14:paraId="40A9B2EF" w14:textId="2BB8157A" w:rsidR="00DE0565" w:rsidRDefault="00DE0565" w:rsidP="00632FB8">
      <w:pPr>
        <w:pStyle w:val="Default"/>
        <w:rPr>
          <w:rFonts w:asciiTheme="minorHAnsi" w:hAnsiTheme="minorHAnsi" w:cstheme="minorHAnsi"/>
          <w:i/>
          <w:iCs/>
          <w:sz w:val="22"/>
          <w:szCs w:val="22"/>
        </w:rPr>
      </w:pPr>
      <w:r w:rsidRPr="00632FB8">
        <w:rPr>
          <w:rFonts w:asciiTheme="minorHAnsi" w:hAnsiTheme="minorHAnsi" w:cstheme="minorHAnsi"/>
          <w:i/>
          <w:iCs/>
          <w:sz w:val="22"/>
          <w:szCs w:val="22"/>
        </w:rPr>
        <w:t xml:space="preserve">“Is there a reasonable likelihood that the event was caused by the study drug?” </w:t>
      </w:r>
    </w:p>
    <w:p w14:paraId="501CB06D" w14:textId="77777777" w:rsidR="00A338D6" w:rsidRPr="00632FB8" w:rsidRDefault="00A338D6" w:rsidP="00632FB8">
      <w:pPr>
        <w:pStyle w:val="Default"/>
        <w:ind w:left="397"/>
        <w:rPr>
          <w:rFonts w:asciiTheme="minorHAnsi" w:hAnsiTheme="minorHAnsi" w:cstheme="minorHAnsi"/>
          <w:sz w:val="22"/>
          <w:szCs w:val="22"/>
        </w:rPr>
      </w:pPr>
    </w:p>
    <w:p w14:paraId="494240CF" w14:textId="77777777"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Possible answers are: </w:t>
      </w:r>
    </w:p>
    <w:p w14:paraId="0DBD11B4" w14:textId="7E029C7D" w:rsidR="00DE0565" w:rsidRPr="00632FB8" w:rsidRDefault="00DE0565" w:rsidP="00660135">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Related (plausible time relationship to the administration of IMP/RP. No plausible explanation by underlying/concurrent disease or other drugs/events) </w:t>
      </w:r>
    </w:p>
    <w:p w14:paraId="295CEB54" w14:textId="453A6524" w:rsidR="00DE0565" w:rsidRPr="00632FB8" w:rsidRDefault="00DE0565" w:rsidP="00660135">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Possible (plausible time relationship to the administration of IMP/RP, but the AE can be also plausibly explained by the underlying/concurrent disease or other medicinal products / events) </w:t>
      </w:r>
    </w:p>
    <w:p w14:paraId="6CBCAD2F" w14:textId="3384BFE8" w:rsidR="00DE0565" w:rsidRPr="00632FB8" w:rsidRDefault="00DE0565" w:rsidP="00660135">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Unlikely (unlikely temporal relationship to the administration of IMP/RP. Other medicinal products, events, and the underlying/concurrent disease provide a plausible explanation) </w:t>
      </w:r>
    </w:p>
    <w:p w14:paraId="1D4CE2B5" w14:textId="5AECEFA3" w:rsidR="00DE0565" w:rsidRPr="00632FB8" w:rsidRDefault="00DE0565" w:rsidP="00660135">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Not related (clear evidence that the AE is not connected to the IMP/RP administration) </w:t>
      </w:r>
    </w:p>
    <w:p w14:paraId="29A1EC55" w14:textId="4EB21748" w:rsidR="00DE0565" w:rsidRPr="00632FB8" w:rsidRDefault="00DE0565" w:rsidP="00660135">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Not assessable (no evaluation possible based on present data, additional clarification and follow-up necessary) </w:t>
      </w:r>
    </w:p>
    <w:p w14:paraId="43F443A8" w14:textId="77777777" w:rsidR="00DE0565" w:rsidRPr="00632FB8" w:rsidRDefault="00DE0565" w:rsidP="00632FB8">
      <w:pPr>
        <w:pStyle w:val="Default"/>
        <w:ind w:left="397"/>
        <w:rPr>
          <w:rFonts w:asciiTheme="minorHAnsi" w:hAnsiTheme="minorHAnsi" w:cstheme="minorHAnsi"/>
          <w:sz w:val="22"/>
          <w:szCs w:val="22"/>
        </w:rPr>
      </w:pPr>
    </w:p>
    <w:p w14:paraId="0CD46883"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sz w:val="22"/>
          <w:szCs w:val="22"/>
        </w:rPr>
        <w:t xml:space="preserve">Causal relationship to study conduct </w:t>
      </w:r>
    </w:p>
    <w:p w14:paraId="4BBA3352" w14:textId="6D79C0C8"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possible causal relationship between the AE and any study-conduct-related procedures and activities required by the protocol is classified according to the following question: </w:t>
      </w:r>
    </w:p>
    <w:p w14:paraId="72E5AFCA" w14:textId="77777777" w:rsidR="00A338D6" w:rsidRPr="00632FB8" w:rsidRDefault="00A338D6" w:rsidP="00632FB8">
      <w:pPr>
        <w:pStyle w:val="Default"/>
        <w:ind w:left="397"/>
        <w:rPr>
          <w:rFonts w:asciiTheme="minorHAnsi" w:hAnsiTheme="minorHAnsi" w:cstheme="minorHAnsi"/>
          <w:sz w:val="22"/>
          <w:szCs w:val="22"/>
        </w:rPr>
      </w:pPr>
    </w:p>
    <w:p w14:paraId="414FA070" w14:textId="7095D164"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assessment of a possible causal relationship between the AE and the study conduct other than the relationship to study drug is based on the following question: </w:t>
      </w:r>
    </w:p>
    <w:p w14:paraId="3E8ED0A8" w14:textId="77777777" w:rsidR="00A338D6" w:rsidRPr="00632FB8" w:rsidRDefault="00A338D6" w:rsidP="00632FB8">
      <w:pPr>
        <w:pStyle w:val="Default"/>
        <w:ind w:left="397"/>
        <w:rPr>
          <w:rFonts w:asciiTheme="minorHAnsi" w:hAnsiTheme="minorHAnsi" w:cstheme="minorHAnsi"/>
          <w:sz w:val="22"/>
          <w:szCs w:val="22"/>
        </w:rPr>
      </w:pPr>
    </w:p>
    <w:p w14:paraId="26CAC5C0" w14:textId="07E78318"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w:t>
      </w:r>
      <w:r w:rsidRPr="00632FB8">
        <w:rPr>
          <w:rFonts w:asciiTheme="minorHAnsi" w:hAnsiTheme="minorHAnsi" w:cstheme="minorHAnsi"/>
          <w:i/>
          <w:iCs/>
          <w:sz w:val="22"/>
          <w:szCs w:val="22"/>
        </w:rPr>
        <w:t>Is there a reasonable likelihood that the event was caused by the study conduct?</w:t>
      </w:r>
      <w:r w:rsidRPr="00632FB8">
        <w:rPr>
          <w:rFonts w:asciiTheme="minorHAnsi" w:hAnsiTheme="minorHAnsi" w:cstheme="minorHAnsi"/>
          <w:sz w:val="22"/>
          <w:szCs w:val="22"/>
        </w:rPr>
        <w:t xml:space="preserve">” </w:t>
      </w:r>
    </w:p>
    <w:p w14:paraId="579CDCD3" w14:textId="77777777" w:rsidR="00A338D6" w:rsidRPr="00632FB8" w:rsidRDefault="00A338D6" w:rsidP="00632FB8">
      <w:pPr>
        <w:pStyle w:val="Default"/>
        <w:ind w:left="397"/>
        <w:rPr>
          <w:rFonts w:asciiTheme="minorHAnsi" w:hAnsiTheme="minorHAnsi" w:cstheme="minorHAnsi"/>
          <w:sz w:val="22"/>
          <w:szCs w:val="22"/>
        </w:rPr>
      </w:pPr>
    </w:p>
    <w:p w14:paraId="4C112127" w14:textId="37D071D4"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Possible answers are “related”, “not related”, “not assessable”. </w:t>
      </w:r>
    </w:p>
    <w:p w14:paraId="52ABB06D" w14:textId="77777777" w:rsidR="00A338D6" w:rsidRPr="00632FB8" w:rsidRDefault="00A338D6" w:rsidP="00632FB8">
      <w:pPr>
        <w:pStyle w:val="Default"/>
        <w:ind w:left="397"/>
        <w:rPr>
          <w:rFonts w:asciiTheme="minorHAnsi" w:hAnsiTheme="minorHAnsi" w:cstheme="minorHAnsi"/>
          <w:sz w:val="22"/>
          <w:szCs w:val="22"/>
        </w:rPr>
      </w:pPr>
    </w:p>
    <w:p w14:paraId="4831BD2B" w14:textId="77777777"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sz w:val="22"/>
          <w:szCs w:val="22"/>
        </w:rPr>
        <w:t xml:space="preserve">Outcome </w:t>
      </w:r>
    </w:p>
    <w:p w14:paraId="3732F8F5" w14:textId="77777777"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outcome of the AE is to be documented as follows: </w:t>
      </w:r>
    </w:p>
    <w:p w14:paraId="39859CC8" w14:textId="5920DCF8"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Recovered </w:t>
      </w:r>
    </w:p>
    <w:p w14:paraId="55DC6CF6" w14:textId="5CC9ED9C"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Recovered with sequelae </w:t>
      </w:r>
    </w:p>
    <w:p w14:paraId="044CFE13" w14:textId="49AD5981"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Ongoing </w:t>
      </w:r>
    </w:p>
    <w:p w14:paraId="18BBD72D" w14:textId="1A4F8FEB"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Fatal </w:t>
      </w:r>
    </w:p>
    <w:p w14:paraId="1AAF5046" w14:textId="19B12B89" w:rsidR="00DE0565" w:rsidRDefault="00DE0565" w:rsidP="00BF49CE">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Unknown</w:t>
      </w:r>
    </w:p>
    <w:p w14:paraId="1F97183F" w14:textId="77777777" w:rsidR="00A338D6" w:rsidRPr="00632FB8" w:rsidRDefault="00A338D6" w:rsidP="00632FB8">
      <w:pPr>
        <w:pStyle w:val="Default"/>
        <w:ind w:left="720"/>
        <w:rPr>
          <w:rFonts w:asciiTheme="minorHAnsi" w:hAnsiTheme="minorHAnsi" w:cstheme="minorHAnsi"/>
          <w:sz w:val="22"/>
          <w:szCs w:val="22"/>
        </w:rPr>
      </w:pPr>
    </w:p>
    <w:p w14:paraId="2A12FB49" w14:textId="30A04562" w:rsidR="00DE0565" w:rsidRDefault="00DE0565" w:rsidP="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8.8.2.3 Assessment and Documentation of Adverse Events </w:t>
      </w:r>
    </w:p>
    <w:p w14:paraId="0F927F2C" w14:textId="77777777" w:rsidR="00A338D6" w:rsidRPr="00632FB8" w:rsidRDefault="00A338D6" w:rsidP="00632FB8">
      <w:pPr>
        <w:pStyle w:val="Default"/>
        <w:ind w:left="397"/>
        <w:rPr>
          <w:rFonts w:asciiTheme="minorHAnsi" w:hAnsiTheme="minorHAnsi" w:cstheme="minorHAnsi"/>
          <w:sz w:val="22"/>
          <w:szCs w:val="22"/>
        </w:rPr>
      </w:pPr>
    </w:p>
    <w:p w14:paraId="353EE8BA" w14:textId="7D984F87"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At every assessment time point during the study until EOS, the patient will be asked a non-leading question such as “</w:t>
      </w:r>
      <w:r w:rsidRPr="00632FB8">
        <w:rPr>
          <w:rFonts w:asciiTheme="minorHAnsi" w:hAnsiTheme="minorHAnsi" w:cstheme="minorHAnsi"/>
          <w:i/>
          <w:iCs/>
          <w:sz w:val="22"/>
          <w:szCs w:val="22"/>
        </w:rPr>
        <w:t>Have you had any health problems since you were last asked / since your last visit?</w:t>
      </w:r>
      <w:r w:rsidRPr="00632FB8">
        <w:rPr>
          <w:rFonts w:asciiTheme="minorHAnsi" w:hAnsiTheme="minorHAnsi" w:cstheme="minorHAnsi"/>
          <w:sz w:val="22"/>
          <w:szCs w:val="22"/>
        </w:rPr>
        <w:t xml:space="preserve">”. All AEs reported in response to questioning, as well as AEs reported spontaneously and occurring at any other time, will be recorded on the </w:t>
      </w:r>
      <w:r w:rsidR="00A338D6">
        <w:rPr>
          <w:rFonts w:asciiTheme="minorHAnsi" w:hAnsiTheme="minorHAnsi" w:cstheme="minorHAnsi"/>
          <w:sz w:val="22"/>
          <w:szCs w:val="22"/>
        </w:rPr>
        <w:t>“</w:t>
      </w:r>
      <w:r w:rsidRPr="00632FB8">
        <w:rPr>
          <w:rFonts w:asciiTheme="minorHAnsi" w:hAnsiTheme="minorHAnsi" w:cstheme="minorHAnsi"/>
          <w:sz w:val="22"/>
          <w:szCs w:val="22"/>
        </w:rPr>
        <w:t>adverse event</w:t>
      </w:r>
      <w:r w:rsidR="00DA7693">
        <w:rPr>
          <w:rFonts w:asciiTheme="minorHAnsi" w:hAnsiTheme="minorHAnsi" w:cstheme="minorHAnsi"/>
          <w:sz w:val="22"/>
          <w:szCs w:val="22"/>
        </w:rPr>
        <w:t>”</w:t>
      </w:r>
      <w:r w:rsidRPr="00632FB8">
        <w:rPr>
          <w:rFonts w:asciiTheme="minorHAnsi" w:hAnsiTheme="minorHAnsi" w:cstheme="minorHAnsi"/>
          <w:sz w:val="22"/>
          <w:szCs w:val="22"/>
        </w:rPr>
        <w:t xml:space="preserve"> page(s) in the CRF, regardless of causality. </w:t>
      </w:r>
    </w:p>
    <w:p w14:paraId="428B1B62" w14:textId="77777777" w:rsidR="00A338D6" w:rsidRPr="00632FB8" w:rsidRDefault="00A338D6" w:rsidP="00632FB8">
      <w:pPr>
        <w:pStyle w:val="Default"/>
        <w:ind w:left="397"/>
        <w:jc w:val="both"/>
        <w:rPr>
          <w:rFonts w:asciiTheme="minorHAnsi" w:hAnsiTheme="minorHAnsi" w:cstheme="minorHAnsi"/>
          <w:sz w:val="22"/>
          <w:szCs w:val="22"/>
        </w:rPr>
      </w:pPr>
    </w:p>
    <w:p w14:paraId="4972F84E" w14:textId="43C2FD12"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If an AE fulfils any of the SAE criteria, both the AE pages of the CRF and the Serious Adverse Event Form must be completed. SAEs are recorded for the entire duration of the study. </w:t>
      </w:r>
    </w:p>
    <w:p w14:paraId="4788C289" w14:textId="77777777" w:rsidR="007142E3" w:rsidRDefault="007142E3" w:rsidP="00632FB8">
      <w:pPr>
        <w:pStyle w:val="Default"/>
        <w:jc w:val="both"/>
        <w:rPr>
          <w:rFonts w:asciiTheme="minorHAnsi" w:hAnsiTheme="minorHAnsi" w:cstheme="minorHAnsi"/>
          <w:sz w:val="22"/>
          <w:szCs w:val="22"/>
        </w:rPr>
      </w:pPr>
    </w:p>
    <w:p w14:paraId="5AACAA87" w14:textId="26C00DDD"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For both serious and non-serious AEs, documentation must be supported by an entry in the patien</w:t>
      </w:r>
      <w:r w:rsidR="00A338D6">
        <w:rPr>
          <w:rFonts w:asciiTheme="minorHAnsi" w:hAnsiTheme="minorHAnsi" w:cstheme="minorHAnsi"/>
          <w:sz w:val="22"/>
          <w:szCs w:val="22"/>
        </w:rPr>
        <w:t>t’</w:t>
      </w:r>
      <w:r w:rsidRPr="00632FB8">
        <w:rPr>
          <w:rFonts w:asciiTheme="minorHAnsi" w:hAnsiTheme="minorHAnsi" w:cstheme="minorHAnsi"/>
          <w:sz w:val="22"/>
          <w:szCs w:val="22"/>
        </w:rPr>
        <w:t xml:space="preserve">s hospital notes. Required information includes: the type of AE, seriousness of the event, start date, date of resolution, actions required, outcome and an assessment of its relationship to study drug and an estimate of its severity (using National Cancer Institute-Common Toxicity Criteria [NCI-CTCAE] </w:t>
      </w:r>
      <w:r w:rsidRPr="00632FB8">
        <w:rPr>
          <w:rFonts w:asciiTheme="minorHAnsi" w:hAnsiTheme="minorHAnsi" w:cstheme="minorHAnsi"/>
          <w:sz w:val="22"/>
          <w:szCs w:val="22"/>
        </w:rPr>
        <w:lastRenderedPageBreak/>
        <w:t xml:space="preserve">criteria, version 5.0, see Appendix I). NCI-CTCAE severity will be marked in the SAE Report Form using the numeric grades: grade 1 (mild), grade 2 (moderate), grade 3 (severe), grade 4 (life-threatening) and grade 5 (fatal). </w:t>
      </w:r>
    </w:p>
    <w:p w14:paraId="649BDEE7" w14:textId="77777777" w:rsidR="007142E3" w:rsidRPr="00632FB8" w:rsidRDefault="007142E3" w:rsidP="00632FB8">
      <w:pPr>
        <w:pStyle w:val="Default"/>
        <w:jc w:val="both"/>
        <w:rPr>
          <w:rFonts w:asciiTheme="minorHAnsi" w:hAnsiTheme="minorHAnsi" w:cstheme="minorHAnsi"/>
          <w:sz w:val="22"/>
          <w:szCs w:val="22"/>
        </w:rPr>
      </w:pPr>
    </w:p>
    <w:p w14:paraId="2D16EBA3" w14:textId="3465A7EA"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All abnormal laboratory, vital signs and 12-lead ECG results and findings from the physical examination considered to be clinically relevant by the investigator should also be recorded as AEs. If an abnormal laboratory result meets any of the SAE criteria, this must also be reported on a Serious Adverse Event Form. </w:t>
      </w:r>
    </w:p>
    <w:p w14:paraId="3AE7860A" w14:textId="77777777" w:rsidR="00A338D6" w:rsidRPr="00632FB8" w:rsidRDefault="00A338D6" w:rsidP="00632FB8">
      <w:pPr>
        <w:pStyle w:val="Default"/>
        <w:ind w:left="397"/>
        <w:jc w:val="both"/>
        <w:rPr>
          <w:rFonts w:asciiTheme="minorHAnsi" w:hAnsiTheme="minorHAnsi" w:cstheme="minorHAnsi"/>
          <w:sz w:val="22"/>
          <w:szCs w:val="22"/>
        </w:rPr>
      </w:pPr>
    </w:p>
    <w:p w14:paraId="635AA9F3" w14:textId="2A736B9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All AEs that meet one criterion for “serious” require the completion of an SAE Report Form, in addition to being recorded on the AE pages of the patients</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 CRF. This applies to all SAEs, whether or not they were considered to be related to study treatment. </w:t>
      </w:r>
    </w:p>
    <w:p w14:paraId="69D399EB" w14:textId="77777777" w:rsidR="00A338D6" w:rsidRPr="00632FB8" w:rsidRDefault="00A338D6" w:rsidP="00632FB8">
      <w:pPr>
        <w:pStyle w:val="Default"/>
        <w:ind w:left="397"/>
        <w:jc w:val="both"/>
        <w:rPr>
          <w:rFonts w:asciiTheme="minorHAnsi" w:hAnsiTheme="minorHAnsi" w:cstheme="minorHAnsi"/>
          <w:sz w:val="22"/>
          <w:szCs w:val="22"/>
        </w:rPr>
      </w:pPr>
    </w:p>
    <w:p w14:paraId="2836B209" w14:textId="75C4C84D"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8.8.2.4 Expected Adverse Events </w:t>
      </w:r>
    </w:p>
    <w:p w14:paraId="19451C73" w14:textId="77777777" w:rsidR="00A338D6" w:rsidRPr="00632FB8" w:rsidRDefault="00A338D6" w:rsidP="00632FB8">
      <w:pPr>
        <w:pStyle w:val="Default"/>
        <w:ind w:left="397"/>
        <w:rPr>
          <w:rFonts w:asciiTheme="minorHAnsi" w:hAnsiTheme="minorHAnsi" w:cstheme="minorHAnsi"/>
          <w:sz w:val="22"/>
          <w:szCs w:val="22"/>
        </w:rPr>
      </w:pPr>
    </w:p>
    <w:p w14:paraId="5558C62E" w14:textId="0B611F9A" w:rsidR="00DE0565" w:rsidRDefault="00DE0565" w:rsidP="00DE0565">
      <w:pPr>
        <w:pStyle w:val="Default"/>
        <w:ind w:left="397"/>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Expected Conduct-related AEs </w:t>
      </w:r>
    </w:p>
    <w:p w14:paraId="280616C9" w14:textId="77777777" w:rsidR="00A338D6" w:rsidRPr="00632FB8" w:rsidRDefault="00A338D6" w:rsidP="00632FB8">
      <w:pPr>
        <w:pStyle w:val="Default"/>
        <w:ind w:left="397"/>
        <w:rPr>
          <w:rFonts w:asciiTheme="minorHAnsi" w:hAnsiTheme="minorHAnsi" w:cstheme="minorHAnsi"/>
          <w:sz w:val="22"/>
          <w:szCs w:val="22"/>
        </w:rPr>
      </w:pPr>
    </w:p>
    <w:p w14:paraId="49B7B46B" w14:textId="77777777"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use of an indwelling cannula for the purpose of blood sampling and administration of study drug may be accompanied by mild bruising and also, in rare cases, by transient inflammation of the vessel wall. After initial irritation, the presence of an indwelling cannula is usually painless and hardly noticeable. The same applies to single vein punctures for blood sampling. </w:t>
      </w:r>
    </w:p>
    <w:p w14:paraId="3ED4598C" w14:textId="77777777" w:rsidR="007142E3" w:rsidRDefault="007142E3" w:rsidP="00632FB8">
      <w:pPr>
        <w:pStyle w:val="Default"/>
        <w:jc w:val="both"/>
        <w:rPr>
          <w:rFonts w:asciiTheme="minorHAnsi" w:hAnsiTheme="minorHAnsi" w:cstheme="minorHAnsi"/>
          <w:sz w:val="22"/>
          <w:szCs w:val="22"/>
        </w:rPr>
      </w:pPr>
    </w:p>
    <w:p w14:paraId="27914151" w14:textId="0CA4ED92"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Patients may also experience discomfort from lying in the camera, e.g. back pain. </w:t>
      </w:r>
    </w:p>
    <w:p w14:paraId="2E3AB7A2" w14:textId="77777777" w:rsidR="00A338D6" w:rsidRPr="00632FB8" w:rsidRDefault="00A338D6" w:rsidP="00632FB8">
      <w:pPr>
        <w:pStyle w:val="Default"/>
        <w:ind w:left="397"/>
        <w:jc w:val="both"/>
        <w:rPr>
          <w:rFonts w:asciiTheme="minorHAnsi" w:hAnsiTheme="minorHAnsi" w:cstheme="minorHAnsi"/>
          <w:sz w:val="22"/>
          <w:szCs w:val="22"/>
        </w:rPr>
      </w:pPr>
    </w:p>
    <w:p w14:paraId="0A838F1B" w14:textId="1DA3812B" w:rsidR="00DE0565" w:rsidRDefault="00DE0565" w:rsidP="00632FB8">
      <w:pPr>
        <w:pStyle w:val="Default"/>
        <w:ind w:left="397"/>
        <w:jc w:val="both"/>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Expected Adverse Drug Reactions </w:t>
      </w:r>
    </w:p>
    <w:p w14:paraId="249F14C2" w14:textId="77777777" w:rsidR="00A338D6" w:rsidRPr="00632FB8" w:rsidRDefault="00A338D6" w:rsidP="00632FB8">
      <w:pPr>
        <w:pStyle w:val="Default"/>
        <w:jc w:val="both"/>
        <w:rPr>
          <w:rFonts w:asciiTheme="minorHAnsi" w:hAnsiTheme="minorHAnsi" w:cstheme="minorHAnsi"/>
          <w:sz w:val="22"/>
          <w:szCs w:val="22"/>
        </w:rPr>
      </w:pPr>
    </w:p>
    <w:p w14:paraId="588218B5" w14:textId="17B94250" w:rsidR="00DE0565" w:rsidRPr="00632FB8" w:rsidRDefault="00DE0565" w:rsidP="00632FB8">
      <w:pPr>
        <w:pStyle w:val="Default"/>
        <w:spacing w:after="198"/>
        <w:jc w:val="both"/>
        <w:rPr>
          <w:rFonts w:asciiTheme="minorHAnsi" w:hAnsiTheme="minorHAnsi" w:cstheme="minorHAnsi"/>
          <w:sz w:val="22"/>
          <w:szCs w:val="22"/>
        </w:rPr>
      </w:pPr>
      <w:r w:rsidRPr="00632FB8">
        <w:rPr>
          <w:rFonts w:asciiTheme="minorHAnsi" w:hAnsiTheme="minorHAnsi" w:cstheme="minorHAnsi"/>
          <w:sz w:val="22"/>
          <w:szCs w:val="22"/>
        </w:rPr>
        <w:t>The definition below follows ICH-GCP (see also ICH Guideline for Clinical Safety Data Management: Definitions and Standards for Expedited Reporting):</w:t>
      </w:r>
    </w:p>
    <w:p w14:paraId="4B5DA647" w14:textId="56E3879A" w:rsidR="00A338D6" w:rsidRDefault="00DE0565" w:rsidP="00632FB8">
      <w:pPr>
        <w:pStyle w:val="Default"/>
        <w:ind w:left="397"/>
        <w:jc w:val="both"/>
        <w:rPr>
          <w:rFonts w:asciiTheme="minorHAnsi" w:hAnsiTheme="minorHAnsi" w:cstheme="minorHAnsi"/>
          <w:sz w:val="22"/>
          <w:szCs w:val="22"/>
          <w:u w:val="single"/>
        </w:rPr>
      </w:pPr>
      <w:r w:rsidRPr="00632FB8">
        <w:rPr>
          <w:rFonts w:asciiTheme="minorHAnsi" w:hAnsiTheme="minorHAnsi" w:cstheme="minorHAnsi"/>
          <w:sz w:val="22"/>
          <w:szCs w:val="22"/>
          <w:u w:val="single"/>
        </w:rPr>
        <w:t xml:space="preserve">Adverse drug reaction (ADR) </w:t>
      </w:r>
    </w:p>
    <w:p w14:paraId="71D6042C" w14:textId="77777777" w:rsidR="00A338D6" w:rsidRPr="00632FB8" w:rsidRDefault="00A338D6" w:rsidP="00632FB8">
      <w:pPr>
        <w:pStyle w:val="Default"/>
        <w:ind w:left="397"/>
        <w:jc w:val="both"/>
        <w:rPr>
          <w:rFonts w:asciiTheme="minorHAnsi" w:hAnsiTheme="minorHAnsi" w:cstheme="minorHAnsi"/>
          <w:sz w:val="22"/>
          <w:szCs w:val="22"/>
          <w:u w:val="single"/>
        </w:rPr>
      </w:pPr>
    </w:p>
    <w:p w14:paraId="23DEDEB5" w14:textId="77777777"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In the pre-approval clinical experience with a new medicinal product or its new usages, particularly as the therapeutic dose(s) may not be established, all noxious and unintended responses to a medicinal product related to any dose should be considered as ADR. The phrase 'responses to a medicinal product' means that a causal relationship between a medicinal product and an AE is at least a reasonable possibility, i.e., the relationship cannot be ruled out. </w:t>
      </w:r>
    </w:p>
    <w:p w14:paraId="34472739" w14:textId="77777777" w:rsidR="00A338D6" w:rsidRDefault="00A338D6" w:rsidP="00632FB8">
      <w:pPr>
        <w:pStyle w:val="Default"/>
        <w:ind w:left="397"/>
        <w:jc w:val="both"/>
        <w:rPr>
          <w:rFonts w:asciiTheme="minorHAnsi" w:hAnsiTheme="minorHAnsi" w:cstheme="minorHAnsi"/>
          <w:sz w:val="22"/>
          <w:szCs w:val="22"/>
        </w:rPr>
      </w:pPr>
    </w:p>
    <w:p w14:paraId="639B4644" w14:textId="77777777" w:rsidR="00A338D6" w:rsidRPr="00632FB8" w:rsidRDefault="00A338D6" w:rsidP="00632FB8">
      <w:pPr>
        <w:pStyle w:val="Default"/>
        <w:ind w:left="397"/>
        <w:rPr>
          <w:rFonts w:asciiTheme="minorHAnsi" w:hAnsiTheme="minorHAnsi" w:cstheme="minorHAnsi"/>
          <w:sz w:val="22"/>
          <w:szCs w:val="22"/>
        </w:rPr>
      </w:pPr>
    </w:p>
    <w:p w14:paraId="37DE5CD0" w14:textId="28B87E17" w:rsidR="00DE0565" w:rsidRDefault="00DE0565" w:rsidP="00DE0565">
      <w:pPr>
        <w:pStyle w:val="Default"/>
        <w:ind w:left="397"/>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Unexpected Adverse Drug Reactions </w:t>
      </w:r>
    </w:p>
    <w:p w14:paraId="48C9FDAA" w14:textId="77777777" w:rsidR="00A338D6" w:rsidRPr="00632FB8" w:rsidRDefault="00A338D6" w:rsidP="00632FB8">
      <w:pPr>
        <w:pStyle w:val="Default"/>
        <w:ind w:left="397"/>
        <w:rPr>
          <w:rFonts w:asciiTheme="minorHAnsi" w:hAnsiTheme="minorHAnsi" w:cstheme="minorHAnsi"/>
          <w:sz w:val="22"/>
          <w:szCs w:val="22"/>
        </w:rPr>
      </w:pPr>
    </w:p>
    <w:p w14:paraId="689B6E1A" w14:textId="5171CA6A"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An unexpected adverse drug reaction is defined as any adverse drug experience, the nature, specificity or severity of which is not consistent with the applicable product. “Unexpected” as used in this definition refers to an adverse drug experience that has not been previously observed and included in the product information, rather than from the perspective of such experience not being anticipated from the pharmacological properties of the investigational product. Any unexpected ADR, as of formal criteria of an SAE may not be met, (see above), has to be reported by the investigator immediately after informing the sponsor, using an SAE form. </w:t>
      </w:r>
    </w:p>
    <w:p w14:paraId="061EA4AF" w14:textId="77777777" w:rsidR="00A338D6" w:rsidRPr="00632FB8" w:rsidRDefault="00A338D6" w:rsidP="00632FB8">
      <w:pPr>
        <w:pStyle w:val="Default"/>
        <w:ind w:left="397"/>
        <w:jc w:val="both"/>
        <w:rPr>
          <w:rFonts w:asciiTheme="minorHAnsi" w:hAnsiTheme="minorHAnsi" w:cstheme="minorHAnsi"/>
          <w:sz w:val="22"/>
          <w:szCs w:val="22"/>
        </w:rPr>
      </w:pPr>
    </w:p>
    <w:p w14:paraId="2DDBD3C8" w14:textId="77777777"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8.8.2.5 Serious Adverse Events </w:t>
      </w:r>
    </w:p>
    <w:p w14:paraId="737C2E91" w14:textId="77777777" w:rsidR="007142E3" w:rsidRPr="00632FB8" w:rsidRDefault="007142E3" w:rsidP="00632FB8">
      <w:pPr>
        <w:pStyle w:val="Default"/>
        <w:ind w:left="397"/>
        <w:jc w:val="both"/>
        <w:rPr>
          <w:rFonts w:asciiTheme="minorHAnsi" w:hAnsiTheme="minorHAnsi" w:cstheme="minorHAnsi"/>
          <w:sz w:val="22"/>
          <w:szCs w:val="22"/>
        </w:rPr>
      </w:pPr>
    </w:p>
    <w:p w14:paraId="65586E8E" w14:textId="60A06E77" w:rsidR="00DE0565" w:rsidRDefault="00DE0565" w:rsidP="00632FB8">
      <w:pPr>
        <w:pStyle w:val="Default"/>
        <w:ind w:left="397"/>
        <w:jc w:val="both"/>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Definition of Serious Adverse Events </w:t>
      </w:r>
    </w:p>
    <w:p w14:paraId="48885462" w14:textId="77777777" w:rsidR="007142E3" w:rsidRPr="00632FB8" w:rsidRDefault="007142E3" w:rsidP="00632FB8">
      <w:pPr>
        <w:pStyle w:val="Default"/>
        <w:jc w:val="both"/>
        <w:rPr>
          <w:rFonts w:asciiTheme="minorHAnsi" w:hAnsiTheme="minorHAnsi" w:cstheme="minorHAnsi"/>
          <w:sz w:val="22"/>
          <w:szCs w:val="22"/>
        </w:rPr>
      </w:pPr>
    </w:p>
    <w:p w14:paraId="0C9621B2" w14:textId="156F22D9"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lastRenderedPageBreak/>
        <w:t>The following SAE definition is based on ICH guidelines and the final rule issued by the Food and Drug</w:t>
      </w:r>
      <w:r w:rsidR="007142E3">
        <w:rPr>
          <w:rFonts w:asciiTheme="minorHAnsi" w:hAnsiTheme="minorHAnsi" w:cstheme="minorHAnsi"/>
          <w:sz w:val="22"/>
          <w:szCs w:val="22"/>
        </w:rPr>
        <w:t xml:space="preserve"> </w:t>
      </w:r>
      <w:r w:rsidRPr="00632FB8">
        <w:rPr>
          <w:rFonts w:asciiTheme="minorHAnsi" w:hAnsiTheme="minorHAnsi" w:cstheme="minorHAnsi"/>
          <w:sz w:val="22"/>
          <w:szCs w:val="22"/>
        </w:rPr>
        <w:t xml:space="preserve">Administration (FDA) and effective 06 Apr 1998. It is to be applied to both, AEs (defined in Section 8.8.2.1) and baseline findings (defined in Section 8.8.1). </w:t>
      </w:r>
    </w:p>
    <w:p w14:paraId="65EB3691" w14:textId="77777777" w:rsidR="00A338D6" w:rsidRPr="00632FB8" w:rsidRDefault="00A338D6" w:rsidP="00632FB8">
      <w:pPr>
        <w:pStyle w:val="Default"/>
        <w:ind w:left="397"/>
        <w:jc w:val="both"/>
        <w:rPr>
          <w:rFonts w:asciiTheme="minorHAnsi" w:hAnsiTheme="minorHAnsi" w:cstheme="minorHAnsi"/>
          <w:sz w:val="22"/>
          <w:szCs w:val="22"/>
        </w:rPr>
      </w:pPr>
    </w:p>
    <w:p w14:paraId="7697508D" w14:textId="77777777" w:rsidR="00DE0565" w:rsidRPr="00632FB8" w:rsidRDefault="00DE0565" w:rsidP="00632FB8">
      <w:pPr>
        <w:pStyle w:val="Default"/>
        <w:ind w:left="397"/>
        <w:jc w:val="both"/>
        <w:rPr>
          <w:rFonts w:asciiTheme="minorHAnsi" w:hAnsiTheme="minorHAnsi" w:cstheme="minorHAnsi"/>
          <w:sz w:val="22"/>
          <w:szCs w:val="22"/>
        </w:rPr>
      </w:pPr>
      <w:r w:rsidRPr="00632FB8">
        <w:rPr>
          <w:rFonts w:asciiTheme="minorHAnsi" w:hAnsiTheme="minorHAnsi" w:cstheme="minorHAnsi"/>
          <w:sz w:val="22"/>
          <w:szCs w:val="22"/>
        </w:rPr>
        <w:t xml:space="preserve">An SAE is classified as any untoward medical occurrence that at any dose </w:t>
      </w:r>
    </w:p>
    <w:p w14:paraId="25FA157B" w14:textId="470A992A" w:rsidR="00DE0565" w:rsidRPr="00632FB8" w:rsidRDefault="00DE0565" w:rsidP="00632FB8">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Results in death, or </w:t>
      </w:r>
    </w:p>
    <w:p w14:paraId="0616C4A9" w14:textId="7CA2AC88" w:rsidR="00DE0565" w:rsidRPr="00632FB8" w:rsidRDefault="00DE0565" w:rsidP="00632FB8">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Is life threatening, or </w:t>
      </w:r>
    </w:p>
    <w:p w14:paraId="32834AFB" w14:textId="07C1DA2A" w:rsidR="00DE0565" w:rsidRPr="00632FB8" w:rsidRDefault="00DE0565" w:rsidP="00632FB8">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Requires inpatient hospitalization or prolongation of existing hospitalization, or </w:t>
      </w:r>
    </w:p>
    <w:p w14:paraId="71E052E0" w14:textId="32DB415E" w:rsidR="00DE0565" w:rsidRPr="00632FB8" w:rsidRDefault="00DE0565" w:rsidP="00632FB8">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Results in persistent or significant disability / incapacity, or </w:t>
      </w:r>
    </w:p>
    <w:p w14:paraId="45D85775" w14:textId="20679143" w:rsidR="00DE0565" w:rsidRPr="00632FB8" w:rsidRDefault="00DE0565" w:rsidP="00632FB8">
      <w:pPr>
        <w:pStyle w:val="Default"/>
        <w:numPr>
          <w:ilvl w:val="0"/>
          <w:numId w:val="33"/>
        </w:numPr>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Is a congenital anomaly / birth defect. </w:t>
      </w:r>
    </w:p>
    <w:p w14:paraId="179FF58E" w14:textId="77777777" w:rsidR="00DE0565" w:rsidRPr="00632FB8" w:rsidRDefault="00DE0565" w:rsidP="00632FB8">
      <w:pPr>
        <w:pStyle w:val="Default"/>
        <w:ind w:left="397"/>
        <w:jc w:val="both"/>
        <w:rPr>
          <w:rFonts w:asciiTheme="minorHAnsi" w:hAnsiTheme="minorHAnsi" w:cstheme="minorHAnsi"/>
          <w:sz w:val="22"/>
          <w:szCs w:val="22"/>
        </w:rPr>
      </w:pPr>
    </w:p>
    <w:p w14:paraId="3931A4C5" w14:textId="27199567" w:rsidR="00DE0565" w:rsidRPr="00632FB8" w:rsidRDefault="00DE0565" w:rsidP="00632FB8">
      <w:pPr>
        <w:pStyle w:val="Default"/>
        <w:spacing w:after="198"/>
        <w:jc w:val="both"/>
        <w:rPr>
          <w:rFonts w:cstheme="minorHAnsi"/>
          <w:b/>
          <w:bCs/>
        </w:rPr>
      </w:pPr>
      <w:r w:rsidRPr="00632FB8">
        <w:rPr>
          <w:rFonts w:asciiTheme="minorHAnsi" w:hAnsiTheme="minorHAnsi" w:cstheme="minorHAnsi"/>
          <w:sz w:val="22"/>
          <w:szCs w:val="22"/>
        </w:rPr>
        <w:t xml:space="preserve">The term </w:t>
      </w:r>
      <w:r w:rsidR="00A338D6">
        <w:rPr>
          <w:rFonts w:asciiTheme="minorHAnsi" w:hAnsiTheme="minorHAnsi" w:cstheme="minorHAnsi"/>
          <w:sz w:val="22"/>
          <w:szCs w:val="22"/>
        </w:rPr>
        <w:t>“</w:t>
      </w:r>
      <w:r w:rsidRPr="00632FB8">
        <w:rPr>
          <w:rFonts w:asciiTheme="minorHAnsi" w:hAnsiTheme="minorHAnsi" w:cstheme="minorHAnsi"/>
          <w:sz w:val="22"/>
          <w:szCs w:val="22"/>
        </w:rPr>
        <w:t>life threatening</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 in the definition refers to an event in which the patient was at risk of death at the time of the event, it does not refer to an event which hypothetically might have caused death if it were more severe.</w:t>
      </w:r>
    </w:p>
    <w:p w14:paraId="492C9B10" w14:textId="63989D3F" w:rsidR="007142E3" w:rsidRPr="00B549E6"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Medical and scientific judgment should be exercised in deciding whether it is appropriate to also report an AE as serious in other situations, such as important medical events that may not be immediately life threatening or result in death or hospitalization but may jeopardize the patient or may require intervention to prevent one of the other outcomes listed in the definition above. These should also usually be considered serious. Examples of such events are intensive treatment in an emergency room or at home for allergic bronchospasm; blood dyscrasias or convulsions that do not result in inpatient hospitalization; or development of drug dependency or drug abuse. </w:t>
      </w:r>
    </w:p>
    <w:p w14:paraId="665BCDE4" w14:textId="77777777" w:rsidR="00A338D6" w:rsidRPr="00632FB8" w:rsidRDefault="00A338D6" w:rsidP="00632FB8">
      <w:pPr>
        <w:pStyle w:val="Default"/>
        <w:jc w:val="both"/>
        <w:rPr>
          <w:rFonts w:asciiTheme="minorHAnsi" w:hAnsiTheme="minorHAnsi" w:cstheme="minorHAnsi"/>
          <w:sz w:val="22"/>
          <w:szCs w:val="22"/>
        </w:rPr>
      </w:pPr>
    </w:p>
    <w:p w14:paraId="46439F46" w14:textId="6AF68F7F" w:rsidR="00DE0565" w:rsidRDefault="00DE0565" w:rsidP="00632FB8">
      <w:pPr>
        <w:pStyle w:val="Default"/>
        <w:ind w:left="397"/>
        <w:jc w:val="both"/>
        <w:rPr>
          <w:rFonts w:asciiTheme="minorHAnsi" w:hAnsiTheme="minorHAnsi" w:cstheme="minorHAnsi"/>
          <w:b/>
          <w:bCs/>
          <w:i/>
          <w:iCs/>
          <w:sz w:val="22"/>
          <w:szCs w:val="22"/>
        </w:rPr>
      </w:pPr>
      <w:r w:rsidRPr="00632FB8">
        <w:rPr>
          <w:rFonts w:asciiTheme="minorHAnsi" w:hAnsiTheme="minorHAnsi" w:cstheme="minorHAnsi"/>
          <w:b/>
          <w:bCs/>
          <w:i/>
          <w:iCs/>
          <w:sz w:val="22"/>
          <w:szCs w:val="22"/>
        </w:rPr>
        <w:t xml:space="preserve">Actions and Reporting Obligations in Case of Serious Adverse Events </w:t>
      </w:r>
    </w:p>
    <w:p w14:paraId="0FEBFC04" w14:textId="77777777" w:rsidR="00A338D6" w:rsidRPr="00632FB8" w:rsidRDefault="00A338D6" w:rsidP="00632FB8">
      <w:pPr>
        <w:pStyle w:val="Default"/>
        <w:ind w:left="397"/>
        <w:jc w:val="both"/>
        <w:rPr>
          <w:rFonts w:asciiTheme="minorHAnsi" w:hAnsiTheme="minorHAnsi" w:cstheme="minorHAnsi"/>
          <w:sz w:val="22"/>
          <w:szCs w:val="22"/>
        </w:rPr>
      </w:pPr>
    </w:p>
    <w:p w14:paraId="2B4220DD" w14:textId="28F24CDB"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All AEs that meet the criteria for serious require the completion of a SAE Report Form, in addition to being recorded on the AE pages of the patients</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 CRF. This applies to all SAEs, whether or not they were considered to be related to study treatment. </w:t>
      </w:r>
    </w:p>
    <w:p w14:paraId="280ED833" w14:textId="77777777" w:rsidR="00A338D6" w:rsidRPr="00632FB8" w:rsidRDefault="00A338D6" w:rsidP="00632FB8">
      <w:pPr>
        <w:pStyle w:val="Default"/>
        <w:ind w:left="397"/>
        <w:jc w:val="both"/>
        <w:rPr>
          <w:rFonts w:asciiTheme="minorHAnsi" w:hAnsiTheme="minorHAnsi" w:cstheme="minorHAnsi"/>
          <w:sz w:val="22"/>
          <w:szCs w:val="22"/>
        </w:rPr>
      </w:pPr>
    </w:p>
    <w:p w14:paraId="22F38F5C" w14:textId="63D4D821" w:rsidR="00DE0565" w:rsidRPr="00632FB8"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b/>
          <w:bCs/>
          <w:sz w:val="22"/>
          <w:szCs w:val="22"/>
          <w:u w:val="single"/>
        </w:rPr>
        <w:t>SAEs must be reported within 24 hours</w:t>
      </w:r>
      <w:r w:rsidRPr="00632FB8">
        <w:rPr>
          <w:rFonts w:asciiTheme="minorHAnsi" w:hAnsiTheme="minorHAnsi" w:cstheme="minorHAnsi"/>
          <w:sz w:val="22"/>
          <w:szCs w:val="22"/>
        </w:rPr>
        <w:t xml:space="preserve">, once the Investigator or other study site personnel are aware of the event. The reporting is delegated by the Sponsor to the coordinating CRO. An initial written report should be prepared using the SAE Report Form and faxed to the Sponsor. This report should provide a detailed description of the SAE. Any other relevant documents such as anonymised copies of hospital records may also be attached, if available. If it is not possible to notify the Sponsor by fax within 24 hours, an initial notification by telephone should be made, to include the following information: </w:t>
      </w:r>
    </w:p>
    <w:p w14:paraId="74CF846D" w14:textId="5F03A901"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Identification of the Investigator and centre. </w:t>
      </w:r>
    </w:p>
    <w:p w14:paraId="581838CA" w14:textId="2A7766A1"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Patient number and initials </w:t>
      </w:r>
    </w:p>
    <w:p w14:paraId="34478C81" w14:textId="354723CA"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Confirmation of study medication given, with date and dose. </w:t>
      </w:r>
    </w:p>
    <w:p w14:paraId="37E5F2A7" w14:textId="0534C2F8"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Concomitant medication and indication for using such medication. </w:t>
      </w:r>
    </w:p>
    <w:p w14:paraId="0B9AB694" w14:textId="54285B9D"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 xml:space="preserve">Information on the event, including date and time of onset of symptoms, severity, resolution (if applicable), date of death or other outcome (as applicable). </w:t>
      </w:r>
    </w:p>
    <w:p w14:paraId="495B114D" w14:textId="64D19D05" w:rsidR="00DE0565" w:rsidRPr="00632FB8" w:rsidRDefault="00DE0565" w:rsidP="00632FB8">
      <w:pPr>
        <w:pStyle w:val="Default"/>
        <w:numPr>
          <w:ilvl w:val="0"/>
          <w:numId w:val="33"/>
        </w:numPr>
        <w:snapToGrid w:val="0"/>
        <w:ind w:left="1077" w:hanging="357"/>
        <w:jc w:val="both"/>
        <w:rPr>
          <w:rFonts w:asciiTheme="minorHAnsi" w:hAnsiTheme="minorHAnsi" w:cstheme="minorHAnsi"/>
          <w:sz w:val="22"/>
          <w:szCs w:val="22"/>
        </w:rPr>
      </w:pPr>
      <w:r w:rsidRPr="00632FB8">
        <w:rPr>
          <w:rFonts w:asciiTheme="minorHAnsi" w:hAnsiTheme="minorHAnsi" w:cstheme="minorHAnsi"/>
          <w:sz w:val="22"/>
          <w:szCs w:val="22"/>
        </w:rPr>
        <w:t>Relationship with study medication in the Investigator</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s opinion. </w:t>
      </w:r>
    </w:p>
    <w:p w14:paraId="45B38007" w14:textId="77777777" w:rsidR="00DE0565" w:rsidRDefault="00DE0565" w:rsidP="00632FB8">
      <w:pPr>
        <w:pStyle w:val="Default"/>
        <w:ind w:leftChars="720" w:left="1584"/>
        <w:jc w:val="both"/>
        <w:rPr>
          <w:sz w:val="22"/>
          <w:szCs w:val="22"/>
        </w:rPr>
      </w:pPr>
    </w:p>
    <w:p w14:paraId="12436A35" w14:textId="47FAF629"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All reports of death, both toxic death and death as a result of progression of disease, should be reported to the Sponsor immediately using the SAE Report Log. A detailed description of the cause of death should be provided. Any additional information which becomes known to the Investigator should be provided in a follow-up report. </w:t>
      </w:r>
    </w:p>
    <w:p w14:paraId="00413918" w14:textId="77777777" w:rsidR="00A338D6" w:rsidRPr="00632FB8" w:rsidRDefault="00A338D6" w:rsidP="00632FB8">
      <w:pPr>
        <w:pStyle w:val="Default"/>
        <w:ind w:left="397"/>
        <w:jc w:val="both"/>
        <w:rPr>
          <w:rFonts w:asciiTheme="minorHAnsi" w:hAnsiTheme="minorHAnsi" w:cstheme="minorHAnsi"/>
          <w:sz w:val="22"/>
          <w:szCs w:val="22"/>
        </w:rPr>
      </w:pPr>
    </w:p>
    <w:p w14:paraId="3F4E28AE" w14:textId="61380D1B"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8.8.2.6 Other Relevant Safety Information </w:t>
      </w:r>
    </w:p>
    <w:p w14:paraId="3E5BB846" w14:textId="77777777" w:rsidR="00A338D6" w:rsidRPr="00632FB8" w:rsidRDefault="00A338D6" w:rsidP="00632FB8">
      <w:pPr>
        <w:pStyle w:val="Default"/>
        <w:ind w:left="397"/>
        <w:rPr>
          <w:rFonts w:asciiTheme="minorHAnsi" w:hAnsiTheme="minorHAnsi" w:cstheme="minorHAnsi"/>
          <w:sz w:val="22"/>
          <w:szCs w:val="22"/>
        </w:rPr>
      </w:pPr>
    </w:p>
    <w:p w14:paraId="17AD93B2" w14:textId="727B235B" w:rsidR="001B297B" w:rsidRPr="009B18EE" w:rsidRDefault="00DE0565" w:rsidP="00BF49CE">
      <w:pPr>
        <w:tabs>
          <w:tab w:val="left" w:pos="1185"/>
        </w:tabs>
        <w:spacing w:after="0" w:line="240" w:lineRule="auto"/>
        <w:jc w:val="both"/>
        <w:rPr>
          <w:rFonts w:cstheme="minorHAnsi"/>
        </w:rPr>
      </w:pPr>
      <w:r w:rsidRPr="00305BC5">
        <w:rPr>
          <w:rFonts w:cstheme="minorHAnsi"/>
        </w:rPr>
        <w:lastRenderedPageBreak/>
        <w:t>The following other safety relev</w:t>
      </w:r>
      <w:r w:rsidRPr="00556D59">
        <w:rPr>
          <w:rFonts w:cstheme="minorHAnsi"/>
        </w:rPr>
        <w:t>ant information must be documented in the patient medical record as well as in the AE pages of the CRF, even if side effects (ADRs) resulting from the ev</w:t>
      </w:r>
      <w:r w:rsidRPr="00613F26">
        <w:rPr>
          <w:rFonts w:cstheme="minorHAnsi"/>
        </w:rPr>
        <w:t>ent were not observed.</w:t>
      </w:r>
    </w:p>
    <w:p w14:paraId="05A9AF70" w14:textId="59BC184E" w:rsidR="00DE0565" w:rsidRPr="005E1225" w:rsidRDefault="00DE0565" w:rsidP="00632FB8">
      <w:pPr>
        <w:tabs>
          <w:tab w:val="left" w:pos="1185"/>
        </w:tabs>
        <w:spacing w:after="0" w:line="240" w:lineRule="auto"/>
        <w:ind w:left="397"/>
        <w:jc w:val="both"/>
        <w:rPr>
          <w:rFonts w:cstheme="minorHAnsi"/>
        </w:rPr>
      </w:pPr>
    </w:p>
    <w:p w14:paraId="4CC6093F" w14:textId="5FB93A2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Additionally, for all events (post-study related safety information, pregnancies, overdose, drug interaction, medication error) that fulfil the criteria for seriousness, an SAE Form must be completed by authorized staff and signed by the investigator. </w:t>
      </w:r>
    </w:p>
    <w:p w14:paraId="04E3D660" w14:textId="77777777" w:rsidR="006744C3" w:rsidRDefault="006744C3" w:rsidP="00632FB8">
      <w:pPr>
        <w:pStyle w:val="Default"/>
        <w:rPr>
          <w:rFonts w:asciiTheme="minorHAnsi" w:hAnsiTheme="minorHAnsi" w:cstheme="minorHAnsi"/>
          <w:sz w:val="22"/>
          <w:szCs w:val="22"/>
        </w:rPr>
      </w:pPr>
    </w:p>
    <w:p w14:paraId="33A3DB05" w14:textId="70647642" w:rsidR="006744C3" w:rsidRDefault="006744C3" w:rsidP="00632FB8">
      <w:pPr>
        <w:pStyle w:val="Default"/>
        <w:rPr>
          <w:rFonts w:asciiTheme="minorHAnsi" w:hAnsiTheme="minorHAnsi" w:cstheme="minorHAnsi"/>
          <w:sz w:val="22"/>
          <w:szCs w:val="22"/>
        </w:rPr>
      </w:pPr>
      <w:r w:rsidRPr="0081134C">
        <w:rPr>
          <w:rFonts w:asciiTheme="minorHAnsi" w:hAnsiTheme="minorHAnsi" w:cstheme="minorHAnsi"/>
          <w:sz w:val="22"/>
          <w:szCs w:val="22"/>
        </w:rPr>
        <w:t>Participants will contact the Clinical Trials Nurse if they develop any AEs or have any questions regarding any symptoms they may be experiencing.</w:t>
      </w:r>
      <w:r>
        <w:rPr>
          <w:rFonts w:asciiTheme="minorHAnsi" w:hAnsiTheme="minorHAnsi" w:cstheme="minorHAnsi"/>
          <w:sz w:val="22"/>
          <w:szCs w:val="22"/>
        </w:rPr>
        <w:t xml:space="preserve"> </w:t>
      </w:r>
    </w:p>
    <w:p w14:paraId="5FF808FC" w14:textId="77777777" w:rsidR="00A338D6" w:rsidRPr="00632FB8" w:rsidRDefault="00A338D6" w:rsidP="00632FB8">
      <w:pPr>
        <w:pStyle w:val="Default"/>
        <w:ind w:left="397"/>
        <w:rPr>
          <w:rFonts w:asciiTheme="minorHAnsi" w:hAnsiTheme="minorHAnsi" w:cstheme="minorHAnsi"/>
          <w:sz w:val="22"/>
          <w:szCs w:val="22"/>
        </w:rPr>
      </w:pPr>
    </w:p>
    <w:p w14:paraId="7317F2FC" w14:textId="70D55F7D"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rPr>
        <w:t xml:space="preserve">a) Post-study related safety information </w:t>
      </w:r>
    </w:p>
    <w:p w14:paraId="78D19060" w14:textId="497D953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Any SAE (including deaths) which occurs until the final study visit should be reported by the investigator to the sponsor in case the investigator becomes aware of it. </w:t>
      </w:r>
    </w:p>
    <w:p w14:paraId="71D17D59" w14:textId="77777777" w:rsidR="00A338D6" w:rsidRPr="00632FB8" w:rsidRDefault="00A338D6" w:rsidP="00632FB8">
      <w:pPr>
        <w:pStyle w:val="Default"/>
        <w:ind w:left="397"/>
        <w:rPr>
          <w:rFonts w:asciiTheme="minorHAnsi" w:hAnsiTheme="minorHAnsi" w:cstheme="minorHAnsi"/>
          <w:sz w:val="22"/>
          <w:szCs w:val="22"/>
        </w:rPr>
      </w:pPr>
    </w:p>
    <w:p w14:paraId="1E4BBF2B" w14:textId="77777777" w:rsidR="00697F0B" w:rsidRDefault="00697F0B" w:rsidP="00632FB8">
      <w:pPr>
        <w:pStyle w:val="Default"/>
        <w:ind w:left="397"/>
        <w:rPr>
          <w:rFonts w:asciiTheme="minorHAnsi" w:hAnsiTheme="minorHAnsi" w:cstheme="minorHAnsi"/>
          <w:b/>
          <w:bCs/>
          <w:i/>
          <w:iCs/>
        </w:rPr>
      </w:pPr>
    </w:p>
    <w:p w14:paraId="231A8290" w14:textId="77777777" w:rsidR="00697F0B" w:rsidRDefault="00697F0B" w:rsidP="00632FB8">
      <w:pPr>
        <w:pStyle w:val="Default"/>
        <w:ind w:left="397"/>
        <w:rPr>
          <w:rFonts w:asciiTheme="minorHAnsi" w:hAnsiTheme="minorHAnsi" w:cstheme="minorHAnsi"/>
          <w:b/>
          <w:bCs/>
          <w:i/>
          <w:iCs/>
        </w:rPr>
      </w:pPr>
    </w:p>
    <w:p w14:paraId="062D736F" w14:textId="563AA6B6"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i/>
          <w:iCs/>
        </w:rPr>
        <w:t xml:space="preserve">b) Pregnancies </w:t>
      </w:r>
    </w:p>
    <w:p w14:paraId="18B21AA1" w14:textId="0CC2A58A"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Every effort will be made to avoid pregnancy during the use of the IMP. Pregnancies occurring during the study (foetal exposure to the IMP) need to be reported. </w:t>
      </w:r>
    </w:p>
    <w:p w14:paraId="22554952" w14:textId="77777777" w:rsidR="00A338D6" w:rsidRPr="00632FB8" w:rsidRDefault="00A338D6" w:rsidP="00632FB8">
      <w:pPr>
        <w:pStyle w:val="Default"/>
        <w:ind w:left="397"/>
        <w:rPr>
          <w:rFonts w:asciiTheme="minorHAnsi" w:hAnsiTheme="minorHAnsi" w:cstheme="minorHAnsi"/>
          <w:sz w:val="22"/>
          <w:szCs w:val="22"/>
        </w:rPr>
      </w:pPr>
    </w:p>
    <w:p w14:paraId="77FEDF80" w14:textId="27188CD3" w:rsidR="00A338D6" w:rsidRPr="00632FB8" w:rsidRDefault="007142E3" w:rsidP="00632FB8">
      <w:pPr>
        <w:pStyle w:val="Default"/>
        <w:ind w:left="397"/>
        <w:rPr>
          <w:rFonts w:asciiTheme="minorHAnsi" w:hAnsiTheme="minorHAnsi" w:cstheme="minorHAnsi"/>
          <w:sz w:val="22"/>
          <w:szCs w:val="22"/>
        </w:rPr>
      </w:pPr>
      <w:r>
        <w:rPr>
          <w:rFonts w:asciiTheme="minorHAnsi" w:hAnsiTheme="minorHAnsi" w:cstheme="minorHAnsi"/>
          <w:b/>
          <w:bCs/>
          <w:sz w:val="22"/>
          <w:szCs w:val="22"/>
        </w:rPr>
        <w:t xml:space="preserve">c) </w:t>
      </w:r>
      <w:r w:rsidR="00DE0565" w:rsidRPr="00632FB8">
        <w:rPr>
          <w:rFonts w:asciiTheme="minorHAnsi" w:hAnsiTheme="minorHAnsi" w:cstheme="minorHAnsi"/>
          <w:b/>
          <w:bCs/>
        </w:rPr>
        <w:t xml:space="preserve">Overdose, interaction, and medication error </w:t>
      </w:r>
    </w:p>
    <w:p w14:paraId="6B3BE75C" w14:textId="07D1324E"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The following safety relevant information should be reported as AE or, if the reaction fulfils one of the criteria for seriousness, as SAE. </w:t>
      </w:r>
    </w:p>
    <w:p w14:paraId="7F839719" w14:textId="77777777" w:rsidR="00A338D6" w:rsidRPr="00632FB8" w:rsidRDefault="00A338D6" w:rsidP="00632FB8">
      <w:pPr>
        <w:pStyle w:val="Default"/>
        <w:ind w:left="397"/>
        <w:rPr>
          <w:rFonts w:asciiTheme="minorHAnsi" w:hAnsiTheme="minorHAnsi" w:cstheme="minorHAnsi"/>
          <w:sz w:val="22"/>
          <w:szCs w:val="22"/>
        </w:rPr>
      </w:pPr>
    </w:p>
    <w:p w14:paraId="2DCB639B" w14:textId="5657FE5F" w:rsidR="00DE0565" w:rsidRPr="00632FB8" w:rsidRDefault="007142E3" w:rsidP="00632FB8">
      <w:pPr>
        <w:pStyle w:val="Default"/>
        <w:ind w:left="397"/>
        <w:rPr>
          <w:rFonts w:asciiTheme="minorHAnsi" w:hAnsiTheme="minorHAnsi" w:cstheme="minorHAnsi"/>
          <w:sz w:val="22"/>
          <w:szCs w:val="22"/>
        </w:rPr>
      </w:pPr>
      <w:r>
        <w:rPr>
          <w:rFonts w:asciiTheme="minorHAnsi" w:hAnsiTheme="minorHAnsi" w:cstheme="minorHAnsi"/>
          <w:b/>
          <w:bCs/>
          <w:i/>
          <w:iCs/>
          <w:sz w:val="22"/>
          <w:szCs w:val="22"/>
        </w:rPr>
        <w:t>d</w:t>
      </w:r>
      <w:r w:rsidR="00DE0565" w:rsidRPr="00632FB8">
        <w:rPr>
          <w:rFonts w:asciiTheme="minorHAnsi" w:hAnsiTheme="minorHAnsi" w:cstheme="minorHAnsi"/>
          <w:b/>
          <w:bCs/>
          <w:i/>
          <w:iCs/>
        </w:rPr>
        <w:t xml:space="preserve">) Drug overdose </w:t>
      </w:r>
    </w:p>
    <w:p w14:paraId="6EB8EA2D" w14:textId="7648A63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An overdose is a deliberate or inadvertent administration of a treatment at a dose higher than specified in the protocol and higher than the known therapeutic dose that is of clinical relevance. The reaction must be clearly identified as an overdose and reported accordingly using the Adverse Event reporting form. </w:t>
      </w:r>
    </w:p>
    <w:p w14:paraId="7C3C5304" w14:textId="77777777" w:rsidR="007142E3" w:rsidRPr="00632FB8" w:rsidRDefault="007142E3" w:rsidP="00632FB8">
      <w:pPr>
        <w:pStyle w:val="Default"/>
        <w:ind w:left="397"/>
        <w:rPr>
          <w:rFonts w:asciiTheme="minorHAnsi" w:hAnsiTheme="minorHAnsi" w:cstheme="minorHAnsi"/>
          <w:sz w:val="22"/>
          <w:szCs w:val="22"/>
        </w:rPr>
      </w:pPr>
    </w:p>
    <w:p w14:paraId="46FCBB61" w14:textId="08C668CB" w:rsidR="00DE0565" w:rsidRPr="00632FB8" w:rsidRDefault="007142E3" w:rsidP="00632FB8">
      <w:pPr>
        <w:pStyle w:val="Default"/>
        <w:ind w:left="397"/>
        <w:rPr>
          <w:rFonts w:asciiTheme="minorHAnsi" w:hAnsiTheme="minorHAnsi" w:cstheme="minorHAnsi"/>
          <w:sz w:val="22"/>
          <w:szCs w:val="22"/>
        </w:rPr>
      </w:pPr>
      <w:r>
        <w:rPr>
          <w:rFonts w:asciiTheme="minorHAnsi" w:hAnsiTheme="minorHAnsi" w:cstheme="minorHAnsi"/>
          <w:b/>
          <w:bCs/>
          <w:i/>
          <w:iCs/>
          <w:sz w:val="22"/>
          <w:szCs w:val="22"/>
        </w:rPr>
        <w:t>e</w:t>
      </w:r>
      <w:r w:rsidR="00DE0565" w:rsidRPr="00632FB8">
        <w:rPr>
          <w:rFonts w:asciiTheme="minorHAnsi" w:hAnsiTheme="minorHAnsi" w:cstheme="minorHAnsi"/>
          <w:b/>
          <w:bCs/>
          <w:i/>
          <w:iCs/>
          <w:sz w:val="22"/>
          <w:szCs w:val="22"/>
        </w:rPr>
        <w:t xml:space="preserve">) Drug interaction </w:t>
      </w:r>
    </w:p>
    <w:p w14:paraId="5DAE09DD" w14:textId="55F6199F"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 drug interaction is a situation in which a substance or medicinal product affects the activity of an IMP, i.e. increases or decreases its effects, or produces as effect that none of the products would exhibit on its own. The reaction must be clearly identified as a drug interaction. </w:t>
      </w:r>
    </w:p>
    <w:p w14:paraId="5D41CAEB" w14:textId="77777777" w:rsidR="00A338D6" w:rsidRPr="00632FB8" w:rsidRDefault="00A338D6" w:rsidP="00632FB8">
      <w:pPr>
        <w:pStyle w:val="Default"/>
        <w:ind w:left="397"/>
        <w:rPr>
          <w:rFonts w:asciiTheme="minorHAnsi" w:hAnsiTheme="minorHAnsi" w:cstheme="minorHAnsi"/>
          <w:sz w:val="22"/>
          <w:szCs w:val="22"/>
        </w:rPr>
      </w:pPr>
    </w:p>
    <w:p w14:paraId="78BD5C24" w14:textId="3EAEE4E6" w:rsidR="00DE0565" w:rsidRPr="00632FB8" w:rsidRDefault="007142E3" w:rsidP="00632FB8">
      <w:pPr>
        <w:pStyle w:val="Default"/>
        <w:ind w:left="397"/>
        <w:rPr>
          <w:rFonts w:asciiTheme="minorHAnsi" w:hAnsiTheme="minorHAnsi" w:cstheme="minorHAnsi"/>
          <w:sz w:val="22"/>
          <w:szCs w:val="22"/>
        </w:rPr>
      </w:pPr>
      <w:r>
        <w:rPr>
          <w:rFonts w:asciiTheme="minorHAnsi" w:hAnsiTheme="minorHAnsi" w:cstheme="minorHAnsi"/>
          <w:b/>
          <w:bCs/>
          <w:i/>
          <w:iCs/>
          <w:sz w:val="22"/>
          <w:szCs w:val="22"/>
        </w:rPr>
        <w:t>f</w:t>
      </w:r>
      <w:r w:rsidR="00DE0565" w:rsidRPr="00632FB8">
        <w:rPr>
          <w:rFonts w:asciiTheme="minorHAnsi" w:hAnsiTheme="minorHAnsi" w:cstheme="minorHAnsi"/>
          <w:b/>
          <w:bCs/>
          <w:i/>
          <w:iCs/>
          <w:sz w:val="22"/>
          <w:szCs w:val="22"/>
        </w:rPr>
        <w:t xml:space="preserve">) Medication error </w:t>
      </w:r>
    </w:p>
    <w:p w14:paraId="1FFD4027" w14:textId="5E913EE5" w:rsidR="00DE0565" w:rsidRPr="00613F26" w:rsidRDefault="00DE0565">
      <w:pPr>
        <w:tabs>
          <w:tab w:val="left" w:pos="1185"/>
        </w:tabs>
        <w:spacing w:after="0" w:line="240" w:lineRule="auto"/>
        <w:jc w:val="both"/>
        <w:rPr>
          <w:rFonts w:cstheme="minorHAnsi"/>
        </w:rPr>
      </w:pPr>
      <w:r w:rsidRPr="00305BC5">
        <w:rPr>
          <w:rFonts w:cstheme="minorHAnsi"/>
        </w:rPr>
        <w:t xml:space="preserve">A medication error involves the inadvertent administration or unintended use of a medicinal product which may be caused by the naming, presentation of pharmaceutical form/packaging, or instructions for </w:t>
      </w:r>
      <w:r w:rsidRPr="00556D59">
        <w:rPr>
          <w:rFonts w:cstheme="minorHAnsi"/>
        </w:rPr>
        <w:t>use/labelling. The reaction must be clearly identified as a med</w:t>
      </w:r>
      <w:r w:rsidRPr="00613F26">
        <w:rPr>
          <w:rFonts w:cstheme="minorHAnsi"/>
        </w:rPr>
        <w:t>ication error.</w:t>
      </w:r>
    </w:p>
    <w:p w14:paraId="0526C052" w14:textId="3AACB732" w:rsidR="00DE0565" w:rsidRPr="009B18EE" w:rsidRDefault="00DE0565" w:rsidP="00632FB8">
      <w:pPr>
        <w:tabs>
          <w:tab w:val="left" w:pos="1185"/>
        </w:tabs>
        <w:spacing w:after="0" w:line="240" w:lineRule="auto"/>
        <w:ind w:left="397"/>
        <w:jc w:val="both"/>
        <w:rPr>
          <w:rFonts w:cstheme="minorHAnsi"/>
        </w:rPr>
      </w:pPr>
    </w:p>
    <w:p w14:paraId="7911B965" w14:textId="40127143"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8.8.3 Clinical Laboratory Tests </w:t>
      </w:r>
    </w:p>
    <w:p w14:paraId="1E8FF3A7" w14:textId="77777777" w:rsidR="00A338D6" w:rsidRPr="00632FB8" w:rsidRDefault="00A338D6" w:rsidP="00632FB8">
      <w:pPr>
        <w:pStyle w:val="Default"/>
        <w:ind w:left="397"/>
        <w:rPr>
          <w:rFonts w:asciiTheme="minorHAnsi" w:hAnsiTheme="minorHAnsi" w:cstheme="minorHAnsi"/>
          <w:sz w:val="22"/>
          <w:szCs w:val="22"/>
        </w:rPr>
      </w:pPr>
    </w:p>
    <w:p w14:paraId="38024636" w14:textId="77777777" w:rsidR="00DE0565" w:rsidRPr="00632FB8" w:rsidRDefault="00DE0565" w:rsidP="00BF49CE">
      <w:pPr>
        <w:pStyle w:val="Default"/>
        <w:rPr>
          <w:rFonts w:asciiTheme="minorHAnsi" w:hAnsiTheme="minorHAnsi" w:cstheme="minorHAnsi"/>
          <w:sz w:val="22"/>
          <w:szCs w:val="22"/>
        </w:rPr>
      </w:pPr>
      <w:r w:rsidRPr="00632FB8">
        <w:rPr>
          <w:rFonts w:asciiTheme="minorHAnsi" w:hAnsiTheme="minorHAnsi" w:cstheme="minorHAnsi"/>
          <w:b/>
          <w:bCs/>
          <w:i/>
          <w:iCs/>
          <w:sz w:val="22"/>
          <w:szCs w:val="22"/>
        </w:rPr>
        <w:t xml:space="preserve">Blood and urine samples </w:t>
      </w:r>
      <w:r w:rsidRPr="00632FB8">
        <w:rPr>
          <w:rFonts w:asciiTheme="minorHAnsi" w:hAnsiTheme="minorHAnsi" w:cstheme="minorHAnsi"/>
          <w:sz w:val="22"/>
          <w:szCs w:val="22"/>
        </w:rPr>
        <w:t xml:space="preserve">will be taken for measurement of haematology and biochemistry parameters and dip stick urinalysis at the following time points: </w:t>
      </w:r>
    </w:p>
    <w:p w14:paraId="4A4C5C75" w14:textId="1513CBB2"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Screening Visit </w:t>
      </w:r>
    </w:p>
    <w:p w14:paraId="6E83E259" w14:textId="20B96EFE"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Day 0 pre-dose </w:t>
      </w:r>
      <w:r w:rsidR="006744C3">
        <w:rPr>
          <w:rFonts w:asciiTheme="minorHAnsi" w:hAnsiTheme="minorHAnsi" w:cstheme="minorHAnsi"/>
          <w:sz w:val="22"/>
          <w:szCs w:val="22"/>
        </w:rPr>
        <w:t>(urine only)</w:t>
      </w:r>
    </w:p>
    <w:p w14:paraId="28CFBB5E" w14:textId="77777777" w:rsidR="007142E3" w:rsidRPr="00632FB8" w:rsidRDefault="007142E3" w:rsidP="00632FB8">
      <w:pPr>
        <w:pStyle w:val="Default"/>
        <w:ind w:left="1077"/>
        <w:rPr>
          <w:rFonts w:asciiTheme="minorHAnsi" w:hAnsiTheme="minorHAnsi" w:cstheme="minorHAnsi"/>
          <w:sz w:val="22"/>
          <w:szCs w:val="22"/>
        </w:rPr>
      </w:pPr>
    </w:p>
    <w:p w14:paraId="16AEB4B3" w14:textId="0D2B20E0"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Laboratory assessments will be performed </w:t>
      </w:r>
      <w:r w:rsidR="00A338D6">
        <w:rPr>
          <w:rFonts w:asciiTheme="minorHAnsi" w:hAnsiTheme="minorHAnsi" w:cstheme="minorHAnsi"/>
          <w:sz w:val="22"/>
          <w:szCs w:val="22"/>
        </w:rPr>
        <w:t>the study site</w:t>
      </w:r>
      <w:r w:rsidRPr="00632FB8">
        <w:rPr>
          <w:rFonts w:asciiTheme="minorHAnsi" w:hAnsiTheme="minorHAnsi" w:cstheme="minorHAnsi"/>
          <w:sz w:val="22"/>
          <w:szCs w:val="22"/>
        </w:rPr>
        <w:t xml:space="preserve"> laboratory. Because of the potential for radioactivity in some blood samples, the laboratory must adhere to their SOPs and/or any guidance and regulations for handling radioactive substances. </w:t>
      </w:r>
    </w:p>
    <w:p w14:paraId="4A98F782" w14:textId="77777777" w:rsidR="00A338D6" w:rsidRPr="00632FB8" w:rsidRDefault="00A338D6" w:rsidP="00660135">
      <w:pPr>
        <w:pStyle w:val="Default"/>
        <w:ind w:left="397"/>
        <w:jc w:val="both"/>
        <w:rPr>
          <w:rFonts w:asciiTheme="minorHAnsi" w:hAnsiTheme="minorHAnsi" w:cstheme="minorHAnsi"/>
          <w:sz w:val="22"/>
          <w:szCs w:val="22"/>
        </w:rPr>
      </w:pPr>
    </w:p>
    <w:p w14:paraId="4756EF99" w14:textId="4ADC0659"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Samples will be tested for the following parameters: </w:t>
      </w:r>
    </w:p>
    <w:p w14:paraId="75EC558D" w14:textId="77777777" w:rsidR="00A338D6" w:rsidRPr="00632FB8" w:rsidRDefault="00A338D6" w:rsidP="00660135">
      <w:pPr>
        <w:pStyle w:val="Default"/>
        <w:ind w:left="397"/>
        <w:jc w:val="both"/>
        <w:rPr>
          <w:rFonts w:asciiTheme="minorHAnsi" w:hAnsiTheme="minorHAnsi" w:cstheme="minorHAnsi"/>
          <w:sz w:val="22"/>
          <w:szCs w:val="22"/>
        </w:rPr>
      </w:pPr>
    </w:p>
    <w:p w14:paraId="6D329FBD" w14:textId="695C10AA"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Haematology: haemoglobin, haematocrit, mean corpuscular volume (MCV), mean corpuscular haemoglobin (MCH), white blood cell count (total and differential: leukocytes, neutrophils, eosinophils, basophils, lymphocytes, monocytes), red blood cells, platelets </w:t>
      </w:r>
    </w:p>
    <w:p w14:paraId="0BF82CD1" w14:textId="77777777" w:rsidR="00A338D6" w:rsidRPr="00632FB8" w:rsidRDefault="00A338D6" w:rsidP="00660135">
      <w:pPr>
        <w:pStyle w:val="Default"/>
        <w:ind w:left="397"/>
        <w:jc w:val="both"/>
        <w:rPr>
          <w:rFonts w:asciiTheme="minorHAnsi" w:hAnsiTheme="minorHAnsi" w:cstheme="minorHAnsi"/>
          <w:sz w:val="22"/>
          <w:szCs w:val="22"/>
        </w:rPr>
      </w:pPr>
    </w:p>
    <w:p w14:paraId="4A2709B9" w14:textId="60064A37"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Biochemistry: sodium, potassium, chloride, calcium, glucose, creatinine, urea, albumin, total bilirubin, aspartate transaminase (AST), alanine transaminase (ALT), alkaline phosphatase, gamma-glutamyl transferase (GGT), lipase, amylase, total protein </w:t>
      </w:r>
    </w:p>
    <w:p w14:paraId="4ED10BEC" w14:textId="77777777" w:rsidR="00A338D6" w:rsidRPr="00632FB8" w:rsidRDefault="00A338D6" w:rsidP="00660135">
      <w:pPr>
        <w:pStyle w:val="Default"/>
        <w:ind w:left="397"/>
        <w:jc w:val="both"/>
        <w:rPr>
          <w:rFonts w:asciiTheme="minorHAnsi" w:hAnsiTheme="minorHAnsi" w:cstheme="minorHAnsi"/>
          <w:sz w:val="22"/>
          <w:szCs w:val="22"/>
        </w:rPr>
      </w:pPr>
    </w:p>
    <w:p w14:paraId="0B27F9F6" w14:textId="18682AEA"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Urinalysis: density, pH, protein, glucose, blood, urobilinogen, erythrocytes, leukocytes, ketones, bilirubin, nitrite. </w:t>
      </w:r>
    </w:p>
    <w:p w14:paraId="6F4301B0" w14:textId="77777777" w:rsidR="00A338D6" w:rsidRPr="00632FB8" w:rsidRDefault="00A338D6" w:rsidP="00660135">
      <w:pPr>
        <w:pStyle w:val="Default"/>
        <w:ind w:left="397"/>
        <w:jc w:val="both"/>
        <w:rPr>
          <w:rFonts w:asciiTheme="minorHAnsi" w:hAnsiTheme="minorHAnsi" w:cstheme="minorHAnsi"/>
          <w:sz w:val="22"/>
          <w:szCs w:val="22"/>
        </w:rPr>
      </w:pPr>
    </w:p>
    <w:p w14:paraId="17AD198D" w14:textId="73DD5B04" w:rsidR="00DE0565" w:rsidRPr="00B549E6"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 serum </w:t>
      </w:r>
      <w:r w:rsidR="00A338D6" w:rsidRPr="00B549E6">
        <w:rPr>
          <w:rFonts w:cstheme="minorHAnsi"/>
        </w:rPr>
        <w:sym w:font="Symbol" w:char="F062"/>
      </w:r>
      <w:r w:rsidRPr="00632FB8">
        <w:rPr>
          <w:rFonts w:asciiTheme="minorHAnsi" w:hAnsiTheme="minorHAnsi" w:cstheme="minorHAnsi"/>
          <w:sz w:val="22"/>
          <w:szCs w:val="22"/>
        </w:rPr>
        <w:t>-HCG pregnancy test will be performed only in premenopausal women at screening.</w:t>
      </w:r>
      <w:r w:rsidR="007142E3" w:rsidRPr="00B549E6">
        <w:rPr>
          <w:rFonts w:cstheme="minorHAnsi"/>
        </w:rPr>
        <w:t xml:space="preserve"> </w:t>
      </w:r>
      <w:r w:rsidRPr="00632FB8">
        <w:rPr>
          <w:rFonts w:asciiTheme="minorHAnsi" w:hAnsiTheme="minorHAnsi" w:cstheme="minorHAnsi"/>
          <w:sz w:val="22"/>
          <w:szCs w:val="22"/>
        </w:rPr>
        <w:t xml:space="preserve">Confirmation of the negative result will be done with a urine pregnancy test within 24 hours before administration of the study drug on Day 0 (see Section 8.1.6). </w:t>
      </w:r>
    </w:p>
    <w:p w14:paraId="786D5F68" w14:textId="77777777" w:rsidR="00A338D6" w:rsidRPr="00632FB8" w:rsidRDefault="00A338D6" w:rsidP="00632FB8">
      <w:pPr>
        <w:pStyle w:val="Default"/>
        <w:ind w:left="397"/>
        <w:rPr>
          <w:rFonts w:asciiTheme="minorHAnsi" w:hAnsiTheme="minorHAnsi" w:cstheme="minorHAnsi"/>
          <w:sz w:val="22"/>
          <w:szCs w:val="22"/>
        </w:rPr>
      </w:pPr>
    </w:p>
    <w:p w14:paraId="0EFCD5DB" w14:textId="790843EE" w:rsidR="00DE0565" w:rsidRPr="00556D59" w:rsidRDefault="00DE0565" w:rsidP="002C2D1C">
      <w:pPr>
        <w:tabs>
          <w:tab w:val="left" w:pos="1185"/>
        </w:tabs>
        <w:spacing w:after="0" w:line="240" w:lineRule="auto"/>
        <w:jc w:val="both"/>
        <w:rPr>
          <w:rFonts w:cstheme="minorHAnsi"/>
        </w:rPr>
      </w:pPr>
      <w:r w:rsidRPr="00305BC5">
        <w:rPr>
          <w:rFonts w:cstheme="minorHAnsi"/>
        </w:rPr>
        <w:t xml:space="preserve">The investigator will sign each laboratory assessment to confirm review of the results. </w:t>
      </w:r>
      <w:r w:rsidRPr="00556D59">
        <w:rPr>
          <w:rFonts w:cstheme="minorHAnsi"/>
        </w:rPr>
        <w:t>Clinically relevant values have to be highlighted as “c.s.” (“clinically significant”). The results will be included in the patient</w:t>
      </w:r>
      <w:r w:rsidR="00A338D6">
        <w:rPr>
          <w:rFonts w:cstheme="minorHAnsi"/>
        </w:rPr>
        <w:t>’</w:t>
      </w:r>
      <w:r w:rsidRPr="00305BC5">
        <w:rPr>
          <w:rFonts w:cstheme="minorHAnsi"/>
        </w:rPr>
        <w:t>s CRF.</w:t>
      </w:r>
    </w:p>
    <w:p w14:paraId="0AB3BA5F" w14:textId="2C0182F7" w:rsidR="00DE0565" w:rsidRPr="00613F26" w:rsidRDefault="00DE0565" w:rsidP="00632FB8">
      <w:pPr>
        <w:tabs>
          <w:tab w:val="left" w:pos="1185"/>
        </w:tabs>
        <w:spacing w:after="0" w:line="240" w:lineRule="auto"/>
        <w:ind w:left="397"/>
        <w:jc w:val="both"/>
        <w:rPr>
          <w:rFonts w:cstheme="minorHAnsi"/>
        </w:rPr>
      </w:pPr>
    </w:p>
    <w:p w14:paraId="32E17DB8" w14:textId="1220664E"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8.8.4 Vital Signs </w:t>
      </w:r>
    </w:p>
    <w:p w14:paraId="00018167" w14:textId="77777777" w:rsidR="00A338D6" w:rsidRPr="00632FB8" w:rsidRDefault="00A338D6" w:rsidP="00632FB8">
      <w:pPr>
        <w:pStyle w:val="Default"/>
        <w:ind w:left="397"/>
        <w:rPr>
          <w:rFonts w:asciiTheme="minorHAnsi" w:hAnsiTheme="minorHAnsi" w:cstheme="minorHAnsi"/>
          <w:sz w:val="22"/>
          <w:szCs w:val="22"/>
        </w:rPr>
      </w:pPr>
    </w:p>
    <w:p w14:paraId="0FA0D264" w14:textId="77777777" w:rsidR="00DE0565" w:rsidRPr="00632FB8" w:rsidRDefault="00DE0565" w:rsidP="002C2D1C">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Body temperature and supine blood pressure and heart rate will be measured on the non-dominant arm after 5 minutes of supine rest at the following time points: </w:t>
      </w:r>
    </w:p>
    <w:p w14:paraId="27B3F1F0" w14:textId="0DC757AE"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Screening Visit </w:t>
      </w:r>
    </w:p>
    <w:p w14:paraId="3D555316" w14:textId="516AE6BF"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Day 0, pre-dose</w:t>
      </w:r>
      <w:r w:rsidR="00A338D6">
        <w:rPr>
          <w:rFonts w:asciiTheme="minorHAnsi" w:hAnsiTheme="minorHAnsi" w:cstheme="minorHAnsi"/>
          <w:sz w:val="22"/>
          <w:szCs w:val="22"/>
        </w:rPr>
        <w:t xml:space="preserve"> and</w:t>
      </w:r>
      <w:r w:rsidRPr="00632FB8">
        <w:rPr>
          <w:rFonts w:asciiTheme="minorHAnsi" w:hAnsiTheme="minorHAnsi" w:cstheme="minorHAnsi"/>
          <w:sz w:val="22"/>
          <w:szCs w:val="22"/>
        </w:rPr>
        <w:t xml:space="preserve"> </w:t>
      </w:r>
      <w:r w:rsidR="00A338D6">
        <w:rPr>
          <w:rFonts w:asciiTheme="minorHAnsi" w:hAnsiTheme="minorHAnsi" w:cstheme="minorHAnsi"/>
          <w:sz w:val="22"/>
          <w:szCs w:val="22"/>
        </w:rPr>
        <w:t>1-hour</w:t>
      </w:r>
      <w:r w:rsidRPr="00632FB8">
        <w:rPr>
          <w:rFonts w:asciiTheme="minorHAnsi" w:hAnsiTheme="minorHAnsi" w:cstheme="minorHAnsi"/>
          <w:sz w:val="22"/>
          <w:szCs w:val="22"/>
        </w:rPr>
        <w:t xml:space="preserve"> p.a. </w:t>
      </w:r>
    </w:p>
    <w:p w14:paraId="4ECDEBD4" w14:textId="77777777" w:rsidR="007142E3" w:rsidRPr="00632FB8" w:rsidRDefault="007142E3" w:rsidP="00632FB8">
      <w:pPr>
        <w:pStyle w:val="Default"/>
        <w:ind w:left="1077"/>
        <w:rPr>
          <w:rFonts w:asciiTheme="minorHAnsi" w:hAnsiTheme="minorHAnsi" w:cstheme="minorHAnsi"/>
          <w:sz w:val="22"/>
          <w:szCs w:val="22"/>
        </w:rPr>
      </w:pPr>
    </w:p>
    <w:p w14:paraId="30800F8A" w14:textId="510F7F02"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Results will be recorded in the CRF and in the medical records. </w:t>
      </w:r>
    </w:p>
    <w:p w14:paraId="4AAEE2BD" w14:textId="77777777" w:rsidR="00A338D6" w:rsidRPr="00632FB8" w:rsidRDefault="00A338D6" w:rsidP="00632FB8">
      <w:pPr>
        <w:pStyle w:val="Default"/>
        <w:ind w:left="397"/>
        <w:rPr>
          <w:rFonts w:asciiTheme="minorHAnsi" w:hAnsiTheme="minorHAnsi" w:cstheme="minorHAnsi"/>
          <w:sz w:val="22"/>
          <w:szCs w:val="22"/>
        </w:rPr>
      </w:pPr>
    </w:p>
    <w:p w14:paraId="3BE0FD25" w14:textId="323D3D5C"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8.8.5 12-Lead ECG </w:t>
      </w:r>
    </w:p>
    <w:p w14:paraId="7267BDF2" w14:textId="77777777" w:rsidR="00A338D6" w:rsidRPr="00632FB8" w:rsidRDefault="00A338D6" w:rsidP="00632FB8">
      <w:pPr>
        <w:pStyle w:val="Default"/>
        <w:ind w:left="397"/>
        <w:rPr>
          <w:rFonts w:asciiTheme="minorHAnsi" w:hAnsiTheme="minorHAnsi" w:cstheme="minorHAnsi"/>
          <w:sz w:val="22"/>
          <w:szCs w:val="22"/>
        </w:rPr>
      </w:pPr>
    </w:p>
    <w:p w14:paraId="415C5061" w14:textId="10EEF0B7"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12-Lead ECGs will be recorded after 5 minutes supine rest at the following time points: </w:t>
      </w:r>
    </w:p>
    <w:p w14:paraId="39956370" w14:textId="77777777" w:rsidR="00A338D6" w:rsidRPr="00632FB8" w:rsidRDefault="00A338D6" w:rsidP="00632FB8">
      <w:pPr>
        <w:pStyle w:val="Default"/>
        <w:ind w:left="397"/>
        <w:rPr>
          <w:rFonts w:asciiTheme="minorHAnsi" w:hAnsiTheme="minorHAnsi" w:cstheme="minorHAnsi"/>
          <w:sz w:val="22"/>
          <w:szCs w:val="22"/>
        </w:rPr>
      </w:pPr>
    </w:p>
    <w:p w14:paraId="0D846E36" w14:textId="1CA715AF"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Screening Visit </w:t>
      </w:r>
    </w:p>
    <w:p w14:paraId="2C84C058" w14:textId="1715D932" w:rsidR="00DE0565" w:rsidRDefault="00DE0565" w:rsidP="0046423C">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Day 0, </w:t>
      </w:r>
      <w:r w:rsidR="00A338D6">
        <w:rPr>
          <w:rFonts w:asciiTheme="minorHAnsi" w:hAnsiTheme="minorHAnsi" w:cstheme="minorHAnsi"/>
          <w:sz w:val="22"/>
          <w:szCs w:val="22"/>
        </w:rPr>
        <w:t xml:space="preserve">1-hour </w:t>
      </w:r>
      <w:r w:rsidRPr="00632FB8">
        <w:rPr>
          <w:rFonts w:asciiTheme="minorHAnsi" w:hAnsiTheme="minorHAnsi" w:cstheme="minorHAnsi"/>
          <w:sz w:val="22"/>
          <w:szCs w:val="22"/>
        </w:rPr>
        <w:t xml:space="preserve">p.a. </w:t>
      </w:r>
    </w:p>
    <w:p w14:paraId="7BD3C8AE" w14:textId="77777777" w:rsidR="00DE0565" w:rsidRPr="00632FB8" w:rsidRDefault="00DE0565" w:rsidP="00632FB8">
      <w:pPr>
        <w:pStyle w:val="Default"/>
        <w:ind w:left="397"/>
        <w:rPr>
          <w:rFonts w:asciiTheme="minorHAnsi" w:hAnsiTheme="minorHAnsi" w:cstheme="minorHAnsi"/>
          <w:sz w:val="22"/>
          <w:szCs w:val="22"/>
        </w:rPr>
      </w:pPr>
    </w:p>
    <w:p w14:paraId="06C6BDD1" w14:textId="4D22F4A0"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ECG-results will be classified by the investigator into normal or abnormal, respectively, at baseline. Follow-up ECGs will be assessed with regard to clinically relevant changes, relative to baseline by the investigator. Relevant changes will be categorically (e.g., arrhythmia, ischemic signs, other) documented in the patient's file, and pseudonymised copies of the pertaining ECG will be collected as part of the CRF. </w:t>
      </w:r>
    </w:p>
    <w:p w14:paraId="7710C533" w14:textId="77777777" w:rsidR="00A338D6" w:rsidRPr="00632FB8" w:rsidRDefault="00A338D6" w:rsidP="00632FB8">
      <w:pPr>
        <w:pStyle w:val="Default"/>
        <w:ind w:left="397"/>
        <w:rPr>
          <w:rFonts w:asciiTheme="minorHAnsi" w:hAnsiTheme="minorHAnsi" w:cstheme="minorHAnsi"/>
          <w:sz w:val="22"/>
          <w:szCs w:val="22"/>
        </w:rPr>
      </w:pPr>
    </w:p>
    <w:p w14:paraId="116C9F1F" w14:textId="596A1B21"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8.8.6 Physical Examination </w:t>
      </w:r>
    </w:p>
    <w:p w14:paraId="569FA684" w14:textId="77777777" w:rsidR="00A338D6" w:rsidRPr="00632FB8" w:rsidRDefault="00A338D6" w:rsidP="00632FB8">
      <w:pPr>
        <w:pStyle w:val="Default"/>
        <w:ind w:left="397"/>
        <w:rPr>
          <w:rFonts w:asciiTheme="minorHAnsi" w:hAnsiTheme="minorHAnsi" w:cstheme="minorHAnsi"/>
          <w:sz w:val="22"/>
          <w:szCs w:val="22"/>
        </w:rPr>
      </w:pPr>
    </w:p>
    <w:p w14:paraId="0F21117A" w14:textId="77777777" w:rsidR="00DE0565" w:rsidRPr="00632FB8" w:rsidRDefault="00DE0565" w:rsidP="002C2D1C">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Physical examinations will be performed at the following time-points: </w:t>
      </w:r>
    </w:p>
    <w:p w14:paraId="02A8250E" w14:textId="4B5A6FD5" w:rsidR="00DE0565" w:rsidRPr="00632FB8" w:rsidRDefault="00DE0565" w:rsidP="00632FB8">
      <w:pPr>
        <w:pStyle w:val="Default"/>
        <w:numPr>
          <w:ilvl w:val="0"/>
          <w:numId w:val="33"/>
        </w:numPr>
        <w:ind w:left="1077" w:hanging="357"/>
        <w:rPr>
          <w:rFonts w:asciiTheme="minorHAnsi" w:hAnsiTheme="minorHAnsi" w:cstheme="minorHAnsi"/>
          <w:sz w:val="22"/>
          <w:szCs w:val="22"/>
        </w:rPr>
      </w:pPr>
      <w:r w:rsidRPr="00632FB8">
        <w:rPr>
          <w:rFonts w:asciiTheme="minorHAnsi" w:hAnsiTheme="minorHAnsi" w:cstheme="minorHAnsi"/>
          <w:sz w:val="22"/>
          <w:szCs w:val="22"/>
        </w:rPr>
        <w:t xml:space="preserve">Screening Visit </w:t>
      </w:r>
    </w:p>
    <w:p w14:paraId="4CDCF59D" w14:textId="77777777" w:rsidR="007142E3" w:rsidRDefault="007142E3" w:rsidP="002C2D1C">
      <w:pPr>
        <w:tabs>
          <w:tab w:val="left" w:pos="1185"/>
        </w:tabs>
        <w:spacing w:after="0" w:line="240" w:lineRule="auto"/>
        <w:jc w:val="both"/>
        <w:rPr>
          <w:rFonts w:cstheme="minorHAnsi"/>
        </w:rPr>
      </w:pPr>
    </w:p>
    <w:p w14:paraId="5109F6E6" w14:textId="0360917A" w:rsidR="00DE0565" w:rsidRPr="00613F26" w:rsidRDefault="00DE0565">
      <w:pPr>
        <w:tabs>
          <w:tab w:val="left" w:pos="1185"/>
        </w:tabs>
        <w:spacing w:after="0" w:line="240" w:lineRule="auto"/>
        <w:jc w:val="both"/>
        <w:rPr>
          <w:rFonts w:cstheme="minorHAnsi"/>
        </w:rPr>
      </w:pPr>
      <w:r w:rsidRPr="00305BC5">
        <w:rPr>
          <w:rFonts w:cstheme="minorHAnsi"/>
        </w:rPr>
        <w:lastRenderedPageBreak/>
        <w:t xml:space="preserve">The physical examination will consist of general appearance, orientation to time, space and person, cardio-pulmonary auscultation, manual abdominal examination, and further investigation </w:t>
      </w:r>
      <w:r w:rsidRPr="00556D59">
        <w:rPr>
          <w:rFonts w:cstheme="minorHAnsi"/>
        </w:rPr>
        <w:t>of any abnormal system, as appropriate.</w:t>
      </w:r>
    </w:p>
    <w:p w14:paraId="2AB9A55A" w14:textId="2F0931BB" w:rsidR="00DE0565" w:rsidRPr="009B18EE" w:rsidRDefault="00DE0565" w:rsidP="00632FB8">
      <w:pPr>
        <w:tabs>
          <w:tab w:val="left" w:pos="1185"/>
        </w:tabs>
        <w:spacing w:after="0" w:line="240" w:lineRule="auto"/>
        <w:ind w:left="397"/>
        <w:jc w:val="both"/>
        <w:rPr>
          <w:rFonts w:cstheme="minorHAnsi"/>
        </w:rPr>
      </w:pPr>
    </w:p>
    <w:p w14:paraId="3B70E7AE" w14:textId="0CB97FF4"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8.</w:t>
      </w:r>
      <w:r w:rsidR="0019626F">
        <w:rPr>
          <w:rFonts w:asciiTheme="minorHAnsi" w:hAnsiTheme="minorHAnsi" w:cstheme="minorHAnsi"/>
          <w:b/>
          <w:bCs/>
          <w:sz w:val="22"/>
          <w:szCs w:val="22"/>
        </w:rPr>
        <w:t>9</w:t>
      </w:r>
      <w:r w:rsidRPr="00632FB8">
        <w:rPr>
          <w:rFonts w:asciiTheme="minorHAnsi" w:hAnsiTheme="minorHAnsi" w:cstheme="minorHAnsi"/>
          <w:b/>
          <w:bCs/>
          <w:sz w:val="22"/>
          <w:szCs w:val="22"/>
        </w:rPr>
        <w:t xml:space="preserve"> Total Radiation Exposure </w:t>
      </w:r>
    </w:p>
    <w:p w14:paraId="53C75A75" w14:textId="77777777" w:rsidR="007142E3" w:rsidRPr="00632FB8" w:rsidRDefault="007142E3" w:rsidP="002C2D1C">
      <w:pPr>
        <w:pStyle w:val="Default"/>
        <w:rPr>
          <w:rFonts w:asciiTheme="minorHAnsi" w:hAnsiTheme="minorHAnsi" w:cstheme="minorHAnsi"/>
          <w:sz w:val="22"/>
          <w:szCs w:val="22"/>
        </w:rPr>
      </w:pPr>
    </w:p>
    <w:p w14:paraId="7574C205" w14:textId="6F832F15"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w:t>
      </w:r>
      <w:r w:rsidR="00FC54AE" w:rsidRPr="009D2267">
        <w:rPr>
          <w:rFonts w:asciiTheme="minorHAnsi" w:hAnsiTheme="minorHAnsi" w:cstheme="minorHAnsi"/>
          <w:bCs/>
          <w:sz w:val="22"/>
          <w:szCs w:val="22"/>
          <w:vertAlign w:val="superscript"/>
        </w:rPr>
        <w:t>89</w:t>
      </w:r>
      <w:r w:rsidR="00FC54AE" w:rsidRPr="009D2267">
        <w:rPr>
          <w:rFonts w:asciiTheme="minorHAnsi" w:hAnsiTheme="minorHAnsi" w:cstheme="minorHAnsi"/>
          <w:bCs/>
          <w:sz w:val="22"/>
          <w:szCs w:val="22"/>
        </w:rPr>
        <w:t>Zr-TLX250</w:t>
      </w:r>
      <w:r w:rsidR="00FC54AE">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related radiation exposure will be 37 MBq (+/-10%) per single administration. </w:t>
      </w:r>
    </w:p>
    <w:p w14:paraId="3141FDBC" w14:textId="77777777" w:rsidR="00A338D6" w:rsidRPr="00632FB8" w:rsidRDefault="00A338D6" w:rsidP="00660135">
      <w:pPr>
        <w:pStyle w:val="Default"/>
        <w:ind w:left="397"/>
        <w:jc w:val="both"/>
        <w:rPr>
          <w:rFonts w:asciiTheme="minorHAnsi" w:hAnsiTheme="minorHAnsi" w:cstheme="minorHAnsi"/>
          <w:sz w:val="22"/>
          <w:szCs w:val="22"/>
        </w:rPr>
      </w:pPr>
    </w:p>
    <w:p w14:paraId="1B44226B" w14:textId="5AE65512"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The combined whole</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body effective dose of </w:t>
      </w:r>
      <w:r w:rsidR="00FC54AE" w:rsidRPr="009D2267">
        <w:rPr>
          <w:rFonts w:asciiTheme="minorHAnsi" w:hAnsiTheme="minorHAnsi" w:cstheme="minorHAnsi"/>
          <w:bCs/>
          <w:sz w:val="22"/>
          <w:szCs w:val="22"/>
          <w:vertAlign w:val="superscript"/>
        </w:rPr>
        <w:t>89</w:t>
      </w:r>
      <w:r w:rsidR="00FC54AE" w:rsidRPr="009D2267">
        <w:rPr>
          <w:rFonts w:asciiTheme="minorHAnsi" w:hAnsiTheme="minorHAnsi" w:cstheme="minorHAnsi"/>
          <w:bCs/>
          <w:sz w:val="22"/>
          <w:szCs w:val="22"/>
        </w:rPr>
        <w:t>Zr-TLX250</w:t>
      </w:r>
      <w:r w:rsidR="00FC54AE">
        <w:rPr>
          <w:rFonts w:asciiTheme="minorHAnsi" w:hAnsiTheme="minorHAnsi" w:cstheme="minorHAnsi"/>
          <w:bCs/>
          <w:sz w:val="22"/>
          <w:szCs w:val="22"/>
        </w:rPr>
        <w:t xml:space="preserve"> </w:t>
      </w:r>
      <w:r w:rsidRPr="00632FB8">
        <w:rPr>
          <w:rFonts w:asciiTheme="minorHAnsi" w:hAnsiTheme="minorHAnsi" w:cstheme="minorHAnsi"/>
          <w:sz w:val="22"/>
          <w:szCs w:val="22"/>
        </w:rPr>
        <w:t xml:space="preserve">administration and </w:t>
      </w:r>
      <w:r w:rsidR="00A338D6">
        <w:rPr>
          <w:rFonts w:asciiTheme="minorHAnsi" w:hAnsiTheme="minorHAnsi" w:cstheme="minorHAnsi"/>
          <w:sz w:val="22"/>
          <w:szCs w:val="22"/>
        </w:rPr>
        <w:t xml:space="preserve">whole-body </w:t>
      </w:r>
      <w:r w:rsidRPr="00632FB8">
        <w:rPr>
          <w:rFonts w:asciiTheme="minorHAnsi" w:hAnsiTheme="minorHAnsi" w:cstheme="minorHAnsi"/>
          <w:sz w:val="22"/>
          <w:szCs w:val="22"/>
        </w:rPr>
        <w:t xml:space="preserve">low-dose CT </w:t>
      </w:r>
      <w:r w:rsidR="00697F0B">
        <w:rPr>
          <w:rFonts w:asciiTheme="minorHAnsi" w:hAnsiTheme="minorHAnsi" w:cstheme="minorHAnsi"/>
          <w:sz w:val="22"/>
          <w:szCs w:val="22"/>
        </w:rPr>
        <w:t>was calculated to be approximately 28mSv for all patients.</w:t>
      </w:r>
      <w:r w:rsidRPr="00632FB8">
        <w:rPr>
          <w:rFonts w:asciiTheme="minorHAnsi" w:hAnsiTheme="minorHAnsi" w:cstheme="minorHAnsi"/>
          <w:sz w:val="22"/>
          <w:szCs w:val="22"/>
        </w:rPr>
        <w:t xml:space="preserve"> </w:t>
      </w:r>
    </w:p>
    <w:p w14:paraId="54B3041B" w14:textId="72B15214" w:rsidR="00DE0565" w:rsidRPr="00305BC5" w:rsidRDefault="00DE0565" w:rsidP="00632FB8">
      <w:pPr>
        <w:tabs>
          <w:tab w:val="left" w:pos="1185"/>
        </w:tabs>
        <w:spacing w:after="0" w:line="240" w:lineRule="auto"/>
        <w:ind w:left="397"/>
        <w:jc w:val="both"/>
        <w:rPr>
          <w:rFonts w:cstheme="minorHAnsi"/>
        </w:rPr>
      </w:pPr>
    </w:p>
    <w:p w14:paraId="17A6B40B" w14:textId="6EB5A409" w:rsidR="00DE0565" w:rsidRDefault="00DE0565" w:rsidP="002C2D1C">
      <w:pPr>
        <w:tabs>
          <w:tab w:val="left" w:pos="1185"/>
        </w:tabs>
        <w:spacing w:after="0" w:line="240" w:lineRule="auto"/>
        <w:ind w:left="397"/>
        <w:jc w:val="both"/>
        <w:rPr>
          <w:rFonts w:cstheme="minorHAnsi"/>
          <w:b/>
          <w:bCs/>
        </w:rPr>
      </w:pPr>
      <w:r w:rsidRPr="00632FB8">
        <w:rPr>
          <w:rFonts w:cstheme="minorHAnsi"/>
          <w:b/>
          <w:bCs/>
        </w:rPr>
        <w:t>9</w:t>
      </w:r>
      <w:r w:rsidR="00704BD5">
        <w:rPr>
          <w:rFonts w:cstheme="minorHAnsi"/>
          <w:b/>
          <w:bCs/>
        </w:rPr>
        <w:t>.</w:t>
      </w:r>
      <w:r w:rsidRPr="00632FB8">
        <w:rPr>
          <w:rFonts w:cstheme="minorHAnsi"/>
          <w:b/>
          <w:bCs/>
        </w:rPr>
        <w:t xml:space="preserve">  Determination of </w:t>
      </w:r>
      <w:r w:rsidR="00F1774B">
        <w:rPr>
          <w:rFonts w:cstheme="minorHAnsi"/>
          <w:b/>
          <w:bCs/>
        </w:rPr>
        <w:t>s</w:t>
      </w:r>
      <w:r w:rsidRPr="00632FB8">
        <w:rPr>
          <w:rFonts w:cstheme="minorHAnsi"/>
          <w:b/>
          <w:bCs/>
        </w:rPr>
        <w:t xml:space="preserve">ample </w:t>
      </w:r>
      <w:r w:rsidR="00F1774B">
        <w:rPr>
          <w:rFonts w:cstheme="minorHAnsi"/>
          <w:b/>
          <w:bCs/>
        </w:rPr>
        <w:t>s</w:t>
      </w:r>
      <w:r w:rsidRPr="00632FB8">
        <w:rPr>
          <w:rFonts w:cstheme="minorHAnsi"/>
          <w:b/>
          <w:bCs/>
        </w:rPr>
        <w:t>ize</w:t>
      </w:r>
      <w:r w:rsidR="004F4E8B">
        <w:rPr>
          <w:rFonts w:cstheme="minorHAnsi"/>
          <w:b/>
          <w:bCs/>
        </w:rPr>
        <w:t xml:space="preserve"> and statistical methods</w:t>
      </w:r>
    </w:p>
    <w:p w14:paraId="1187D294" w14:textId="77777777" w:rsidR="007142E3" w:rsidRDefault="007142E3" w:rsidP="00632FB8">
      <w:pPr>
        <w:tabs>
          <w:tab w:val="left" w:pos="1185"/>
        </w:tabs>
        <w:spacing w:after="0" w:line="240" w:lineRule="auto"/>
        <w:jc w:val="both"/>
      </w:pPr>
    </w:p>
    <w:p w14:paraId="362CF59D" w14:textId="75D76ADD" w:rsidR="009D6255" w:rsidRPr="00CA5EC5" w:rsidRDefault="009D6255" w:rsidP="00632FB8">
      <w:pPr>
        <w:tabs>
          <w:tab w:val="left" w:pos="1185"/>
        </w:tabs>
        <w:spacing w:after="0" w:line="240" w:lineRule="auto"/>
        <w:jc w:val="both"/>
      </w:pPr>
      <w:r>
        <w:t xml:space="preserve">A pragmatic target sample size of 20 patients has been chosen for this phase 1 feasibility study, based on clinical context and logistical factors. Descriptive statistics will be used in the reporting of the primary and secondary endpoints for this pilot study. </w:t>
      </w:r>
    </w:p>
    <w:p w14:paraId="138556DB" w14:textId="7D61D636" w:rsidR="00DE0565" w:rsidRPr="00632FB8" w:rsidRDefault="00DE0565" w:rsidP="002C2D1C">
      <w:pPr>
        <w:tabs>
          <w:tab w:val="left" w:pos="1185"/>
        </w:tabs>
        <w:spacing w:after="0" w:line="240" w:lineRule="auto"/>
        <w:jc w:val="both"/>
        <w:rPr>
          <w:rFonts w:cstheme="minorHAnsi"/>
          <w:b/>
          <w:bCs/>
        </w:rPr>
      </w:pPr>
    </w:p>
    <w:p w14:paraId="6AB706AD" w14:textId="502F7C4A"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 Data Handling and Quality Assurance </w:t>
      </w:r>
    </w:p>
    <w:p w14:paraId="48BFF2D5" w14:textId="77777777" w:rsidR="00A338D6" w:rsidRPr="00632FB8" w:rsidRDefault="00A338D6" w:rsidP="00632FB8">
      <w:pPr>
        <w:pStyle w:val="Default"/>
        <w:ind w:left="397"/>
        <w:rPr>
          <w:rFonts w:asciiTheme="minorHAnsi" w:hAnsiTheme="minorHAnsi" w:cstheme="minorHAnsi"/>
          <w:sz w:val="22"/>
          <w:szCs w:val="22"/>
        </w:rPr>
      </w:pPr>
    </w:p>
    <w:p w14:paraId="0A881762" w14:textId="06D3A7F4"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10.1 Data Recording </w:t>
      </w:r>
    </w:p>
    <w:p w14:paraId="00DEF590" w14:textId="77777777" w:rsidR="00A338D6" w:rsidRPr="00632FB8" w:rsidRDefault="00A338D6" w:rsidP="00632FB8">
      <w:pPr>
        <w:pStyle w:val="Default"/>
        <w:ind w:left="397"/>
        <w:rPr>
          <w:rFonts w:asciiTheme="minorHAnsi" w:hAnsiTheme="minorHAnsi" w:cstheme="minorHAnsi"/>
          <w:sz w:val="22"/>
          <w:szCs w:val="22"/>
        </w:rPr>
      </w:pPr>
    </w:p>
    <w:p w14:paraId="21F5B9BC" w14:textId="047F5874" w:rsidR="00DE0565" w:rsidRDefault="00DE0565" w:rsidP="00A338D6">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10.1.1 Source Data and Records </w:t>
      </w:r>
    </w:p>
    <w:p w14:paraId="24710407" w14:textId="77777777" w:rsidR="00A338D6" w:rsidRPr="00632FB8" w:rsidRDefault="00A338D6" w:rsidP="00632FB8">
      <w:pPr>
        <w:pStyle w:val="Default"/>
        <w:ind w:left="397"/>
        <w:rPr>
          <w:rFonts w:asciiTheme="minorHAnsi" w:hAnsiTheme="minorHAnsi" w:cstheme="minorHAnsi"/>
          <w:sz w:val="22"/>
          <w:szCs w:val="22"/>
        </w:rPr>
      </w:pPr>
    </w:p>
    <w:p w14:paraId="6AE31E70" w14:textId="1EB45420"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Source data are defined as all information related to clinical findings, observations, or other activities in the study, written down in original records or certified copies of original records, allowing reconstruction and evaluation of the clinical study. </w:t>
      </w:r>
    </w:p>
    <w:p w14:paraId="070C0012" w14:textId="77777777" w:rsidR="00A338D6" w:rsidRPr="00632FB8" w:rsidRDefault="00A338D6" w:rsidP="00632FB8">
      <w:pPr>
        <w:pStyle w:val="Default"/>
        <w:ind w:left="397"/>
        <w:rPr>
          <w:rFonts w:asciiTheme="minorHAnsi" w:hAnsiTheme="minorHAnsi" w:cstheme="minorHAnsi"/>
          <w:sz w:val="22"/>
          <w:szCs w:val="22"/>
        </w:rPr>
      </w:pPr>
    </w:p>
    <w:p w14:paraId="2D63E0D6" w14:textId="1226DED7" w:rsidR="00DE0565" w:rsidRPr="00556D59" w:rsidRDefault="00DE0565" w:rsidP="002C2D1C">
      <w:pPr>
        <w:tabs>
          <w:tab w:val="left" w:pos="1185"/>
        </w:tabs>
        <w:spacing w:after="0" w:line="240" w:lineRule="auto"/>
        <w:jc w:val="both"/>
        <w:rPr>
          <w:rFonts w:cstheme="minorHAnsi"/>
        </w:rPr>
      </w:pPr>
      <w:r w:rsidRPr="00305BC5">
        <w:rPr>
          <w:rFonts w:cstheme="minorHAnsi"/>
        </w:rPr>
        <w:t>The investigator will maintain adequate source records (e.g. case histories or patient files for each patient enrolled). Source records should be preserved for the maximum period of time required by local regulations.</w:t>
      </w:r>
    </w:p>
    <w:p w14:paraId="783F9F71" w14:textId="3BD49AE0" w:rsidR="00DE0565" w:rsidRPr="00613F26" w:rsidRDefault="00DE0565" w:rsidP="00632FB8">
      <w:pPr>
        <w:tabs>
          <w:tab w:val="left" w:pos="1185"/>
        </w:tabs>
        <w:spacing w:after="0" w:line="240" w:lineRule="auto"/>
        <w:ind w:left="397"/>
        <w:jc w:val="both"/>
        <w:rPr>
          <w:rFonts w:cstheme="minorHAnsi"/>
        </w:rPr>
      </w:pPr>
    </w:p>
    <w:p w14:paraId="04026D6E" w14:textId="726B635A"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For each patient enrolled, the investigator will indicate in the source record(s) that the patient participates in this study. </w:t>
      </w:r>
    </w:p>
    <w:p w14:paraId="1CCF6DB8" w14:textId="77777777" w:rsidR="00A338D6" w:rsidRPr="00632FB8" w:rsidRDefault="00A338D6" w:rsidP="00632FB8">
      <w:pPr>
        <w:pStyle w:val="Default"/>
        <w:ind w:left="397"/>
        <w:rPr>
          <w:rFonts w:asciiTheme="minorHAnsi" w:hAnsiTheme="minorHAnsi" w:cstheme="minorHAnsi"/>
          <w:sz w:val="22"/>
          <w:szCs w:val="22"/>
        </w:rPr>
      </w:pPr>
    </w:p>
    <w:p w14:paraId="6C2CC18A" w14:textId="5A88443F"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All data entered in the CRF must be supported by source data in the patient records. </w:t>
      </w:r>
    </w:p>
    <w:p w14:paraId="0A348A4A" w14:textId="77777777" w:rsidR="00A338D6" w:rsidRPr="00632FB8" w:rsidRDefault="00A338D6" w:rsidP="00632FB8">
      <w:pPr>
        <w:pStyle w:val="Default"/>
        <w:ind w:left="397"/>
        <w:rPr>
          <w:rFonts w:asciiTheme="minorHAnsi" w:hAnsiTheme="minorHAnsi" w:cstheme="minorHAnsi"/>
          <w:sz w:val="22"/>
          <w:szCs w:val="22"/>
        </w:rPr>
      </w:pPr>
    </w:p>
    <w:p w14:paraId="0C09CE43" w14:textId="2BCDFE7C" w:rsidR="00DE0565" w:rsidRPr="00632FB8" w:rsidRDefault="00DE0565" w:rsidP="00632FB8">
      <w:pPr>
        <w:pStyle w:val="Default"/>
        <w:ind w:left="397"/>
        <w:rPr>
          <w:rFonts w:asciiTheme="minorHAnsi" w:hAnsiTheme="minorHAnsi" w:cstheme="minorHAnsi"/>
          <w:sz w:val="22"/>
          <w:szCs w:val="22"/>
        </w:rPr>
      </w:pPr>
      <w:r w:rsidRPr="00632FB8">
        <w:rPr>
          <w:rFonts w:asciiTheme="minorHAnsi" w:hAnsiTheme="minorHAnsi" w:cstheme="minorHAnsi"/>
          <w:b/>
          <w:bCs/>
          <w:sz w:val="22"/>
          <w:szCs w:val="22"/>
        </w:rPr>
        <w:t xml:space="preserve">10.1.2 Case Report Form (CRF) </w:t>
      </w:r>
    </w:p>
    <w:p w14:paraId="13F77451" w14:textId="77777777" w:rsidR="007142E3" w:rsidRDefault="007142E3" w:rsidP="00632FB8">
      <w:pPr>
        <w:pStyle w:val="Default"/>
        <w:rPr>
          <w:rFonts w:asciiTheme="minorHAnsi" w:hAnsiTheme="minorHAnsi" w:cstheme="minorHAnsi"/>
          <w:sz w:val="22"/>
          <w:szCs w:val="22"/>
        </w:rPr>
      </w:pPr>
    </w:p>
    <w:p w14:paraId="6F3A8F05" w14:textId="00BFFDE4"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For this study, patient data will be entered into case report form (CRF). The case report form will be supplied for recording all study data from each patient. It is the responsibility of the investigator to ensure that the CRFs are completed in full. All data therein must be supported by source documentation at the study centre. </w:t>
      </w:r>
    </w:p>
    <w:p w14:paraId="17360BFD" w14:textId="77777777" w:rsidR="007142E3" w:rsidRPr="00632FB8" w:rsidRDefault="007142E3" w:rsidP="00632FB8">
      <w:pPr>
        <w:pStyle w:val="Default"/>
        <w:jc w:val="both"/>
        <w:rPr>
          <w:rFonts w:asciiTheme="minorHAnsi" w:hAnsiTheme="minorHAnsi" w:cstheme="minorHAnsi"/>
          <w:sz w:val="22"/>
          <w:szCs w:val="22"/>
        </w:rPr>
      </w:pPr>
    </w:p>
    <w:p w14:paraId="348D92E0" w14:textId="453F556E"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investigator may authorize site staff (e.g. sub-investigators, nurses) to enter study data into </w:t>
      </w:r>
      <w:r w:rsidR="00A338D6">
        <w:rPr>
          <w:rFonts w:asciiTheme="minorHAnsi" w:hAnsiTheme="minorHAnsi" w:cstheme="minorHAnsi"/>
          <w:sz w:val="22"/>
          <w:szCs w:val="22"/>
        </w:rPr>
        <w:t>the CRF</w:t>
      </w:r>
      <w:r w:rsidRPr="00632FB8">
        <w:rPr>
          <w:rFonts w:asciiTheme="minorHAnsi" w:hAnsiTheme="minorHAnsi" w:cstheme="minorHAnsi"/>
          <w:sz w:val="22"/>
          <w:szCs w:val="22"/>
        </w:rPr>
        <w:t xml:space="preserve">. This must be documented in the Delegation of Authority Log signed by the investigator. </w:t>
      </w:r>
    </w:p>
    <w:p w14:paraId="5FD26F74" w14:textId="77777777" w:rsidR="00A338D6" w:rsidRPr="00632FB8" w:rsidRDefault="00A338D6" w:rsidP="00632FB8">
      <w:pPr>
        <w:pStyle w:val="Default"/>
        <w:ind w:left="397"/>
        <w:jc w:val="both"/>
        <w:rPr>
          <w:rFonts w:asciiTheme="minorHAnsi" w:hAnsiTheme="minorHAnsi" w:cstheme="minorHAnsi"/>
          <w:sz w:val="22"/>
          <w:szCs w:val="22"/>
        </w:rPr>
      </w:pPr>
    </w:p>
    <w:p w14:paraId="3648701F" w14:textId="5CE33183"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All site personnel will be trained on the study specific CRFs prior to receiving access to data entry. </w:t>
      </w:r>
    </w:p>
    <w:p w14:paraId="01B19DB3" w14:textId="77777777" w:rsidR="00A338D6" w:rsidRPr="00632FB8" w:rsidRDefault="00A338D6" w:rsidP="00632FB8">
      <w:pPr>
        <w:pStyle w:val="Default"/>
        <w:ind w:left="397"/>
        <w:jc w:val="both"/>
        <w:rPr>
          <w:rFonts w:asciiTheme="minorHAnsi" w:hAnsiTheme="minorHAnsi" w:cstheme="minorHAnsi"/>
          <w:sz w:val="22"/>
          <w:szCs w:val="22"/>
        </w:rPr>
      </w:pPr>
    </w:p>
    <w:p w14:paraId="2F970F7E" w14:textId="39089D10"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lastRenderedPageBreak/>
        <w:t>The completion of study page of the CRF must be signed by the principal investigator at the end of the study confirming that he/she is satisfied with its completion and accuracy. A</w:t>
      </w:r>
      <w:r w:rsidR="00A338D6">
        <w:rPr>
          <w:rFonts w:asciiTheme="minorHAnsi" w:hAnsiTheme="minorHAnsi" w:cstheme="minorHAnsi"/>
          <w:sz w:val="22"/>
          <w:szCs w:val="22"/>
        </w:rPr>
        <w:t xml:space="preserve"> </w:t>
      </w:r>
      <w:r w:rsidRPr="00632FB8">
        <w:rPr>
          <w:rFonts w:asciiTheme="minorHAnsi" w:hAnsiTheme="minorHAnsi" w:cstheme="minorHAnsi"/>
          <w:sz w:val="22"/>
          <w:szCs w:val="22"/>
        </w:rPr>
        <w:t xml:space="preserve">CRF must be completed for every patient who signed an informed consent. The CRFs must be kept up-to-date so that they always reflect the latest observations on the patient. </w:t>
      </w:r>
    </w:p>
    <w:p w14:paraId="01D9D8D4" w14:textId="77777777" w:rsidR="00A338D6" w:rsidRPr="00632FB8" w:rsidRDefault="00A338D6" w:rsidP="00632FB8">
      <w:pPr>
        <w:pStyle w:val="Default"/>
        <w:ind w:left="397"/>
        <w:jc w:val="both"/>
        <w:rPr>
          <w:rFonts w:asciiTheme="minorHAnsi" w:hAnsiTheme="minorHAnsi" w:cstheme="minorHAnsi"/>
          <w:sz w:val="22"/>
          <w:szCs w:val="22"/>
        </w:rPr>
      </w:pPr>
    </w:p>
    <w:p w14:paraId="404BEC82" w14:textId="796583F5"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If any errors or discrepancies in the CRFs are found during data entry or review</w:t>
      </w:r>
      <w:r w:rsidR="00A338D6">
        <w:rPr>
          <w:rFonts w:asciiTheme="minorHAnsi" w:hAnsiTheme="minorHAnsi" w:cstheme="minorHAnsi"/>
          <w:sz w:val="22"/>
          <w:szCs w:val="22"/>
        </w:rPr>
        <w:t>, “</w:t>
      </w:r>
      <w:r w:rsidRPr="00632FB8">
        <w:rPr>
          <w:rFonts w:asciiTheme="minorHAnsi" w:hAnsiTheme="minorHAnsi" w:cstheme="minorHAnsi"/>
          <w:sz w:val="22"/>
          <w:szCs w:val="22"/>
        </w:rPr>
        <w:t>manual</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 queries will be generated. </w:t>
      </w:r>
    </w:p>
    <w:p w14:paraId="6FE16A26" w14:textId="77777777" w:rsidR="00A338D6" w:rsidRPr="00632FB8" w:rsidRDefault="00A338D6" w:rsidP="00632FB8">
      <w:pPr>
        <w:pStyle w:val="Default"/>
        <w:ind w:left="397"/>
        <w:jc w:val="both"/>
        <w:rPr>
          <w:rFonts w:asciiTheme="minorHAnsi" w:hAnsiTheme="minorHAnsi" w:cstheme="minorHAnsi"/>
          <w:sz w:val="22"/>
          <w:szCs w:val="22"/>
        </w:rPr>
      </w:pPr>
    </w:p>
    <w:p w14:paraId="3BBD1749" w14:textId="53245F3F"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Discrepancies and queries can only be corrected by the investigator(s) or other authorised site personnel. </w:t>
      </w:r>
    </w:p>
    <w:p w14:paraId="3566E541" w14:textId="77777777" w:rsidR="00A338D6" w:rsidRPr="00632FB8" w:rsidRDefault="00A338D6" w:rsidP="00632FB8">
      <w:pPr>
        <w:pStyle w:val="Default"/>
        <w:ind w:left="397"/>
        <w:jc w:val="both"/>
        <w:rPr>
          <w:rFonts w:asciiTheme="minorHAnsi" w:hAnsiTheme="minorHAnsi" w:cstheme="minorHAnsi"/>
          <w:sz w:val="22"/>
          <w:szCs w:val="22"/>
        </w:rPr>
      </w:pPr>
    </w:p>
    <w:p w14:paraId="664661B5" w14:textId="4FEF2CD8" w:rsidR="00DE0565" w:rsidRPr="00305BC5" w:rsidRDefault="00DE0565" w:rsidP="002C2D1C">
      <w:pPr>
        <w:tabs>
          <w:tab w:val="left" w:pos="1185"/>
        </w:tabs>
        <w:spacing w:after="0" w:line="240" w:lineRule="auto"/>
        <w:jc w:val="both"/>
        <w:rPr>
          <w:rFonts w:cstheme="minorHAnsi"/>
        </w:rPr>
      </w:pPr>
      <w:r w:rsidRPr="00305BC5">
        <w:rPr>
          <w:rFonts w:cstheme="minorHAnsi"/>
        </w:rPr>
        <w:t>In all cases, patient initials or personal data will not be co</w:t>
      </w:r>
      <w:r w:rsidRPr="00556D59">
        <w:rPr>
          <w:rFonts w:cstheme="minorHAnsi"/>
        </w:rPr>
        <w:t>llected by or transmitted to the sponsor</w:t>
      </w:r>
      <w:r w:rsidR="00A338D6">
        <w:rPr>
          <w:rFonts w:cstheme="minorHAnsi"/>
        </w:rPr>
        <w:t>.</w:t>
      </w:r>
    </w:p>
    <w:p w14:paraId="67A2EEFA" w14:textId="70B6CFB9" w:rsidR="00DE0565" w:rsidRPr="00556D59" w:rsidRDefault="00DE0565" w:rsidP="00632FB8">
      <w:pPr>
        <w:tabs>
          <w:tab w:val="left" w:pos="1185"/>
        </w:tabs>
        <w:spacing w:after="0" w:line="240" w:lineRule="auto"/>
        <w:ind w:left="397"/>
        <w:jc w:val="both"/>
        <w:rPr>
          <w:rFonts w:cstheme="minorHAnsi"/>
        </w:rPr>
      </w:pPr>
    </w:p>
    <w:p w14:paraId="4BD40A42" w14:textId="4775C1A2" w:rsidR="00DE0565"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10.1.3 Missing Data </w:t>
      </w:r>
    </w:p>
    <w:p w14:paraId="0B924796" w14:textId="77777777" w:rsidR="00A338D6" w:rsidRPr="00632FB8" w:rsidRDefault="00A338D6" w:rsidP="00632FB8">
      <w:pPr>
        <w:pStyle w:val="Default"/>
        <w:ind w:left="397"/>
        <w:rPr>
          <w:rFonts w:asciiTheme="minorHAnsi" w:hAnsiTheme="minorHAnsi" w:cstheme="minorHAnsi"/>
          <w:sz w:val="22"/>
          <w:szCs w:val="22"/>
        </w:rPr>
      </w:pPr>
    </w:p>
    <w:p w14:paraId="209A7433" w14:textId="5A15F823"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If any information is not available, and it is considered by the Investigator that it will never be available (e.g. the weight at a particular visit was not recorded), the Investigator will score out the question box in the CRF and, if appropriate, explain, on the CRF, why the investigation was missed out (e.g. the patient was not well enough to undergo the procedure). </w:t>
      </w:r>
    </w:p>
    <w:p w14:paraId="3B90436A" w14:textId="77777777" w:rsidR="00A338D6" w:rsidRPr="00632FB8" w:rsidRDefault="00A338D6" w:rsidP="00632FB8">
      <w:pPr>
        <w:pStyle w:val="Default"/>
        <w:ind w:left="397"/>
        <w:jc w:val="both"/>
        <w:rPr>
          <w:rFonts w:asciiTheme="minorHAnsi" w:hAnsiTheme="minorHAnsi" w:cstheme="minorHAnsi"/>
          <w:sz w:val="22"/>
          <w:szCs w:val="22"/>
        </w:rPr>
      </w:pPr>
    </w:p>
    <w:p w14:paraId="52229B7C" w14:textId="77777777" w:rsidR="004313B6" w:rsidRDefault="004313B6" w:rsidP="00632FB8">
      <w:pPr>
        <w:pStyle w:val="Default"/>
        <w:ind w:left="397"/>
        <w:jc w:val="both"/>
        <w:rPr>
          <w:rFonts w:asciiTheme="minorHAnsi" w:hAnsiTheme="minorHAnsi" w:cstheme="minorHAnsi"/>
          <w:b/>
          <w:bCs/>
          <w:sz w:val="22"/>
          <w:szCs w:val="22"/>
        </w:rPr>
      </w:pPr>
    </w:p>
    <w:p w14:paraId="29AC371E" w14:textId="77777777" w:rsidR="004313B6" w:rsidRDefault="004313B6" w:rsidP="00632FB8">
      <w:pPr>
        <w:pStyle w:val="Default"/>
        <w:ind w:left="397"/>
        <w:jc w:val="both"/>
        <w:rPr>
          <w:rFonts w:asciiTheme="minorHAnsi" w:hAnsiTheme="minorHAnsi" w:cstheme="minorHAnsi"/>
          <w:b/>
          <w:bCs/>
          <w:sz w:val="22"/>
          <w:szCs w:val="22"/>
        </w:rPr>
      </w:pPr>
    </w:p>
    <w:p w14:paraId="6068836B" w14:textId="0D1CEC91" w:rsidR="00DE0565" w:rsidRDefault="00DE0565" w:rsidP="00632FB8">
      <w:pPr>
        <w:pStyle w:val="Default"/>
        <w:ind w:left="397"/>
        <w:jc w:val="both"/>
        <w:rPr>
          <w:rFonts w:asciiTheme="minorHAnsi" w:hAnsiTheme="minorHAnsi" w:cstheme="minorHAnsi"/>
          <w:b/>
          <w:bCs/>
          <w:sz w:val="22"/>
          <w:szCs w:val="22"/>
        </w:rPr>
      </w:pPr>
      <w:r w:rsidRPr="00632FB8">
        <w:rPr>
          <w:rFonts w:asciiTheme="minorHAnsi" w:hAnsiTheme="minorHAnsi" w:cstheme="minorHAnsi"/>
          <w:b/>
          <w:bCs/>
          <w:sz w:val="22"/>
          <w:szCs w:val="22"/>
        </w:rPr>
        <w:t xml:space="preserve">10.1.4 Storage of Study Records </w:t>
      </w:r>
    </w:p>
    <w:p w14:paraId="7B19EFE8" w14:textId="77777777" w:rsidR="00A338D6" w:rsidRPr="00632FB8" w:rsidRDefault="00A338D6" w:rsidP="00632FB8">
      <w:pPr>
        <w:pStyle w:val="Default"/>
        <w:ind w:left="397"/>
        <w:jc w:val="both"/>
        <w:rPr>
          <w:rFonts w:asciiTheme="minorHAnsi" w:hAnsiTheme="minorHAnsi" w:cstheme="minorHAnsi"/>
          <w:sz w:val="22"/>
          <w:szCs w:val="22"/>
        </w:rPr>
      </w:pPr>
    </w:p>
    <w:p w14:paraId="2486973C" w14:textId="2D158D85"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It will be the responsibility of the Investigator to guarantee adequate storage for all study records, including the hospital notes during the study and for a minimum of 15 years following the end of the study, or as per current national regulations. If he/she leaves the employ of the hospital he/she will inform the sponsor and nominate a contact person who will have access to the study documents. </w:t>
      </w:r>
    </w:p>
    <w:p w14:paraId="2EE2F312" w14:textId="77777777" w:rsidR="00A338D6" w:rsidRPr="00632FB8" w:rsidRDefault="00A338D6" w:rsidP="00632FB8">
      <w:pPr>
        <w:pStyle w:val="Default"/>
        <w:ind w:left="397"/>
        <w:jc w:val="both"/>
        <w:rPr>
          <w:rFonts w:asciiTheme="minorHAnsi" w:hAnsiTheme="minorHAnsi" w:cstheme="minorHAnsi"/>
          <w:sz w:val="22"/>
          <w:szCs w:val="22"/>
        </w:rPr>
      </w:pPr>
    </w:p>
    <w:p w14:paraId="5A6499D5" w14:textId="5393C584"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The investigator should take measures to prevent accidental or premature destruction of these documents. </w:t>
      </w:r>
    </w:p>
    <w:p w14:paraId="670D39D5" w14:textId="77777777" w:rsidR="00A338D6" w:rsidRPr="00632FB8" w:rsidRDefault="00A338D6" w:rsidP="00632FB8">
      <w:pPr>
        <w:pStyle w:val="Default"/>
        <w:ind w:left="397"/>
        <w:jc w:val="both"/>
        <w:rPr>
          <w:rFonts w:asciiTheme="minorHAnsi" w:hAnsiTheme="minorHAnsi" w:cstheme="minorHAnsi"/>
          <w:sz w:val="22"/>
          <w:szCs w:val="22"/>
        </w:rPr>
      </w:pPr>
    </w:p>
    <w:p w14:paraId="606E73B1" w14:textId="368CC5DC" w:rsidR="00DE0565" w:rsidRDefault="00DE0565" w:rsidP="00632FB8">
      <w:pPr>
        <w:pStyle w:val="Default"/>
        <w:jc w:val="both"/>
        <w:rPr>
          <w:rFonts w:asciiTheme="minorHAnsi" w:hAnsiTheme="minorHAnsi" w:cstheme="minorHAnsi"/>
          <w:sz w:val="22"/>
          <w:szCs w:val="22"/>
        </w:rPr>
      </w:pPr>
      <w:r w:rsidRPr="00632FB8">
        <w:rPr>
          <w:rFonts w:asciiTheme="minorHAnsi" w:hAnsiTheme="minorHAnsi" w:cstheme="minorHAnsi"/>
          <w:sz w:val="22"/>
          <w:szCs w:val="22"/>
        </w:rPr>
        <w:t>Essential documents shall be archived in such a way that ensures that they are readily available upon authorities</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 request. </w:t>
      </w:r>
    </w:p>
    <w:p w14:paraId="58012EFB" w14:textId="77777777" w:rsidR="00A338D6" w:rsidRPr="00632FB8" w:rsidRDefault="00A338D6" w:rsidP="00632FB8">
      <w:pPr>
        <w:pStyle w:val="Default"/>
        <w:ind w:left="397"/>
        <w:jc w:val="both"/>
        <w:rPr>
          <w:rFonts w:asciiTheme="minorHAnsi" w:hAnsiTheme="minorHAnsi" w:cstheme="minorHAnsi"/>
          <w:sz w:val="22"/>
          <w:szCs w:val="22"/>
        </w:rPr>
      </w:pPr>
    </w:p>
    <w:p w14:paraId="08593C0C" w14:textId="6868644D"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The investigator</w:t>
      </w:r>
      <w:r w:rsidR="00A338D6">
        <w:rPr>
          <w:rFonts w:asciiTheme="minorHAnsi" w:hAnsiTheme="minorHAnsi" w:cstheme="minorHAnsi"/>
          <w:sz w:val="22"/>
          <w:szCs w:val="22"/>
        </w:rPr>
        <w:t>’</w:t>
      </w:r>
      <w:r w:rsidRPr="00632FB8">
        <w:rPr>
          <w:rFonts w:asciiTheme="minorHAnsi" w:hAnsiTheme="minorHAnsi" w:cstheme="minorHAnsi"/>
          <w:sz w:val="22"/>
          <w:szCs w:val="22"/>
        </w:rPr>
        <w:t>s site file (ISF) is not to be destroyed without the sponsor</w:t>
      </w:r>
      <w:r w:rsidR="00A338D6">
        <w:rPr>
          <w:rFonts w:asciiTheme="minorHAnsi" w:hAnsiTheme="minorHAnsi" w:cstheme="minorHAnsi"/>
          <w:sz w:val="22"/>
          <w:szCs w:val="22"/>
        </w:rPr>
        <w:t>’</w:t>
      </w:r>
      <w:r w:rsidRPr="00632FB8">
        <w:rPr>
          <w:rFonts w:asciiTheme="minorHAnsi" w:hAnsiTheme="minorHAnsi" w:cstheme="minorHAnsi"/>
          <w:sz w:val="22"/>
          <w:szCs w:val="22"/>
        </w:rPr>
        <w:t>s approval. The investigator</w:t>
      </w:r>
      <w:r w:rsidR="00A338D6">
        <w:rPr>
          <w:rFonts w:asciiTheme="minorHAnsi" w:hAnsiTheme="minorHAnsi" w:cstheme="minorHAnsi"/>
          <w:sz w:val="22"/>
          <w:szCs w:val="22"/>
        </w:rPr>
        <w:t>’</w:t>
      </w:r>
      <w:r w:rsidRPr="00632FB8">
        <w:rPr>
          <w:rFonts w:asciiTheme="minorHAnsi" w:hAnsiTheme="minorHAnsi" w:cstheme="minorHAnsi"/>
          <w:sz w:val="22"/>
          <w:szCs w:val="22"/>
        </w:rPr>
        <w:t xml:space="preserve">s contract will contain all regulations relevant for the study centre. </w:t>
      </w:r>
    </w:p>
    <w:p w14:paraId="07DCC3A7" w14:textId="77777777" w:rsidR="00A338D6" w:rsidRPr="00632FB8" w:rsidRDefault="00A338D6" w:rsidP="00632FB8">
      <w:pPr>
        <w:pStyle w:val="Default"/>
        <w:ind w:left="397"/>
        <w:rPr>
          <w:rFonts w:asciiTheme="minorHAnsi" w:hAnsiTheme="minorHAnsi" w:cstheme="minorHAnsi"/>
          <w:sz w:val="22"/>
          <w:szCs w:val="22"/>
        </w:rPr>
      </w:pPr>
    </w:p>
    <w:p w14:paraId="62615DAB" w14:textId="6683BEC8" w:rsidR="00DE0565" w:rsidRDefault="00DE0565" w:rsidP="00632FB8">
      <w:pPr>
        <w:pStyle w:val="Default"/>
        <w:rPr>
          <w:rFonts w:asciiTheme="minorHAnsi" w:hAnsiTheme="minorHAnsi" w:cstheme="minorHAnsi"/>
          <w:sz w:val="22"/>
          <w:szCs w:val="22"/>
        </w:rPr>
      </w:pPr>
      <w:r w:rsidRPr="00632FB8">
        <w:rPr>
          <w:rFonts w:asciiTheme="minorHAnsi" w:hAnsiTheme="minorHAnsi" w:cstheme="minorHAnsi"/>
          <w:sz w:val="22"/>
          <w:szCs w:val="22"/>
        </w:rPr>
        <w:t>Archiving is described in Section 10.</w:t>
      </w:r>
      <w:r w:rsidR="00A338D6">
        <w:rPr>
          <w:rFonts w:asciiTheme="minorHAnsi" w:hAnsiTheme="minorHAnsi" w:cstheme="minorHAnsi"/>
          <w:sz w:val="22"/>
          <w:szCs w:val="22"/>
        </w:rPr>
        <w:t>5</w:t>
      </w:r>
      <w:r w:rsidRPr="00632FB8">
        <w:rPr>
          <w:rFonts w:asciiTheme="minorHAnsi" w:hAnsiTheme="minorHAnsi" w:cstheme="minorHAnsi"/>
          <w:sz w:val="22"/>
          <w:szCs w:val="22"/>
        </w:rPr>
        <w:t xml:space="preserve">. </w:t>
      </w:r>
    </w:p>
    <w:p w14:paraId="2F97AA2E" w14:textId="77777777" w:rsidR="00A338D6" w:rsidRPr="00632FB8" w:rsidRDefault="00A338D6" w:rsidP="00632FB8">
      <w:pPr>
        <w:pStyle w:val="Default"/>
        <w:ind w:left="397"/>
        <w:rPr>
          <w:rFonts w:asciiTheme="minorHAnsi" w:hAnsiTheme="minorHAnsi" w:cstheme="minorHAnsi"/>
          <w:sz w:val="22"/>
          <w:szCs w:val="22"/>
        </w:rPr>
      </w:pPr>
    </w:p>
    <w:p w14:paraId="4C5343A2" w14:textId="4B963DD0" w:rsidR="00DE0565"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10.2 Monitoring </w:t>
      </w:r>
    </w:p>
    <w:p w14:paraId="5DCE37EA" w14:textId="4B4406AA" w:rsidR="00A338D6" w:rsidRDefault="00A338D6">
      <w:pPr>
        <w:pStyle w:val="Default"/>
        <w:ind w:left="397"/>
        <w:rPr>
          <w:rFonts w:asciiTheme="minorHAnsi" w:hAnsiTheme="minorHAnsi" w:cstheme="minorHAnsi"/>
          <w:b/>
          <w:bCs/>
          <w:sz w:val="22"/>
          <w:szCs w:val="22"/>
        </w:rPr>
      </w:pPr>
    </w:p>
    <w:p w14:paraId="0BC08EDD" w14:textId="44D3AA4B" w:rsidR="00A338D6" w:rsidRDefault="00A338D6" w:rsidP="00632FB8">
      <w:pPr>
        <w:pStyle w:val="Default"/>
        <w:rPr>
          <w:rFonts w:asciiTheme="minorHAnsi" w:hAnsiTheme="minorHAnsi" w:cstheme="minorHAnsi"/>
          <w:sz w:val="22"/>
          <w:szCs w:val="22"/>
        </w:rPr>
      </w:pPr>
      <w:r w:rsidRPr="00632FB8">
        <w:rPr>
          <w:rFonts w:asciiTheme="minorHAnsi" w:hAnsiTheme="minorHAnsi" w:cstheme="minorHAnsi"/>
          <w:sz w:val="22"/>
          <w:szCs w:val="22"/>
        </w:rPr>
        <w:t>To enable monitoring and audits</w:t>
      </w:r>
      <w:r>
        <w:rPr>
          <w:rFonts w:asciiTheme="minorHAnsi" w:hAnsiTheme="minorHAnsi" w:cstheme="minorHAnsi"/>
          <w:sz w:val="22"/>
          <w:szCs w:val="22"/>
        </w:rPr>
        <w:t>, records will be kept of the following:</w:t>
      </w:r>
    </w:p>
    <w:p w14:paraId="069C0859" w14:textId="77777777" w:rsidR="00765581" w:rsidRDefault="00765581">
      <w:pPr>
        <w:pStyle w:val="Default"/>
        <w:ind w:left="397"/>
        <w:rPr>
          <w:rFonts w:asciiTheme="minorHAnsi" w:hAnsiTheme="minorHAnsi" w:cstheme="minorHAnsi"/>
          <w:sz w:val="22"/>
          <w:szCs w:val="22"/>
        </w:rPr>
      </w:pPr>
    </w:p>
    <w:p w14:paraId="0738DE2F" w14:textId="6DE0E23A" w:rsidR="00A338D6" w:rsidRPr="000E1A2E" w:rsidRDefault="00A338D6" w:rsidP="00632FB8">
      <w:pPr>
        <w:pStyle w:val="Default"/>
        <w:numPr>
          <w:ilvl w:val="0"/>
          <w:numId w:val="45"/>
        </w:numPr>
        <w:ind w:left="1077" w:hanging="357"/>
        <w:rPr>
          <w:rFonts w:asciiTheme="minorHAnsi" w:hAnsiTheme="minorHAnsi" w:cstheme="minorHAnsi"/>
          <w:sz w:val="22"/>
          <w:szCs w:val="22"/>
        </w:rPr>
      </w:pPr>
      <w:r>
        <w:rPr>
          <w:rFonts w:asciiTheme="minorHAnsi" w:hAnsiTheme="minorHAnsi" w:cstheme="minorHAnsi"/>
          <w:sz w:val="22"/>
          <w:szCs w:val="22"/>
        </w:rPr>
        <w:t>Identity o</w:t>
      </w:r>
      <w:r w:rsidRPr="002C2D1C">
        <w:rPr>
          <w:rFonts w:asciiTheme="minorHAnsi" w:hAnsiTheme="minorHAnsi" w:cstheme="minorHAnsi"/>
          <w:sz w:val="22"/>
          <w:szCs w:val="22"/>
        </w:rPr>
        <w:t>f</w:t>
      </w:r>
      <w:r w:rsidRPr="000E1A2E">
        <w:rPr>
          <w:rFonts w:asciiTheme="minorHAnsi" w:hAnsiTheme="minorHAnsi" w:cstheme="minorHAnsi"/>
          <w:sz w:val="22"/>
          <w:szCs w:val="22"/>
        </w:rPr>
        <w:t xml:space="preserve"> participants</w:t>
      </w:r>
    </w:p>
    <w:p w14:paraId="6753CC18" w14:textId="6C7EB2B9" w:rsidR="00A338D6" w:rsidRPr="00765581"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Original signed consent forms</w:t>
      </w:r>
    </w:p>
    <w:p w14:paraId="539B4F2E" w14:textId="52B169EC" w:rsidR="00A338D6" w:rsidRPr="00765581"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Copies of all CRFs</w:t>
      </w:r>
    </w:p>
    <w:p w14:paraId="7B395959" w14:textId="5A77975F" w:rsidR="00A338D6" w:rsidRPr="00765581"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Safety reporting forms</w:t>
      </w:r>
    </w:p>
    <w:p w14:paraId="38F6F301" w14:textId="6D012C37" w:rsidR="00A338D6" w:rsidRPr="00765581"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Source documents</w:t>
      </w:r>
    </w:p>
    <w:p w14:paraId="55568D66" w14:textId="610A2799" w:rsidR="00A338D6" w:rsidRPr="00765581"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Operation reports and medical notes</w:t>
      </w:r>
    </w:p>
    <w:p w14:paraId="5D9E0EE4" w14:textId="5178116B" w:rsidR="00A338D6" w:rsidRPr="00632FB8" w:rsidRDefault="00A338D6" w:rsidP="00632FB8">
      <w:pPr>
        <w:pStyle w:val="Default"/>
        <w:numPr>
          <w:ilvl w:val="0"/>
          <w:numId w:val="45"/>
        </w:numPr>
        <w:ind w:left="1077" w:hanging="357"/>
        <w:rPr>
          <w:rFonts w:asciiTheme="minorHAnsi" w:hAnsiTheme="minorHAnsi" w:cstheme="minorHAnsi"/>
          <w:sz w:val="22"/>
          <w:szCs w:val="22"/>
        </w:rPr>
      </w:pPr>
      <w:r w:rsidRPr="00765581">
        <w:rPr>
          <w:rFonts w:asciiTheme="minorHAnsi" w:hAnsiTheme="minorHAnsi" w:cstheme="minorHAnsi"/>
          <w:sz w:val="22"/>
          <w:szCs w:val="22"/>
        </w:rPr>
        <w:t>Correspondence</w:t>
      </w:r>
    </w:p>
    <w:p w14:paraId="397AC9E9" w14:textId="77777777" w:rsidR="00A338D6" w:rsidRPr="00632FB8" w:rsidRDefault="00A338D6" w:rsidP="00632FB8">
      <w:pPr>
        <w:pStyle w:val="Default"/>
        <w:ind w:left="397"/>
        <w:rPr>
          <w:rFonts w:asciiTheme="minorHAnsi" w:hAnsiTheme="minorHAnsi" w:cstheme="minorHAnsi"/>
          <w:sz w:val="22"/>
          <w:szCs w:val="22"/>
        </w:rPr>
      </w:pPr>
    </w:p>
    <w:p w14:paraId="3F6866DC" w14:textId="77777777" w:rsidR="00A338D6" w:rsidRPr="002C2D1C"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10.3 Data </w:t>
      </w:r>
      <w:r w:rsidR="00A338D6" w:rsidRPr="002C2D1C">
        <w:rPr>
          <w:rFonts w:asciiTheme="minorHAnsi" w:hAnsiTheme="minorHAnsi" w:cstheme="minorHAnsi"/>
          <w:b/>
          <w:bCs/>
          <w:sz w:val="22"/>
          <w:szCs w:val="22"/>
        </w:rPr>
        <w:t>Management</w:t>
      </w:r>
    </w:p>
    <w:p w14:paraId="2AF8E66C" w14:textId="77777777" w:rsidR="00765581" w:rsidRPr="002C2D1C" w:rsidRDefault="00765581" w:rsidP="00632FB8">
      <w:pPr>
        <w:pStyle w:val="Default"/>
        <w:rPr>
          <w:rFonts w:asciiTheme="minorHAnsi" w:hAnsiTheme="minorHAnsi" w:cstheme="minorHAnsi"/>
          <w:b/>
          <w:bCs/>
          <w:sz w:val="22"/>
          <w:szCs w:val="22"/>
        </w:rPr>
      </w:pPr>
    </w:p>
    <w:p w14:paraId="73D2EA24" w14:textId="2AA6A3C8" w:rsidR="00DE0565" w:rsidRPr="002C2D1C" w:rsidRDefault="00A338D6" w:rsidP="00632FB8">
      <w:pPr>
        <w:pStyle w:val="Default"/>
        <w:rPr>
          <w:rFonts w:asciiTheme="minorHAnsi" w:hAnsiTheme="minorHAnsi" w:cstheme="minorHAnsi"/>
          <w:b/>
          <w:bCs/>
          <w:sz w:val="22"/>
          <w:szCs w:val="22"/>
        </w:rPr>
      </w:pPr>
      <w:r w:rsidRPr="00632FB8">
        <w:rPr>
          <w:rFonts w:asciiTheme="minorHAnsi" w:hAnsiTheme="minorHAnsi"/>
          <w:sz w:val="22"/>
          <w:szCs w:val="22"/>
        </w:rPr>
        <w:t xml:space="preserve">Enrolled patients will have clinical data collected on hardcopy case report forms and electronic </w:t>
      </w:r>
      <w:r w:rsidR="00FC54AE">
        <w:rPr>
          <w:rFonts w:asciiTheme="minorHAnsi" w:hAnsiTheme="minorHAnsi"/>
          <w:sz w:val="22"/>
          <w:szCs w:val="22"/>
        </w:rPr>
        <w:t xml:space="preserve">Microsoft Excel </w:t>
      </w:r>
      <w:r w:rsidRPr="00632FB8">
        <w:rPr>
          <w:rFonts w:asciiTheme="minorHAnsi" w:hAnsiTheme="minorHAnsi"/>
          <w:sz w:val="22"/>
          <w:szCs w:val="22"/>
        </w:rPr>
        <w:t>spreadsheets.</w:t>
      </w:r>
      <w:r w:rsidR="00DE0565" w:rsidRPr="00632FB8">
        <w:rPr>
          <w:rFonts w:asciiTheme="minorHAnsi" w:hAnsiTheme="minorHAnsi" w:cstheme="minorHAnsi"/>
          <w:b/>
          <w:bCs/>
          <w:sz w:val="22"/>
          <w:szCs w:val="22"/>
        </w:rPr>
        <w:t xml:space="preserve"> </w:t>
      </w:r>
    </w:p>
    <w:p w14:paraId="200076B2" w14:textId="77777777" w:rsidR="00A338D6" w:rsidRPr="00632FB8" w:rsidRDefault="00A338D6" w:rsidP="00632FB8">
      <w:pPr>
        <w:pStyle w:val="Default"/>
        <w:ind w:left="397"/>
        <w:rPr>
          <w:rFonts w:asciiTheme="minorHAnsi" w:hAnsiTheme="minorHAnsi" w:cstheme="minorHAnsi"/>
          <w:sz w:val="22"/>
          <w:szCs w:val="22"/>
        </w:rPr>
      </w:pPr>
    </w:p>
    <w:p w14:paraId="1E18585F" w14:textId="24EC2FB1" w:rsidR="00DE0565" w:rsidRPr="002C2D1C"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10.4 Data Confidentiality </w:t>
      </w:r>
    </w:p>
    <w:p w14:paraId="13EE66B4" w14:textId="77777777" w:rsidR="00A338D6" w:rsidRPr="00632FB8" w:rsidRDefault="00A338D6" w:rsidP="00632FB8">
      <w:pPr>
        <w:pStyle w:val="Default"/>
        <w:ind w:left="397"/>
        <w:rPr>
          <w:rFonts w:asciiTheme="minorHAnsi" w:hAnsiTheme="minorHAnsi" w:cstheme="minorHAnsi"/>
          <w:sz w:val="22"/>
          <w:szCs w:val="22"/>
        </w:rPr>
      </w:pPr>
    </w:p>
    <w:p w14:paraId="2702E524" w14:textId="3BE6D338" w:rsidR="00DE0565" w:rsidRPr="002C2D1C"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10.4.1 Documentation of Patient´s Participation </w:t>
      </w:r>
    </w:p>
    <w:p w14:paraId="2141DE4B" w14:textId="77777777" w:rsidR="00A338D6" w:rsidRPr="00632FB8" w:rsidRDefault="00A338D6" w:rsidP="00632FB8">
      <w:pPr>
        <w:pStyle w:val="Default"/>
        <w:ind w:left="397"/>
        <w:rPr>
          <w:rFonts w:asciiTheme="minorHAnsi" w:hAnsiTheme="minorHAnsi" w:cstheme="minorHAnsi"/>
          <w:sz w:val="22"/>
          <w:szCs w:val="22"/>
        </w:rPr>
      </w:pPr>
    </w:p>
    <w:p w14:paraId="351D6B7F" w14:textId="15902DB5"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For all patients who give informed consent, regardless of whether they receive any study medication, the Investigator must record patient identification data in the "Patient Identification List" (full name, initials, date of birth, patient identification code). The patient identification list must allow for the definite identification of any patient that takes part in the study. In addition, study participation must be documented in the patien</w:t>
      </w:r>
      <w:r w:rsidR="00A338D6">
        <w:rPr>
          <w:rFonts w:asciiTheme="minorHAnsi" w:hAnsiTheme="minorHAnsi" w:cstheme="minorHAnsi"/>
          <w:sz w:val="22"/>
          <w:szCs w:val="22"/>
        </w:rPr>
        <w:t>t’</w:t>
      </w:r>
      <w:r w:rsidRPr="00632FB8">
        <w:rPr>
          <w:rFonts w:asciiTheme="minorHAnsi" w:hAnsiTheme="minorHAnsi" w:cstheme="minorHAnsi"/>
          <w:sz w:val="22"/>
          <w:szCs w:val="22"/>
        </w:rPr>
        <w:t xml:space="preserve">s regular medical records. For details about patient identification, see Section 4.4. </w:t>
      </w:r>
    </w:p>
    <w:p w14:paraId="57363C7D" w14:textId="77777777" w:rsidR="00A338D6" w:rsidRPr="00632FB8" w:rsidRDefault="00A338D6" w:rsidP="00632FB8">
      <w:pPr>
        <w:pStyle w:val="Default"/>
        <w:ind w:left="397"/>
        <w:rPr>
          <w:rFonts w:asciiTheme="minorHAnsi" w:hAnsiTheme="minorHAnsi" w:cstheme="minorHAnsi"/>
          <w:sz w:val="22"/>
          <w:szCs w:val="22"/>
        </w:rPr>
      </w:pPr>
    </w:p>
    <w:p w14:paraId="44B1C3AC" w14:textId="56BB690A" w:rsidR="00DE0565"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 xml:space="preserve">10.4.2 Data Protection </w:t>
      </w:r>
    </w:p>
    <w:p w14:paraId="6EB99878" w14:textId="77777777" w:rsidR="00A338D6" w:rsidRPr="00632FB8" w:rsidRDefault="00A338D6" w:rsidP="00632FB8">
      <w:pPr>
        <w:pStyle w:val="Default"/>
        <w:ind w:left="397"/>
        <w:rPr>
          <w:rFonts w:asciiTheme="minorHAnsi" w:hAnsiTheme="minorHAnsi" w:cstheme="minorHAnsi"/>
          <w:sz w:val="22"/>
          <w:szCs w:val="22"/>
        </w:rPr>
      </w:pPr>
    </w:p>
    <w:p w14:paraId="045726F2" w14:textId="3812B9AD" w:rsidR="00DE0565" w:rsidRPr="00305BC5" w:rsidRDefault="00DE0565" w:rsidP="002C2D1C">
      <w:pPr>
        <w:tabs>
          <w:tab w:val="left" w:pos="1185"/>
        </w:tabs>
        <w:spacing w:after="0" w:line="240" w:lineRule="auto"/>
        <w:jc w:val="both"/>
        <w:rPr>
          <w:rFonts w:cstheme="minorHAnsi"/>
        </w:rPr>
      </w:pPr>
      <w:r w:rsidRPr="00305BC5">
        <w:rPr>
          <w:rFonts w:cstheme="minorHAnsi"/>
        </w:rPr>
        <w:t>To protect the patient's identity, a unique patient identification code will be assigned by the Investigator to each trial patient and used in lieu of the patient's name when the Investigator reports adverse events and/or other trial related data. Thus, th</w:t>
      </w:r>
      <w:r w:rsidRPr="00556D59">
        <w:rPr>
          <w:rFonts w:cstheme="minorHAnsi"/>
        </w:rPr>
        <w:t xml:space="preserve">is number, rather than the patient's name, will appear on all documents and will be cross-referenced by the patient's date of birth. Personal information will be treated as confidential, </w:t>
      </w:r>
      <w:r w:rsidR="00A338D6">
        <w:rPr>
          <w:rFonts w:cstheme="minorHAnsi"/>
        </w:rPr>
        <w:t xml:space="preserve">and only the study team at the hospital may access information collected as part of this study. </w:t>
      </w:r>
    </w:p>
    <w:p w14:paraId="403706F9" w14:textId="1A13566D" w:rsidR="00DE0565" w:rsidRPr="00556D59" w:rsidRDefault="00DE0565" w:rsidP="00632FB8">
      <w:pPr>
        <w:tabs>
          <w:tab w:val="left" w:pos="1185"/>
        </w:tabs>
        <w:spacing w:after="0" w:line="240" w:lineRule="auto"/>
        <w:ind w:left="397"/>
        <w:jc w:val="both"/>
        <w:rPr>
          <w:rFonts w:cstheme="minorHAnsi"/>
        </w:rPr>
      </w:pPr>
    </w:p>
    <w:p w14:paraId="5134AB56" w14:textId="085C1599" w:rsidR="00DE0565" w:rsidRDefault="00DE0565">
      <w:pPr>
        <w:pStyle w:val="Default"/>
        <w:ind w:left="397"/>
        <w:rPr>
          <w:rFonts w:asciiTheme="minorHAnsi" w:hAnsiTheme="minorHAnsi" w:cstheme="minorHAnsi"/>
          <w:b/>
          <w:bCs/>
          <w:sz w:val="22"/>
          <w:szCs w:val="22"/>
        </w:rPr>
      </w:pPr>
      <w:r w:rsidRPr="00632FB8">
        <w:rPr>
          <w:rFonts w:asciiTheme="minorHAnsi" w:hAnsiTheme="minorHAnsi" w:cstheme="minorHAnsi"/>
          <w:b/>
          <w:bCs/>
          <w:sz w:val="22"/>
          <w:szCs w:val="22"/>
        </w:rPr>
        <w:t>10.</w:t>
      </w:r>
      <w:r w:rsidR="00A338D6">
        <w:rPr>
          <w:rFonts w:asciiTheme="minorHAnsi" w:hAnsiTheme="minorHAnsi" w:cstheme="minorHAnsi"/>
          <w:b/>
          <w:bCs/>
          <w:sz w:val="22"/>
          <w:szCs w:val="22"/>
        </w:rPr>
        <w:t>5</w:t>
      </w:r>
      <w:r w:rsidRPr="00632FB8">
        <w:rPr>
          <w:rFonts w:asciiTheme="minorHAnsi" w:hAnsiTheme="minorHAnsi" w:cstheme="minorHAnsi"/>
          <w:b/>
          <w:bCs/>
          <w:sz w:val="22"/>
          <w:szCs w:val="22"/>
        </w:rPr>
        <w:t xml:space="preserve"> Archiving </w:t>
      </w:r>
    </w:p>
    <w:p w14:paraId="4FB54C3F" w14:textId="77777777" w:rsidR="00A338D6" w:rsidRPr="00632FB8" w:rsidRDefault="00A338D6" w:rsidP="00632FB8">
      <w:pPr>
        <w:pStyle w:val="Default"/>
        <w:ind w:left="397"/>
        <w:rPr>
          <w:rFonts w:asciiTheme="minorHAnsi" w:hAnsiTheme="minorHAnsi" w:cstheme="minorHAnsi"/>
          <w:sz w:val="22"/>
          <w:szCs w:val="22"/>
        </w:rPr>
      </w:pPr>
    </w:p>
    <w:p w14:paraId="6C9DE8BE" w14:textId="5ED93553" w:rsidR="00DE0565" w:rsidRDefault="00A338D6" w:rsidP="00660135">
      <w:pPr>
        <w:pStyle w:val="Default"/>
        <w:jc w:val="both"/>
        <w:rPr>
          <w:rFonts w:asciiTheme="minorHAnsi" w:hAnsiTheme="minorHAnsi" w:cstheme="minorHAnsi"/>
          <w:sz w:val="22"/>
          <w:szCs w:val="22"/>
        </w:rPr>
      </w:pPr>
      <w:r>
        <w:rPr>
          <w:rFonts w:asciiTheme="minorHAnsi" w:hAnsiTheme="minorHAnsi" w:cstheme="minorHAnsi"/>
          <w:sz w:val="22"/>
          <w:szCs w:val="22"/>
        </w:rPr>
        <w:t>The</w:t>
      </w:r>
      <w:r w:rsidR="00DE0565" w:rsidRPr="00632FB8">
        <w:rPr>
          <w:rFonts w:asciiTheme="minorHAnsi" w:hAnsiTheme="minorHAnsi" w:cstheme="minorHAnsi"/>
          <w:sz w:val="22"/>
          <w:szCs w:val="22"/>
        </w:rPr>
        <w:t xml:space="preserve"> investigator / medical institution shall, in every case, retain the essential documents relating to this study for at least 15 years after its completion or as per current national regulations. They shall retain the documents for a longer period if required by other applicable regulatory requirements or by a separate agreement between the sponsor and the investigator. Essential documents shall be archived in such a way that ensures that they are readily available upon authorities</w:t>
      </w:r>
      <w:r>
        <w:rPr>
          <w:rFonts w:asciiTheme="minorHAnsi" w:hAnsiTheme="minorHAnsi" w:cstheme="minorHAnsi"/>
          <w:sz w:val="22"/>
          <w:szCs w:val="22"/>
        </w:rPr>
        <w:t>’</w:t>
      </w:r>
      <w:r w:rsidR="00DE0565" w:rsidRPr="00632FB8">
        <w:rPr>
          <w:rFonts w:asciiTheme="minorHAnsi" w:hAnsiTheme="minorHAnsi" w:cstheme="minorHAnsi"/>
          <w:sz w:val="22"/>
          <w:szCs w:val="22"/>
        </w:rPr>
        <w:t xml:space="preserve"> request. </w:t>
      </w:r>
    </w:p>
    <w:p w14:paraId="00BD4F46" w14:textId="77777777" w:rsidR="00A338D6" w:rsidRPr="00632FB8" w:rsidRDefault="00A338D6" w:rsidP="00632FB8">
      <w:pPr>
        <w:pStyle w:val="Default"/>
        <w:ind w:left="397"/>
        <w:rPr>
          <w:rFonts w:asciiTheme="minorHAnsi" w:hAnsiTheme="minorHAnsi" w:cstheme="minorHAnsi"/>
          <w:sz w:val="22"/>
          <w:szCs w:val="22"/>
        </w:rPr>
      </w:pPr>
    </w:p>
    <w:p w14:paraId="00F6AD73" w14:textId="768A8EA6" w:rsidR="00DE0565" w:rsidRPr="00632FB8" w:rsidRDefault="00DE0565" w:rsidP="002C2D1C">
      <w:pPr>
        <w:pStyle w:val="Default"/>
        <w:rPr>
          <w:rFonts w:asciiTheme="minorHAnsi" w:hAnsiTheme="minorHAnsi" w:cstheme="minorHAnsi"/>
          <w:sz w:val="22"/>
          <w:szCs w:val="22"/>
        </w:rPr>
      </w:pPr>
      <w:r w:rsidRPr="00632FB8">
        <w:rPr>
          <w:rFonts w:asciiTheme="minorHAnsi" w:hAnsiTheme="minorHAnsi" w:cstheme="minorHAnsi"/>
          <w:sz w:val="22"/>
          <w:szCs w:val="22"/>
        </w:rPr>
        <w:t xml:space="preserve">CRFs (including queries and audit trails) will be retained </w:t>
      </w:r>
      <w:r w:rsidR="00A338D6">
        <w:rPr>
          <w:rFonts w:asciiTheme="minorHAnsi" w:hAnsiTheme="minorHAnsi" w:cstheme="minorHAnsi"/>
          <w:sz w:val="22"/>
          <w:szCs w:val="22"/>
        </w:rPr>
        <w:t xml:space="preserve">by the study site. </w:t>
      </w:r>
    </w:p>
    <w:p w14:paraId="682F3A9F" w14:textId="77777777" w:rsidR="00A338D6" w:rsidRDefault="00A338D6">
      <w:pPr>
        <w:pStyle w:val="Default"/>
        <w:ind w:left="397"/>
        <w:rPr>
          <w:rFonts w:asciiTheme="minorHAnsi" w:hAnsiTheme="minorHAnsi" w:cstheme="minorHAnsi"/>
          <w:sz w:val="22"/>
          <w:szCs w:val="22"/>
        </w:rPr>
      </w:pPr>
    </w:p>
    <w:p w14:paraId="1268C1F6" w14:textId="344A2DB9" w:rsidR="00DE0565" w:rsidRDefault="00DE0565" w:rsidP="00660135">
      <w:pPr>
        <w:pStyle w:val="Default"/>
        <w:jc w:val="both"/>
        <w:rPr>
          <w:rFonts w:asciiTheme="minorHAnsi" w:hAnsiTheme="minorHAnsi" w:cstheme="minorHAnsi"/>
          <w:sz w:val="22"/>
          <w:szCs w:val="22"/>
        </w:rPr>
      </w:pPr>
      <w:r w:rsidRPr="00632FB8">
        <w:rPr>
          <w:rFonts w:asciiTheme="minorHAnsi" w:hAnsiTheme="minorHAnsi" w:cstheme="minorHAnsi"/>
          <w:sz w:val="22"/>
          <w:szCs w:val="22"/>
        </w:rPr>
        <w:t xml:space="preserve">Patient (hospital) files will be archived according to local regulations and in accordance with the maximum period of time permitted by the hospital, institution or private practice. </w:t>
      </w:r>
    </w:p>
    <w:p w14:paraId="1CC8E109" w14:textId="77777777" w:rsidR="00A338D6" w:rsidRPr="00632FB8" w:rsidRDefault="00A338D6" w:rsidP="00632FB8">
      <w:pPr>
        <w:pStyle w:val="Default"/>
        <w:ind w:left="397"/>
        <w:rPr>
          <w:rFonts w:asciiTheme="minorHAnsi" w:hAnsiTheme="minorHAnsi" w:cstheme="minorHAnsi"/>
          <w:sz w:val="22"/>
          <w:szCs w:val="22"/>
        </w:rPr>
      </w:pPr>
    </w:p>
    <w:p w14:paraId="72E75083" w14:textId="1997AE04" w:rsidR="00DE0565" w:rsidRDefault="00DE0565" w:rsidP="00632FB8">
      <w:pPr>
        <w:tabs>
          <w:tab w:val="left" w:pos="1185"/>
        </w:tabs>
        <w:spacing w:after="0" w:line="240" w:lineRule="auto"/>
        <w:jc w:val="both"/>
        <w:rPr>
          <w:rFonts w:cstheme="minorHAnsi"/>
        </w:rPr>
      </w:pPr>
      <w:r w:rsidRPr="00305BC5">
        <w:rPr>
          <w:rFonts w:cstheme="minorHAnsi"/>
        </w:rPr>
        <w:t>Stora</w:t>
      </w:r>
      <w:r w:rsidRPr="00556D59">
        <w:rPr>
          <w:rFonts w:cstheme="minorHAnsi"/>
        </w:rPr>
        <w:t>ge is described in Section 10.1.4.</w:t>
      </w:r>
    </w:p>
    <w:p w14:paraId="6AFB8B18" w14:textId="4F140809" w:rsidR="00A338D6" w:rsidRDefault="00A338D6" w:rsidP="00A338D6">
      <w:pPr>
        <w:tabs>
          <w:tab w:val="left" w:pos="1185"/>
        </w:tabs>
        <w:spacing w:after="0" w:line="240" w:lineRule="auto"/>
        <w:ind w:left="397"/>
        <w:jc w:val="both"/>
        <w:rPr>
          <w:rFonts w:cstheme="minorHAnsi"/>
        </w:rPr>
      </w:pPr>
    </w:p>
    <w:p w14:paraId="26F79325" w14:textId="77777777" w:rsidR="00A338D6" w:rsidRDefault="00A338D6" w:rsidP="00632FB8">
      <w:pPr>
        <w:ind w:left="397"/>
        <w:jc w:val="both"/>
        <w:rPr>
          <w:rFonts w:cstheme="minorHAnsi"/>
          <w:szCs w:val="24"/>
        </w:rPr>
      </w:pPr>
      <w:r w:rsidRPr="00930FE7">
        <w:rPr>
          <w:rFonts w:cstheme="minorHAnsi"/>
          <w:b/>
          <w:caps/>
        </w:rPr>
        <w:t xml:space="preserve">11 </w:t>
      </w:r>
      <w:r>
        <w:rPr>
          <w:rFonts w:cstheme="minorHAnsi"/>
          <w:b/>
          <w:szCs w:val="24"/>
        </w:rPr>
        <w:t>Ethical and Regulatory requirements</w:t>
      </w:r>
      <w:r w:rsidRPr="00930FE7">
        <w:rPr>
          <w:rFonts w:cstheme="minorHAnsi"/>
          <w:szCs w:val="24"/>
        </w:rPr>
        <w:t xml:space="preserve"> </w:t>
      </w:r>
    </w:p>
    <w:p w14:paraId="2E48B81C" w14:textId="2371B53D" w:rsidR="00BE0C9D" w:rsidRPr="00BE0C9D" w:rsidRDefault="00A338D6" w:rsidP="00632FB8">
      <w:pPr>
        <w:pStyle w:val="Heading2"/>
        <w:numPr>
          <w:ilvl w:val="0"/>
          <w:numId w:val="0"/>
        </w:numPr>
        <w:spacing w:before="0" w:after="0" w:line="240" w:lineRule="auto"/>
        <w:ind w:left="39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11.1 </w:t>
      </w:r>
      <w:r w:rsidR="00461125" w:rsidRPr="00956139">
        <w:rPr>
          <w:rFonts w:asciiTheme="minorHAnsi" w:hAnsiTheme="minorHAnsi" w:cstheme="minorHAnsi"/>
          <w:sz w:val="22"/>
          <w:szCs w:val="22"/>
          <w:lang w:val="en-US"/>
        </w:rPr>
        <w:t>Ethical conduct of the study</w:t>
      </w:r>
    </w:p>
    <w:p w14:paraId="1F3B1409" w14:textId="77777777" w:rsidR="00461125" w:rsidRPr="00956139" w:rsidRDefault="00461125" w:rsidP="00632FB8">
      <w:pPr>
        <w:spacing w:after="0" w:line="240" w:lineRule="auto"/>
        <w:ind w:left="397"/>
        <w:jc w:val="both"/>
        <w:rPr>
          <w:rFonts w:cstheme="minorHAnsi"/>
        </w:rPr>
      </w:pPr>
    </w:p>
    <w:p w14:paraId="04148BB6" w14:textId="77777777" w:rsidR="007C031E" w:rsidRDefault="007C031E" w:rsidP="002C2D1C">
      <w:pPr>
        <w:pStyle w:val="REAL-ProBodyText"/>
        <w:spacing w:before="0" w:after="0" w:line="240" w:lineRule="auto"/>
        <w:rPr>
          <w:rFonts w:asciiTheme="minorHAnsi" w:hAnsiTheme="minorHAnsi" w:cstheme="minorHAnsi"/>
          <w:sz w:val="22"/>
          <w:szCs w:val="22"/>
        </w:rPr>
      </w:pPr>
      <w:r>
        <w:rPr>
          <w:rFonts w:asciiTheme="minorHAnsi" w:hAnsiTheme="minorHAnsi" w:cstheme="minorHAnsi"/>
          <w:sz w:val="22"/>
          <w:szCs w:val="22"/>
        </w:rPr>
        <w:t>There will be a clinical relationship between the investigators and the participants as the investigators will be part of the treating team.</w:t>
      </w:r>
    </w:p>
    <w:p w14:paraId="3FD9B494" w14:textId="77777777" w:rsidR="007C031E" w:rsidRDefault="007C031E" w:rsidP="002C2D1C">
      <w:pPr>
        <w:pStyle w:val="REAL-ProBodyText"/>
        <w:spacing w:before="0" w:after="0" w:line="240" w:lineRule="auto"/>
        <w:rPr>
          <w:rFonts w:asciiTheme="minorHAnsi" w:hAnsiTheme="minorHAnsi" w:cstheme="minorHAnsi"/>
          <w:sz w:val="22"/>
          <w:szCs w:val="22"/>
        </w:rPr>
      </w:pPr>
    </w:p>
    <w:p w14:paraId="5875D250" w14:textId="2FADF696" w:rsidR="00956139" w:rsidRPr="00956139" w:rsidRDefault="00956139" w:rsidP="002C2D1C">
      <w:pPr>
        <w:pStyle w:val="REAL-ProBodyText"/>
        <w:spacing w:before="0" w:after="0" w:line="240" w:lineRule="auto"/>
        <w:rPr>
          <w:rFonts w:asciiTheme="minorHAnsi" w:hAnsiTheme="minorHAnsi" w:cstheme="minorHAnsi"/>
          <w:sz w:val="22"/>
          <w:szCs w:val="22"/>
        </w:rPr>
      </w:pPr>
      <w:r w:rsidRPr="00956139">
        <w:rPr>
          <w:rFonts w:asciiTheme="minorHAnsi" w:hAnsiTheme="minorHAnsi" w:cstheme="minorHAnsi"/>
          <w:sz w:val="22"/>
          <w:szCs w:val="22"/>
        </w:rPr>
        <w:t xml:space="preserve">This study will be conducted according to the Guidance for Good Clinical Practice E6 (R2) and in compliance with applicable laws and regulations. The study will be performed in accordance with the NHMRC Statement on Ethical Conduct in Research Involving Humans 2007 (updated 2018), the </w:t>
      </w:r>
      <w:r w:rsidRPr="00956139">
        <w:rPr>
          <w:rFonts w:asciiTheme="minorHAnsi" w:hAnsiTheme="minorHAnsi" w:cstheme="minorHAnsi"/>
          <w:sz w:val="22"/>
          <w:szCs w:val="22"/>
        </w:rPr>
        <w:lastRenderedPageBreak/>
        <w:t xml:space="preserve">Australian Code for the Responsible Conduct of Research, 2018, and the principles laid down by the World Medical Assembly in the Declaration of Helsinki 2013.  </w:t>
      </w:r>
    </w:p>
    <w:p w14:paraId="562C75D1" w14:textId="77777777" w:rsidR="00461125" w:rsidRPr="00956139" w:rsidRDefault="00461125" w:rsidP="00632FB8">
      <w:pPr>
        <w:spacing w:after="0" w:line="240" w:lineRule="auto"/>
        <w:ind w:left="397"/>
        <w:jc w:val="both"/>
        <w:rPr>
          <w:rFonts w:cstheme="minorHAnsi"/>
        </w:rPr>
      </w:pPr>
    </w:p>
    <w:p w14:paraId="6D9F17D3" w14:textId="7F823E7B" w:rsidR="00BE0C9D" w:rsidRPr="00BE0C9D" w:rsidRDefault="00A338D6" w:rsidP="00632FB8">
      <w:pPr>
        <w:pStyle w:val="Heading2"/>
        <w:numPr>
          <w:ilvl w:val="0"/>
          <w:numId w:val="0"/>
        </w:numPr>
        <w:spacing w:before="0" w:after="0" w:line="240" w:lineRule="auto"/>
        <w:ind w:left="3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11.2 </w:t>
      </w:r>
      <w:r w:rsidR="00461125" w:rsidRPr="00956139">
        <w:rPr>
          <w:rFonts w:asciiTheme="minorHAnsi" w:hAnsiTheme="minorHAnsi" w:cstheme="minorHAnsi"/>
          <w:sz w:val="22"/>
          <w:szCs w:val="22"/>
          <w:lang w:val="en-US"/>
        </w:rPr>
        <w:t>Ethics and regulatory review</w:t>
      </w:r>
    </w:p>
    <w:p w14:paraId="664355AD" w14:textId="77777777" w:rsidR="00461125" w:rsidRPr="00956139" w:rsidRDefault="00461125" w:rsidP="00632FB8">
      <w:pPr>
        <w:spacing w:after="0" w:line="240" w:lineRule="auto"/>
        <w:ind w:left="397"/>
        <w:jc w:val="both"/>
        <w:rPr>
          <w:rFonts w:cstheme="minorHAnsi"/>
        </w:rPr>
      </w:pPr>
    </w:p>
    <w:p w14:paraId="24A7976E" w14:textId="510A8419" w:rsidR="00461125" w:rsidRDefault="00461125" w:rsidP="002C2D1C">
      <w:pPr>
        <w:spacing w:after="0" w:line="240" w:lineRule="auto"/>
        <w:jc w:val="both"/>
        <w:rPr>
          <w:rFonts w:cstheme="minorHAnsi"/>
        </w:rPr>
      </w:pPr>
      <w:r w:rsidRPr="00956139">
        <w:rPr>
          <w:rFonts w:cstheme="minorHAnsi"/>
        </w:rPr>
        <w:t xml:space="preserve">Human research ethics committee (HREC) approval will be sought for the trial protocol, protocol amendments, informed consent documents, and relevant study documents. </w:t>
      </w:r>
    </w:p>
    <w:p w14:paraId="1B7A9624" w14:textId="4D8B4B44" w:rsidR="00697F0B" w:rsidRDefault="00697F0B" w:rsidP="002C2D1C">
      <w:pPr>
        <w:spacing w:after="0" w:line="240" w:lineRule="auto"/>
        <w:jc w:val="both"/>
        <w:rPr>
          <w:rFonts w:cstheme="minorHAnsi"/>
        </w:rPr>
      </w:pPr>
    </w:p>
    <w:p w14:paraId="4A8AC5ED" w14:textId="77777777" w:rsidR="00697F0B" w:rsidRPr="00956139" w:rsidRDefault="00697F0B" w:rsidP="00697F0B">
      <w:pPr>
        <w:spacing w:after="0" w:line="240" w:lineRule="auto"/>
        <w:jc w:val="both"/>
        <w:rPr>
          <w:rFonts w:cstheme="minorHAnsi"/>
        </w:rPr>
      </w:pPr>
      <w:r>
        <w:rPr>
          <w:rFonts w:ascii="Calibri" w:eastAsia="Times New Roman" w:hAnsi="Calibri" w:cs="Calibri"/>
          <w:lang w:eastAsia="en-GB"/>
        </w:rPr>
        <w:t>The</w:t>
      </w:r>
      <w:r w:rsidRPr="002A3D75">
        <w:rPr>
          <w:rFonts w:ascii="Calibri" w:eastAsia="Times New Roman" w:hAnsi="Calibri" w:cs="Calibri"/>
          <w:lang w:eastAsia="en-GB"/>
        </w:rPr>
        <w:t xml:space="preserve"> ‘Radiological Council’ approval for the study is currently being sought</w:t>
      </w:r>
      <w:r>
        <w:rPr>
          <w:rFonts w:ascii="Calibri" w:eastAsia="Times New Roman" w:hAnsi="Calibri" w:cs="Calibri"/>
          <w:lang w:eastAsia="en-GB"/>
        </w:rPr>
        <w:t xml:space="preserve"> and will be submitted to HREC when obtained. </w:t>
      </w:r>
    </w:p>
    <w:p w14:paraId="1A965116" w14:textId="77777777" w:rsidR="00956139" w:rsidRPr="00956139" w:rsidRDefault="00956139" w:rsidP="00632FB8">
      <w:pPr>
        <w:spacing w:after="0" w:line="240" w:lineRule="auto"/>
        <w:ind w:left="397"/>
        <w:jc w:val="both"/>
        <w:rPr>
          <w:rFonts w:cstheme="minorHAnsi"/>
        </w:rPr>
      </w:pPr>
    </w:p>
    <w:p w14:paraId="50B299FB" w14:textId="15481555" w:rsidR="00BE0C9D" w:rsidRPr="00BE0C9D" w:rsidRDefault="00A338D6" w:rsidP="00632FB8">
      <w:pPr>
        <w:pStyle w:val="Heading2"/>
        <w:numPr>
          <w:ilvl w:val="0"/>
          <w:numId w:val="0"/>
        </w:numPr>
        <w:spacing w:before="0" w:after="0" w:line="240" w:lineRule="auto"/>
        <w:ind w:left="360"/>
        <w:jc w:val="left"/>
        <w:rPr>
          <w:rFonts w:asciiTheme="minorHAnsi" w:hAnsiTheme="minorHAnsi" w:cstheme="minorHAnsi"/>
          <w:sz w:val="22"/>
          <w:szCs w:val="22"/>
        </w:rPr>
      </w:pPr>
      <w:bookmarkStart w:id="1" w:name="_Toc2065410"/>
      <w:r>
        <w:rPr>
          <w:rFonts w:asciiTheme="minorHAnsi" w:hAnsiTheme="minorHAnsi" w:cstheme="minorHAnsi"/>
          <w:sz w:val="22"/>
          <w:szCs w:val="22"/>
        </w:rPr>
        <w:t xml:space="preserve">11.3 </w:t>
      </w:r>
      <w:r w:rsidR="00956139" w:rsidRPr="00956139">
        <w:rPr>
          <w:rFonts w:asciiTheme="minorHAnsi" w:hAnsiTheme="minorHAnsi" w:cstheme="minorHAnsi"/>
          <w:sz w:val="22"/>
          <w:szCs w:val="22"/>
        </w:rPr>
        <w:t>Protocol amendments</w:t>
      </w:r>
      <w:bookmarkEnd w:id="1"/>
    </w:p>
    <w:p w14:paraId="7DF4E37C" w14:textId="77777777" w:rsidR="00956139" w:rsidRPr="00956139" w:rsidRDefault="00956139" w:rsidP="00632FB8">
      <w:pPr>
        <w:spacing w:after="0" w:line="240" w:lineRule="auto"/>
        <w:ind w:left="397"/>
        <w:rPr>
          <w:lang w:val="en-GB"/>
        </w:rPr>
      </w:pPr>
    </w:p>
    <w:p w14:paraId="729EB1B4" w14:textId="77777777" w:rsidR="00956139" w:rsidRDefault="00956139" w:rsidP="002C2D1C">
      <w:pPr>
        <w:pStyle w:val="REAL-ProBodyText"/>
        <w:spacing w:before="0" w:after="0" w:line="240" w:lineRule="auto"/>
        <w:rPr>
          <w:rFonts w:asciiTheme="minorHAnsi" w:hAnsiTheme="minorHAnsi" w:cstheme="minorHAnsi"/>
          <w:sz w:val="22"/>
          <w:szCs w:val="22"/>
        </w:rPr>
      </w:pPr>
      <w:r w:rsidRPr="00956139">
        <w:rPr>
          <w:rFonts w:asciiTheme="minorHAnsi" w:hAnsiTheme="minorHAnsi" w:cstheme="minorHAnsi"/>
          <w:sz w:val="22"/>
          <w:szCs w:val="22"/>
        </w:rPr>
        <w:t xml:space="preserve">Approval of amendments by the Institutional HREC and/or Research Governance </w:t>
      </w:r>
      <w:r w:rsidR="00405871">
        <w:rPr>
          <w:rFonts w:asciiTheme="minorHAnsi" w:hAnsiTheme="minorHAnsi" w:cstheme="minorHAnsi"/>
          <w:sz w:val="22"/>
          <w:szCs w:val="22"/>
        </w:rPr>
        <w:t>is required prior to changes to the protocol</w:t>
      </w:r>
      <w:r w:rsidRPr="00956139">
        <w:rPr>
          <w:rFonts w:asciiTheme="minorHAnsi" w:hAnsiTheme="minorHAnsi" w:cstheme="minorHAnsi"/>
          <w:sz w:val="22"/>
          <w:szCs w:val="22"/>
        </w:rPr>
        <w:t>.  In some instances, an amendment may require a change of consent form.  The Investigator must receive approval/advice of the revised consent form prior to implementation of the change.  In addition, changes to the data collected or trial activities, if required, will be incorporated in the amendment.</w:t>
      </w:r>
    </w:p>
    <w:p w14:paraId="44FB30F8" w14:textId="77777777" w:rsidR="00956139" w:rsidRPr="00956139" w:rsidRDefault="00956139" w:rsidP="00632FB8">
      <w:pPr>
        <w:pStyle w:val="REAL-ProBodyText"/>
        <w:spacing w:before="0" w:after="0" w:line="240" w:lineRule="auto"/>
        <w:ind w:left="397"/>
        <w:rPr>
          <w:rFonts w:asciiTheme="minorHAnsi" w:hAnsiTheme="minorHAnsi" w:cstheme="minorHAnsi"/>
          <w:sz w:val="22"/>
          <w:szCs w:val="22"/>
        </w:rPr>
      </w:pPr>
    </w:p>
    <w:p w14:paraId="3E44C352" w14:textId="77777777" w:rsidR="00956139" w:rsidRPr="00956139" w:rsidRDefault="00956139" w:rsidP="002C2D1C">
      <w:pPr>
        <w:pStyle w:val="REAL-ProBodyText"/>
        <w:spacing w:before="0" w:after="0" w:line="240" w:lineRule="auto"/>
        <w:rPr>
          <w:rFonts w:asciiTheme="minorHAnsi" w:hAnsiTheme="minorHAnsi" w:cstheme="minorHAnsi"/>
          <w:sz w:val="22"/>
          <w:szCs w:val="22"/>
        </w:rPr>
      </w:pPr>
      <w:r w:rsidRPr="00956139">
        <w:rPr>
          <w:rFonts w:asciiTheme="minorHAnsi" w:hAnsiTheme="minorHAnsi" w:cstheme="minorHAnsi"/>
          <w:sz w:val="22"/>
          <w:szCs w:val="22"/>
        </w:rPr>
        <w:t>The investigator should not implement any changes to, or deviations from, the protocol except where necessary to eliminate immediate hazard(s) to trial participant(s).</w:t>
      </w:r>
    </w:p>
    <w:p w14:paraId="1DA6542E" w14:textId="77777777" w:rsidR="00956139" w:rsidRPr="00956139" w:rsidRDefault="00956139" w:rsidP="00632FB8">
      <w:pPr>
        <w:spacing w:after="0" w:line="240" w:lineRule="auto"/>
        <w:ind w:left="397"/>
        <w:jc w:val="both"/>
        <w:rPr>
          <w:rFonts w:cstheme="minorHAnsi"/>
        </w:rPr>
      </w:pPr>
    </w:p>
    <w:p w14:paraId="4E229220" w14:textId="20E42250" w:rsidR="00A938B0" w:rsidRPr="00A938B0" w:rsidRDefault="00A338D6" w:rsidP="00632FB8">
      <w:pPr>
        <w:pStyle w:val="Heading2"/>
        <w:numPr>
          <w:ilvl w:val="0"/>
          <w:numId w:val="0"/>
        </w:numPr>
        <w:spacing w:before="0" w:after="0" w:line="240" w:lineRule="auto"/>
        <w:ind w:left="3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11.4 </w:t>
      </w:r>
      <w:r w:rsidR="00461125" w:rsidRPr="00956139">
        <w:rPr>
          <w:rFonts w:asciiTheme="minorHAnsi" w:hAnsiTheme="minorHAnsi" w:cstheme="minorHAnsi"/>
          <w:sz w:val="22"/>
          <w:szCs w:val="22"/>
          <w:lang w:val="en-US"/>
        </w:rPr>
        <w:t>Informed consent</w:t>
      </w:r>
    </w:p>
    <w:p w14:paraId="3041E394" w14:textId="77777777" w:rsidR="00461125" w:rsidRPr="00956139" w:rsidRDefault="00461125" w:rsidP="00632FB8">
      <w:pPr>
        <w:spacing w:after="0" w:line="240" w:lineRule="auto"/>
        <w:ind w:left="397"/>
        <w:rPr>
          <w:rFonts w:cstheme="minorHAnsi"/>
        </w:rPr>
      </w:pPr>
    </w:p>
    <w:p w14:paraId="18A77542" w14:textId="77777777" w:rsidR="00085BE6" w:rsidRDefault="00461125" w:rsidP="002C2D1C">
      <w:pPr>
        <w:spacing w:after="0" w:line="240" w:lineRule="auto"/>
        <w:jc w:val="both"/>
        <w:rPr>
          <w:rFonts w:eastAsia="MS Mincho" w:cstheme="minorHAnsi"/>
        </w:rPr>
      </w:pPr>
      <w:r w:rsidRPr="00956139">
        <w:rPr>
          <w:rFonts w:cstheme="minorHAnsi"/>
          <w:bCs/>
        </w:rPr>
        <w:t xml:space="preserve">Eligible patients will only be enrolled after providing written informed consent. Patients will be given a full explanation, in lay terms, of the aims of the study and potential risks. </w:t>
      </w:r>
      <w:r w:rsidRPr="00956139">
        <w:rPr>
          <w:rFonts w:eastAsia="MS Mincho" w:cstheme="minorHAnsi"/>
        </w:rPr>
        <w:t>It will be explained that they may refuse to take part in, or withdraw from the study without prejudice to their future care and treatment. In the case where the patient is not fluent in English an interpreter will be present during the consenting process. Patients will be issued with a copy of the information provided and their consent to participate in the study.</w:t>
      </w:r>
    </w:p>
    <w:p w14:paraId="2A1F701D" w14:textId="77777777" w:rsidR="003F580D" w:rsidRDefault="003F580D" w:rsidP="000946DC">
      <w:pPr>
        <w:spacing w:after="0" w:line="240" w:lineRule="auto"/>
        <w:jc w:val="both"/>
      </w:pPr>
    </w:p>
    <w:p w14:paraId="25F03932" w14:textId="77777777" w:rsidR="00704BD5" w:rsidRDefault="00704BD5" w:rsidP="00704BD5">
      <w:pPr>
        <w:pStyle w:val="ListParagraph"/>
        <w:numPr>
          <w:ilvl w:val="0"/>
          <w:numId w:val="7"/>
        </w:numPr>
        <w:spacing w:after="0" w:line="240" w:lineRule="auto"/>
        <w:jc w:val="both"/>
        <w:rPr>
          <w:b/>
          <w:bCs/>
        </w:rPr>
      </w:pPr>
      <w:r w:rsidRPr="0081134C">
        <w:rPr>
          <w:b/>
          <w:bCs/>
        </w:rPr>
        <w:t>Appendices:</w:t>
      </w:r>
    </w:p>
    <w:p w14:paraId="69B996DB" w14:textId="77777777" w:rsidR="00704BD5" w:rsidRDefault="00704BD5" w:rsidP="00704BD5">
      <w:pPr>
        <w:spacing w:after="0" w:line="240" w:lineRule="auto"/>
        <w:jc w:val="both"/>
      </w:pPr>
    </w:p>
    <w:p w14:paraId="1532BECB" w14:textId="35AABDE9" w:rsidR="00704BD5" w:rsidRPr="0081134C" w:rsidRDefault="00704BD5" w:rsidP="00704BD5">
      <w:pPr>
        <w:autoSpaceDE w:val="0"/>
        <w:autoSpaceDN w:val="0"/>
        <w:adjustRightInd w:val="0"/>
        <w:spacing w:after="0" w:line="240" w:lineRule="auto"/>
        <w:rPr>
          <w:rFonts w:cstheme="minorHAnsi"/>
          <w:color w:val="000000"/>
          <w:lang w:val="en-GB"/>
        </w:rPr>
      </w:pPr>
      <w:r w:rsidRPr="00704BD5">
        <w:rPr>
          <w:rFonts w:cstheme="minorHAnsi"/>
          <w:color w:val="000000"/>
          <w:lang w:val="en-GB"/>
        </w:rPr>
        <w:t xml:space="preserve">Appendix I – NCI CTCAE </w:t>
      </w:r>
    </w:p>
    <w:p w14:paraId="72445E32" w14:textId="77777777" w:rsidR="00704BD5" w:rsidRPr="00704BD5" w:rsidRDefault="00704BD5" w:rsidP="00704BD5">
      <w:pPr>
        <w:autoSpaceDE w:val="0"/>
        <w:autoSpaceDN w:val="0"/>
        <w:adjustRightInd w:val="0"/>
        <w:spacing w:after="0" w:line="240" w:lineRule="auto"/>
        <w:rPr>
          <w:rFonts w:cstheme="minorHAnsi"/>
          <w:color w:val="000000"/>
          <w:lang w:val="en-GB"/>
        </w:rPr>
      </w:pPr>
    </w:p>
    <w:p w14:paraId="56CE3E2C" w14:textId="43DE9A1A" w:rsidR="00704BD5" w:rsidRPr="0081134C" w:rsidRDefault="00704BD5" w:rsidP="00704BD5">
      <w:pPr>
        <w:autoSpaceDE w:val="0"/>
        <w:autoSpaceDN w:val="0"/>
        <w:adjustRightInd w:val="0"/>
        <w:spacing w:after="0" w:line="240" w:lineRule="auto"/>
        <w:rPr>
          <w:rFonts w:cstheme="minorHAnsi"/>
          <w:color w:val="000000"/>
          <w:lang w:val="en-GB"/>
        </w:rPr>
      </w:pPr>
      <w:r w:rsidRPr="00704BD5">
        <w:rPr>
          <w:rFonts w:cstheme="minorHAnsi"/>
          <w:color w:val="000000"/>
          <w:lang w:val="en-GB"/>
        </w:rPr>
        <w:t xml:space="preserve">Version 5.0 of the National Cancer Institute (NCI) Common Terminology Criteria for Adverse Events (CTCAE), dated 27 November 2017, may be viewed and/or downloaded by accessing the following website: </w:t>
      </w:r>
    </w:p>
    <w:p w14:paraId="4DCAADB0" w14:textId="77777777" w:rsidR="00704BD5" w:rsidRPr="00704BD5" w:rsidRDefault="00704BD5" w:rsidP="00704BD5">
      <w:pPr>
        <w:autoSpaceDE w:val="0"/>
        <w:autoSpaceDN w:val="0"/>
        <w:adjustRightInd w:val="0"/>
        <w:spacing w:after="0" w:line="240" w:lineRule="auto"/>
        <w:rPr>
          <w:rFonts w:cstheme="minorHAnsi"/>
          <w:color w:val="000000"/>
          <w:lang w:val="en-GB"/>
        </w:rPr>
      </w:pPr>
    </w:p>
    <w:p w14:paraId="41340250" w14:textId="3011AA64" w:rsidR="00704BD5" w:rsidRPr="0081134C" w:rsidRDefault="00660135" w:rsidP="00704BD5">
      <w:pPr>
        <w:autoSpaceDE w:val="0"/>
        <w:autoSpaceDN w:val="0"/>
        <w:adjustRightInd w:val="0"/>
        <w:spacing w:after="0" w:line="240" w:lineRule="auto"/>
        <w:rPr>
          <w:rFonts w:cstheme="minorHAnsi"/>
          <w:color w:val="000000"/>
          <w:lang w:val="en-GB"/>
        </w:rPr>
      </w:pPr>
      <w:hyperlink r:id="rId12" w:history="1">
        <w:r w:rsidR="00704BD5" w:rsidRPr="00704BD5">
          <w:rPr>
            <w:rStyle w:val="Hyperlink"/>
            <w:rFonts w:cstheme="minorHAnsi"/>
            <w:lang w:val="en-GB"/>
          </w:rPr>
          <w:t>https://ctep.cancer.gov/protocoldevelopment/electronic_applications/docs/CTCAE_v5_Quick_Reference_8.5x11.pdf</w:t>
        </w:r>
      </w:hyperlink>
      <w:r w:rsidR="00704BD5" w:rsidRPr="00704BD5">
        <w:rPr>
          <w:rFonts w:cstheme="minorHAnsi"/>
          <w:color w:val="000000"/>
          <w:lang w:val="en-GB"/>
        </w:rPr>
        <w:t xml:space="preserve"> </w:t>
      </w:r>
    </w:p>
    <w:p w14:paraId="141FC971" w14:textId="77777777" w:rsidR="00704BD5" w:rsidRPr="00704BD5" w:rsidRDefault="00704BD5" w:rsidP="00704BD5">
      <w:pPr>
        <w:autoSpaceDE w:val="0"/>
        <w:autoSpaceDN w:val="0"/>
        <w:adjustRightInd w:val="0"/>
        <w:spacing w:after="0" w:line="240" w:lineRule="auto"/>
        <w:rPr>
          <w:rFonts w:cstheme="minorHAnsi"/>
          <w:color w:val="000000"/>
          <w:lang w:val="en-GB"/>
        </w:rPr>
      </w:pPr>
    </w:p>
    <w:p w14:paraId="3FE4F727" w14:textId="03499939" w:rsidR="00D40065" w:rsidRPr="0081134C" w:rsidRDefault="00704BD5" w:rsidP="00704BD5">
      <w:pPr>
        <w:spacing w:after="0" w:line="240" w:lineRule="auto"/>
        <w:jc w:val="both"/>
        <w:rPr>
          <w:rFonts w:cstheme="minorHAnsi"/>
          <w:b/>
          <w:bCs/>
        </w:rPr>
      </w:pPr>
      <w:r w:rsidRPr="0081134C">
        <w:rPr>
          <w:rFonts w:cstheme="minorHAnsi"/>
          <w:color w:val="000000"/>
          <w:lang w:val="en-GB"/>
        </w:rPr>
        <w:t>A printed version will be provided to the Investigators.</w:t>
      </w:r>
      <w:r w:rsidR="00D40065" w:rsidRPr="0081134C">
        <w:rPr>
          <w:rFonts w:cstheme="minorHAnsi"/>
        </w:rPr>
        <w:tab/>
      </w:r>
    </w:p>
    <w:p w14:paraId="27BDFE91" w14:textId="77777777" w:rsidR="0046423C" w:rsidRPr="0081134C" w:rsidRDefault="0046423C" w:rsidP="000946DC">
      <w:pPr>
        <w:spacing w:after="0" w:line="240" w:lineRule="auto"/>
        <w:jc w:val="both"/>
        <w:rPr>
          <w:rFonts w:cstheme="minorHAnsi"/>
          <w:sz w:val="24"/>
          <w:szCs w:val="24"/>
        </w:rPr>
      </w:pPr>
    </w:p>
    <w:p w14:paraId="5E5875BA" w14:textId="727B3EF5" w:rsidR="000946DC" w:rsidRPr="00632FB8" w:rsidRDefault="0000415B" w:rsidP="00632FB8">
      <w:pPr>
        <w:pStyle w:val="ListParagraph"/>
        <w:numPr>
          <w:ilvl w:val="0"/>
          <w:numId w:val="7"/>
        </w:numPr>
        <w:spacing w:after="0" w:line="240" w:lineRule="auto"/>
        <w:jc w:val="both"/>
        <w:rPr>
          <w:rFonts w:cstheme="minorHAnsi"/>
          <w:b/>
        </w:rPr>
      </w:pPr>
      <w:r w:rsidRPr="00632FB8">
        <w:rPr>
          <w:rFonts w:cstheme="minorHAnsi"/>
          <w:b/>
        </w:rPr>
        <w:t xml:space="preserve">References </w:t>
      </w:r>
    </w:p>
    <w:p w14:paraId="023332F1" w14:textId="77777777" w:rsidR="00466D7C" w:rsidRPr="00632FB8" w:rsidRDefault="00466D7C" w:rsidP="00632FB8">
      <w:pPr>
        <w:pStyle w:val="ListParagraph"/>
        <w:spacing w:after="0" w:line="240" w:lineRule="auto"/>
        <w:jc w:val="both"/>
        <w:rPr>
          <w:rFonts w:cstheme="minorHAnsi"/>
          <w:b/>
        </w:rPr>
      </w:pPr>
    </w:p>
    <w:p w14:paraId="7738FC16" w14:textId="77777777" w:rsidR="000946DC" w:rsidRPr="0007034A" w:rsidRDefault="002B65B1" w:rsidP="00632FB8">
      <w:pPr>
        <w:spacing w:after="0" w:line="240" w:lineRule="auto"/>
        <w:ind w:left="397"/>
        <w:jc w:val="both"/>
        <w:rPr>
          <w:rFonts w:cstheme="minorHAnsi"/>
        </w:rPr>
      </w:pPr>
      <w:r w:rsidRPr="0007034A">
        <w:rPr>
          <w:rFonts w:cstheme="minorHAnsi"/>
          <w:color w:val="222222"/>
          <w:shd w:val="clear" w:color="auto" w:fill="FFFFFF"/>
        </w:rPr>
        <w:t>Klatte, Tobias, et al. "Carbonic anhydrase IX in bladder cancer: a diagnostic, prognostic, and therapeutic molecular marker." </w:t>
      </w:r>
      <w:r w:rsidRPr="0007034A">
        <w:rPr>
          <w:rFonts w:cstheme="minorHAnsi"/>
          <w:i/>
          <w:iCs/>
          <w:color w:val="222222"/>
          <w:shd w:val="clear" w:color="auto" w:fill="FFFFFF"/>
        </w:rPr>
        <w:t>Cancer: Interdisciplinary International Journal of the American Cancer Society</w:t>
      </w:r>
      <w:r w:rsidRPr="0007034A">
        <w:rPr>
          <w:rFonts w:cstheme="minorHAnsi"/>
          <w:color w:val="222222"/>
          <w:shd w:val="clear" w:color="auto" w:fill="FFFFFF"/>
        </w:rPr>
        <w:t> 115.7 (2009): 1448-1458.</w:t>
      </w:r>
    </w:p>
    <w:p w14:paraId="38C1F859" w14:textId="77777777" w:rsidR="002B65B1" w:rsidRPr="0007034A" w:rsidRDefault="002B65B1" w:rsidP="00632FB8">
      <w:pPr>
        <w:spacing w:after="0" w:line="240" w:lineRule="auto"/>
        <w:ind w:left="397"/>
        <w:jc w:val="both"/>
        <w:rPr>
          <w:rFonts w:cstheme="minorHAnsi"/>
        </w:rPr>
      </w:pPr>
    </w:p>
    <w:p w14:paraId="06961FF5" w14:textId="77777777" w:rsidR="002B65B1" w:rsidRPr="0007034A" w:rsidRDefault="002B65B1"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lastRenderedPageBreak/>
        <w:t>de Martino, Michela, et al. "Carbonic anhydrase IX as a diagnostic urinary marker for urothelial bladder cancer." </w:t>
      </w:r>
      <w:r w:rsidRPr="0007034A">
        <w:rPr>
          <w:rFonts w:cstheme="minorHAnsi"/>
          <w:i/>
          <w:iCs/>
          <w:color w:val="222222"/>
          <w:shd w:val="clear" w:color="auto" w:fill="FFFFFF"/>
        </w:rPr>
        <w:t>European urology</w:t>
      </w:r>
      <w:r w:rsidRPr="0007034A">
        <w:rPr>
          <w:rFonts w:cstheme="minorHAnsi"/>
          <w:color w:val="222222"/>
          <w:shd w:val="clear" w:color="auto" w:fill="FFFFFF"/>
        </w:rPr>
        <w:t> 68.4 (2015): 552-554.</w:t>
      </w:r>
    </w:p>
    <w:p w14:paraId="0C8FE7CE" w14:textId="77777777" w:rsidR="002B65B1" w:rsidRPr="0007034A" w:rsidRDefault="002B65B1" w:rsidP="00632FB8">
      <w:pPr>
        <w:spacing w:after="0" w:line="240" w:lineRule="auto"/>
        <w:ind w:left="397"/>
        <w:jc w:val="both"/>
        <w:rPr>
          <w:rFonts w:cstheme="minorHAnsi"/>
          <w:color w:val="222222"/>
          <w:shd w:val="clear" w:color="auto" w:fill="FFFFFF"/>
        </w:rPr>
      </w:pPr>
    </w:p>
    <w:p w14:paraId="25B5A042" w14:textId="77777777" w:rsidR="002B65B1" w:rsidRPr="0007034A" w:rsidRDefault="002B65B1"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t>Hofman, Michael S., et al. "[177Lu]-PSMA-617 radionuclide treatment in patients with metastatic castration-resistant prostate cancer (LuPSMA trial): a single-centre, single-arm, phase 2 study." </w:t>
      </w:r>
      <w:r w:rsidRPr="0007034A">
        <w:rPr>
          <w:rFonts w:cstheme="minorHAnsi"/>
          <w:i/>
          <w:iCs/>
          <w:color w:val="222222"/>
          <w:shd w:val="clear" w:color="auto" w:fill="FFFFFF"/>
        </w:rPr>
        <w:t>The Lancet Oncology</w:t>
      </w:r>
      <w:r w:rsidRPr="0007034A">
        <w:rPr>
          <w:rFonts w:cstheme="minorHAnsi"/>
          <w:color w:val="222222"/>
          <w:shd w:val="clear" w:color="auto" w:fill="FFFFFF"/>
        </w:rPr>
        <w:t> 19.6 (2018): 825-833.</w:t>
      </w:r>
    </w:p>
    <w:p w14:paraId="41004F19" w14:textId="77777777" w:rsidR="002B65B1" w:rsidRPr="0007034A" w:rsidRDefault="002B65B1" w:rsidP="00632FB8">
      <w:pPr>
        <w:spacing w:after="0" w:line="240" w:lineRule="auto"/>
        <w:ind w:left="397"/>
        <w:jc w:val="both"/>
        <w:rPr>
          <w:rFonts w:cstheme="minorHAnsi"/>
          <w:color w:val="222222"/>
          <w:shd w:val="clear" w:color="auto" w:fill="FFFFFF"/>
        </w:rPr>
      </w:pPr>
    </w:p>
    <w:p w14:paraId="7CDA9B4D" w14:textId="77777777" w:rsidR="002B65B1" w:rsidRPr="0007034A" w:rsidRDefault="002B65B1"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t>Van Dongen, G. A. M. S., et al. "89Zr-immuno-PET for imaging of long circulating drugs and disease targets: why, how and when to be applied?." </w:t>
      </w:r>
      <w:r w:rsidRPr="0007034A">
        <w:rPr>
          <w:rFonts w:cstheme="minorHAnsi"/>
          <w:i/>
          <w:iCs/>
          <w:color w:val="222222"/>
          <w:shd w:val="clear" w:color="auto" w:fill="FFFFFF"/>
        </w:rPr>
        <w:t>Quarterly Journal of Nuclear Medicine and Molecular Imaging</w:t>
      </w:r>
      <w:r w:rsidRPr="0007034A">
        <w:rPr>
          <w:rFonts w:cstheme="minorHAnsi"/>
          <w:color w:val="222222"/>
          <w:shd w:val="clear" w:color="auto" w:fill="FFFFFF"/>
        </w:rPr>
        <w:t> 59.1 (2015): 18-38.</w:t>
      </w:r>
    </w:p>
    <w:p w14:paraId="67C0C651" w14:textId="77777777" w:rsidR="002B65B1" w:rsidRPr="0007034A" w:rsidRDefault="002B65B1" w:rsidP="00632FB8">
      <w:pPr>
        <w:spacing w:after="0" w:line="240" w:lineRule="auto"/>
        <w:ind w:left="397"/>
        <w:jc w:val="both"/>
        <w:rPr>
          <w:rFonts w:cstheme="minorHAnsi"/>
          <w:color w:val="222222"/>
          <w:shd w:val="clear" w:color="auto" w:fill="FFFFFF"/>
        </w:rPr>
      </w:pPr>
    </w:p>
    <w:p w14:paraId="1EFB4AE2" w14:textId="3C10A2AC" w:rsidR="002B65B1" w:rsidRDefault="002B65B1"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t>Gaykema, Sietske BM, et al. "89Zr-bevacizumab PET imaging in primary breast cancer." </w:t>
      </w:r>
      <w:r w:rsidRPr="0007034A">
        <w:rPr>
          <w:rFonts w:cstheme="minorHAnsi"/>
          <w:i/>
          <w:iCs/>
          <w:color w:val="222222"/>
          <w:shd w:val="clear" w:color="auto" w:fill="FFFFFF"/>
        </w:rPr>
        <w:t>Journal of nuclear medicine</w:t>
      </w:r>
      <w:r w:rsidRPr="0007034A">
        <w:rPr>
          <w:rFonts w:cstheme="minorHAnsi"/>
          <w:color w:val="222222"/>
          <w:shd w:val="clear" w:color="auto" w:fill="FFFFFF"/>
        </w:rPr>
        <w:t> 54.7 (2013): 1014-1018.</w:t>
      </w:r>
    </w:p>
    <w:p w14:paraId="653D7035" w14:textId="2D2B7A51" w:rsidR="00697F0B" w:rsidRDefault="00697F0B" w:rsidP="00632FB8">
      <w:pPr>
        <w:spacing w:after="0" w:line="240" w:lineRule="auto"/>
        <w:ind w:left="397"/>
        <w:jc w:val="both"/>
        <w:rPr>
          <w:rFonts w:cstheme="minorHAnsi"/>
          <w:color w:val="222222"/>
          <w:shd w:val="clear" w:color="auto" w:fill="FFFFFF"/>
        </w:rPr>
      </w:pPr>
    </w:p>
    <w:p w14:paraId="78003A6F" w14:textId="6E6EC6CA" w:rsidR="00697F0B" w:rsidRPr="0007034A" w:rsidRDefault="00697F0B" w:rsidP="00632FB8">
      <w:pPr>
        <w:spacing w:after="0" w:line="240" w:lineRule="auto"/>
        <w:ind w:left="397"/>
        <w:jc w:val="both"/>
        <w:rPr>
          <w:rFonts w:cstheme="minorHAnsi"/>
          <w:color w:val="222222"/>
          <w:shd w:val="clear" w:color="auto" w:fill="FFFFFF"/>
        </w:rPr>
      </w:pPr>
      <w:r>
        <w:rPr>
          <w:rFonts w:cstheme="minorHAnsi"/>
          <w:color w:val="222222"/>
          <w:shd w:val="clear" w:color="auto" w:fill="FFFFFF"/>
        </w:rPr>
        <w:t xml:space="preserve">Holland, J.P., et al. “Measuring the pharmacodynamic effects of a novel Hsp90 inhibitor on HER2/neu expression in mice using Zr-89-DFO-trastuzumab. </w:t>
      </w:r>
      <w:r w:rsidRPr="00AC6DBC">
        <w:rPr>
          <w:rFonts w:cstheme="minorHAnsi"/>
          <w:i/>
          <w:iCs/>
          <w:color w:val="222222"/>
          <w:shd w:val="clear" w:color="auto" w:fill="FFFFFF"/>
        </w:rPr>
        <w:t>PLoS ONE</w:t>
      </w:r>
      <w:r>
        <w:rPr>
          <w:rFonts w:cstheme="minorHAnsi"/>
          <w:color w:val="222222"/>
          <w:shd w:val="clear" w:color="auto" w:fill="FFFFFF"/>
        </w:rPr>
        <w:t xml:space="preserve"> 5.1 (2010): e8859</w:t>
      </w:r>
    </w:p>
    <w:p w14:paraId="308D56CC" w14:textId="77777777" w:rsidR="002B65B1" w:rsidRPr="0007034A" w:rsidRDefault="002B65B1" w:rsidP="00632FB8">
      <w:pPr>
        <w:spacing w:after="0" w:line="240" w:lineRule="auto"/>
        <w:ind w:left="397"/>
        <w:jc w:val="both"/>
        <w:rPr>
          <w:rFonts w:cstheme="minorHAnsi"/>
          <w:color w:val="222222"/>
          <w:shd w:val="clear" w:color="auto" w:fill="FFFFFF"/>
        </w:rPr>
      </w:pPr>
    </w:p>
    <w:p w14:paraId="6F018BB2" w14:textId="77777777" w:rsidR="002B65B1" w:rsidRPr="0007034A" w:rsidRDefault="002B65B1"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t>Dijkers, E. C., et al. "Biodistribution of 89Zr‐trastuzumab and PET imaging of HER2‐positive lesions in patients with metastatic breast cancer." </w:t>
      </w:r>
      <w:r w:rsidRPr="0007034A">
        <w:rPr>
          <w:rFonts w:cstheme="minorHAnsi"/>
          <w:i/>
          <w:iCs/>
          <w:color w:val="222222"/>
          <w:shd w:val="clear" w:color="auto" w:fill="FFFFFF"/>
        </w:rPr>
        <w:t>Clinical Pharmacology &amp; Therapeutics</w:t>
      </w:r>
      <w:r w:rsidRPr="0007034A">
        <w:rPr>
          <w:rFonts w:cstheme="minorHAnsi"/>
          <w:color w:val="222222"/>
          <w:shd w:val="clear" w:color="auto" w:fill="FFFFFF"/>
        </w:rPr>
        <w:t> 87.5 (2010): 586-592.</w:t>
      </w:r>
    </w:p>
    <w:p w14:paraId="797E50C6" w14:textId="77777777" w:rsidR="0007034A" w:rsidRPr="0007034A" w:rsidRDefault="0007034A" w:rsidP="00632FB8">
      <w:pPr>
        <w:spacing w:after="0" w:line="240" w:lineRule="auto"/>
        <w:ind w:left="397"/>
        <w:jc w:val="both"/>
        <w:rPr>
          <w:rFonts w:cstheme="minorHAnsi"/>
          <w:color w:val="222222"/>
          <w:shd w:val="clear" w:color="auto" w:fill="FFFFFF"/>
        </w:rPr>
      </w:pPr>
    </w:p>
    <w:p w14:paraId="6A3D2191" w14:textId="3C722010" w:rsidR="0007034A" w:rsidRDefault="0007034A" w:rsidP="00632FB8">
      <w:pPr>
        <w:spacing w:after="0" w:line="240" w:lineRule="auto"/>
        <w:ind w:left="397"/>
        <w:jc w:val="both"/>
        <w:rPr>
          <w:rFonts w:cstheme="minorHAnsi"/>
          <w:color w:val="222222"/>
          <w:shd w:val="clear" w:color="auto" w:fill="FFFFFF"/>
        </w:rPr>
      </w:pPr>
      <w:r w:rsidRPr="0007034A">
        <w:rPr>
          <w:rFonts w:cstheme="minorHAnsi"/>
          <w:color w:val="222222"/>
          <w:shd w:val="clear" w:color="auto" w:fill="FFFFFF"/>
        </w:rPr>
        <w:t>Hekman, Marlène CH, et al. "Positron emission tomography/computed tomography with 89Zr-girentuximab can aid in diagnostic dilemmas of clear cell renal cell carcinoma suspicion." </w:t>
      </w:r>
      <w:r w:rsidRPr="0007034A">
        <w:rPr>
          <w:rFonts w:cstheme="minorHAnsi"/>
          <w:i/>
          <w:iCs/>
          <w:color w:val="222222"/>
          <w:shd w:val="clear" w:color="auto" w:fill="FFFFFF"/>
        </w:rPr>
        <w:t>European urology</w:t>
      </w:r>
      <w:r w:rsidRPr="0007034A">
        <w:rPr>
          <w:rFonts w:cstheme="minorHAnsi"/>
          <w:color w:val="222222"/>
          <w:shd w:val="clear" w:color="auto" w:fill="FFFFFF"/>
        </w:rPr>
        <w:t> 74.3 (2018): 257-260.</w:t>
      </w:r>
    </w:p>
    <w:p w14:paraId="0144D1B9" w14:textId="6474B690" w:rsidR="00697F0B" w:rsidRDefault="00697F0B" w:rsidP="00632FB8">
      <w:pPr>
        <w:spacing w:after="0" w:line="240" w:lineRule="auto"/>
        <w:ind w:left="397"/>
        <w:jc w:val="both"/>
        <w:rPr>
          <w:rFonts w:cstheme="minorHAnsi"/>
          <w:color w:val="222222"/>
          <w:shd w:val="clear" w:color="auto" w:fill="FFFFFF"/>
        </w:rPr>
      </w:pPr>
    </w:p>
    <w:p w14:paraId="6C8C94B1" w14:textId="0C886709" w:rsidR="00697F0B" w:rsidRPr="0007034A" w:rsidRDefault="00697F0B" w:rsidP="00632FB8">
      <w:pPr>
        <w:spacing w:after="0" w:line="240" w:lineRule="auto"/>
        <w:ind w:left="397"/>
        <w:jc w:val="both"/>
        <w:rPr>
          <w:rFonts w:cstheme="minorHAnsi"/>
        </w:rPr>
      </w:pPr>
      <w:r w:rsidRPr="0043058C">
        <w:t>Steffens, M.G., et al., Targeting of renal cell carcinoma with iodine-131-labeled chimeric monoclonal antibody G250. J Clin Oncol, 1997. 15(4): p. 1529-37</w:t>
      </w:r>
    </w:p>
    <w:sectPr w:rsidR="00697F0B" w:rsidRPr="0007034A" w:rsidSect="00B362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AE34" w14:textId="77777777" w:rsidR="00CF5150" w:rsidRDefault="00CF5150" w:rsidP="00560201">
      <w:pPr>
        <w:spacing w:after="0" w:line="240" w:lineRule="auto"/>
      </w:pPr>
      <w:r>
        <w:separator/>
      </w:r>
    </w:p>
  </w:endnote>
  <w:endnote w:type="continuationSeparator" w:id="0">
    <w:p w14:paraId="20C8360A" w14:textId="77777777" w:rsidR="00CF5150" w:rsidRDefault="00CF5150" w:rsidP="0056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sisCare Sans">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3581"/>
      <w:docPartObj>
        <w:docPartGallery w:val="Page Numbers (Bottom of Page)"/>
        <w:docPartUnique/>
      </w:docPartObj>
    </w:sdtPr>
    <w:sdtEndPr>
      <w:rPr>
        <w:noProof/>
        <w:sz w:val="16"/>
        <w:szCs w:val="16"/>
      </w:rPr>
    </w:sdtEndPr>
    <w:sdtContent>
      <w:p w14:paraId="25B68469" w14:textId="4059E47C" w:rsidR="003B3CDD" w:rsidRPr="00560201" w:rsidRDefault="003B3CDD" w:rsidP="009045AB">
        <w:pPr>
          <w:pStyle w:val="Footer"/>
          <w:rPr>
            <w:sz w:val="16"/>
            <w:szCs w:val="16"/>
          </w:rPr>
        </w:pPr>
        <w:r>
          <w:t>ZiPUP Study Protocol Version 5 21</w:t>
        </w:r>
        <w:r>
          <w:rPr>
            <w:vertAlign w:val="superscript"/>
          </w:rPr>
          <w:t>st</w:t>
        </w:r>
        <w:r>
          <w:t xml:space="preserve">October 2020 </w:t>
        </w:r>
        <w:r>
          <w:tab/>
        </w:r>
        <w:r>
          <w:tab/>
        </w:r>
        <w:r w:rsidRPr="00560201">
          <w:rPr>
            <w:sz w:val="16"/>
            <w:szCs w:val="16"/>
          </w:rPr>
          <w:fldChar w:fldCharType="begin"/>
        </w:r>
        <w:r w:rsidRPr="00560201">
          <w:rPr>
            <w:sz w:val="16"/>
            <w:szCs w:val="16"/>
          </w:rPr>
          <w:instrText xml:space="preserve"> PAGE   \* MERGEFORMAT </w:instrText>
        </w:r>
        <w:r w:rsidRPr="00560201">
          <w:rPr>
            <w:sz w:val="16"/>
            <w:szCs w:val="16"/>
          </w:rPr>
          <w:fldChar w:fldCharType="separate"/>
        </w:r>
        <w:r>
          <w:rPr>
            <w:noProof/>
            <w:sz w:val="16"/>
            <w:szCs w:val="16"/>
          </w:rPr>
          <w:t>24</w:t>
        </w:r>
        <w:r w:rsidRPr="00560201">
          <w:rPr>
            <w:noProof/>
            <w:sz w:val="16"/>
            <w:szCs w:val="16"/>
          </w:rPr>
          <w:fldChar w:fldCharType="end"/>
        </w:r>
      </w:p>
    </w:sdtContent>
  </w:sdt>
  <w:p w14:paraId="7B04FA47" w14:textId="77777777" w:rsidR="003B3CDD" w:rsidRDefault="003B3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774F" w14:textId="77777777" w:rsidR="00CF5150" w:rsidRDefault="00CF5150" w:rsidP="00560201">
      <w:pPr>
        <w:spacing w:after="0" w:line="240" w:lineRule="auto"/>
      </w:pPr>
      <w:r>
        <w:separator/>
      </w:r>
    </w:p>
  </w:footnote>
  <w:footnote w:type="continuationSeparator" w:id="0">
    <w:p w14:paraId="353C4355" w14:textId="77777777" w:rsidR="00CF5150" w:rsidRDefault="00CF5150" w:rsidP="00560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16450C0"/>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1532"/>
        </w:tabs>
        <w:ind w:left="1532" w:hanging="992"/>
      </w:pPr>
      <w:rPr>
        <w:rFonts w:hint="default"/>
        <w:i w:val="0"/>
      </w:rPr>
    </w:lvl>
    <w:lvl w:ilvl="2">
      <w:start w:val="1"/>
      <w:numFmt w:val="decimal"/>
      <w:pStyle w:val="Heading3"/>
      <w:lvlText w:val="%1.%2.%3"/>
      <w:lvlJc w:val="left"/>
      <w:pPr>
        <w:tabs>
          <w:tab w:val="num" w:pos="2976"/>
        </w:tabs>
        <w:ind w:left="2976" w:hanging="992"/>
      </w:pPr>
      <w:rPr>
        <w:rFonts w:hint="default"/>
        <w:b/>
        <w:i w:val="0"/>
        <w:sz w:val="24"/>
        <w:szCs w:val="24"/>
      </w:rPr>
    </w:lvl>
    <w:lvl w:ilvl="3">
      <w:start w:val="1"/>
      <w:numFmt w:val="decimal"/>
      <w:pStyle w:val="Heading4"/>
      <w:lvlText w:val="%1.%2.%3.%4"/>
      <w:lvlJc w:val="left"/>
      <w:pPr>
        <w:tabs>
          <w:tab w:val="num" w:pos="2792"/>
        </w:tabs>
        <w:ind w:left="27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A032D7"/>
    <w:multiLevelType w:val="hybridMultilevel"/>
    <w:tmpl w:val="D9BA6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054FA4"/>
    <w:multiLevelType w:val="hybridMultilevel"/>
    <w:tmpl w:val="D234C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D73F6C"/>
    <w:multiLevelType w:val="hybridMultilevel"/>
    <w:tmpl w:val="B5E8079A"/>
    <w:lvl w:ilvl="0" w:tplc="DEC60186">
      <w:numFmt w:val="bullet"/>
      <w:lvlText w:val=""/>
      <w:lvlJc w:val="left"/>
      <w:pPr>
        <w:ind w:left="405" w:hanging="349"/>
      </w:pPr>
      <w:rPr>
        <w:rFonts w:ascii="Symbol" w:eastAsia="Symbol" w:hAnsi="Symbol" w:cs="Symbol" w:hint="default"/>
        <w:w w:val="100"/>
        <w:sz w:val="22"/>
        <w:szCs w:val="22"/>
      </w:rPr>
    </w:lvl>
    <w:lvl w:ilvl="1" w:tplc="D8EC6FE8">
      <w:numFmt w:val="bullet"/>
      <w:lvlText w:val="-"/>
      <w:lvlJc w:val="left"/>
      <w:pPr>
        <w:ind w:left="777" w:hanging="360"/>
      </w:pPr>
      <w:rPr>
        <w:rFonts w:ascii="Arial" w:eastAsia="Arial" w:hAnsi="Arial" w:cs="Arial" w:hint="default"/>
        <w:w w:val="100"/>
        <w:sz w:val="22"/>
        <w:szCs w:val="22"/>
      </w:rPr>
    </w:lvl>
    <w:lvl w:ilvl="2" w:tplc="A1DAC686">
      <w:numFmt w:val="bullet"/>
      <w:lvlText w:val="•"/>
      <w:lvlJc w:val="left"/>
      <w:pPr>
        <w:ind w:left="1437" w:hanging="360"/>
      </w:pPr>
      <w:rPr>
        <w:rFonts w:hint="default"/>
      </w:rPr>
    </w:lvl>
    <w:lvl w:ilvl="3" w:tplc="B0367AE8">
      <w:numFmt w:val="bullet"/>
      <w:lvlText w:val="•"/>
      <w:lvlJc w:val="left"/>
      <w:pPr>
        <w:ind w:left="2095" w:hanging="360"/>
      </w:pPr>
      <w:rPr>
        <w:rFonts w:hint="default"/>
      </w:rPr>
    </w:lvl>
    <w:lvl w:ilvl="4" w:tplc="BB4E351E">
      <w:numFmt w:val="bullet"/>
      <w:lvlText w:val="•"/>
      <w:lvlJc w:val="left"/>
      <w:pPr>
        <w:ind w:left="2752" w:hanging="360"/>
      </w:pPr>
      <w:rPr>
        <w:rFonts w:hint="default"/>
      </w:rPr>
    </w:lvl>
    <w:lvl w:ilvl="5" w:tplc="44F0039E">
      <w:numFmt w:val="bullet"/>
      <w:lvlText w:val="•"/>
      <w:lvlJc w:val="left"/>
      <w:pPr>
        <w:ind w:left="3410" w:hanging="360"/>
      </w:pPr>
      <w:rPr>
        <w:rFonts w:hint="default"/>
      </w:rPr>
    </w:lvl>
    <w:lvl w:ilvl="6" w:tplc="17F44C14">
      <w:numFmt w:val="bullet"/>
      <w:lvlText w:val="•"/>
      <w:lvlJc w:val="left"/>
      <w:pPr>
        <w:ind w:left="4067" w:hanging="360"/>
      </w:pPr>
      <w:rPr>
        <w:rFonts w:hint="default"/>
      </w:rPr>
    </w:lvl>
    <w:lvl w:ilvl="7" w:tplc="F0AC8902">
      <w:numFmt w:val="bullet"/>
      <w:lvlText w:val="•"/>
      <w:lvlJc w:val="left"/>
      <w:pPr>
        <w:ind w:left="4725" w:hanging="360"/>
      </w:pPr>
      <w:rPr>
        <w:rFonts w:hint="default"/>
      </w:rPr>
    </w:lvl>
    <w:lvl w:ilvl="8" w:tplc="A6A808CA">
      <w:numFmt w:val="bullet"/>
      <w:lvlText w:val="•"/>
      <w:lvlJc w:val="left"/>
      <w:pPr>
        <w:ind w:left="5382" w:hanging="360"/>
      </w:pPr>
      <w:rPr>
        <w:rFonts w:hint="default"/>
      </w:rPr>
    </w:lvl>
  </w:abstractNum>
  <w:abstractNum w:abstractNumId="4" w15:restartNumberingAfterBreak="0">
    <w:nsid w:val="076844ED"/>
    <w:multiLevelType w:val="hybridMultilevel"/>
    <w:tmpl w:val="FB54883A"/>
    <w:lvl w:ilvl="0" w:tplc="7C902CF8">
      <w:start w:val="1"/>
      <w:numFmt w:val="bullet"/>
      <w:lvlText w:val=""/>
      <w:lvlJc w:val="left"/>
      <w:pPr>
        <w:ind w:left="720" w:hanging="360"/>
      </w:pPr>
      <w:rPr>
        <w:rFonts w:ascii="Symbol" w:hAnsi="Symbol" w:hint="default"/>
      </w:rPr>
    </w:lvl>
    <w:lvl w:ilvl="1" w:tplc="B31A9422">
      <w:start w:val="1"/>
      <w:numFmt w:val="bullet"/>
      <w:lvlText w:val="o"/>
      <w:lvlJc w:val="left"/>
      <w:pPr>
        <w:ind w:left="1440" w:hanging="360"/>
      </w:pPr>
      <w:rPr>
        <w:rFonts w:ascii="Courier New" w:hAnsi="Courier New" w:hint="default"/>
      </w:rPr>
    </w:lvl>
    <w:lvl w:ilvl="2" w:tplc="78EC73B4">
      <w:start w:val="1"/>
      <w:numFmt w:val="bullet"/>
      <w:lvlText w:val=""/>
      <w:lvlJc w:val="left"/>
      <w:pPr>
        <w:ind w:left="2160" w:hanging="360"/>
      </w:pPr>
      <w:rPr>
        <w:rFonts w:ascii="Wingdings" w:hAnsi="Wingdings" w:hint="default"/>
      </w:rPr>
    </w:lvl>
    <w:lvl w:ilvl="3" w:tplc="370E6562">
      <w:start w:val="1"/>
      <w:numFmt w:val="bullet"/>
      <w:lvlText w:val=""/>
      <w:lvlJc w:val="left"/>
      <w:pPr>
        <w:ind w:left="2880" w:hanging="360"/>
      </w:pPr>
      <w:rPr>
        <w:rFonts w:ascii="Symbol" w:hAnsi="Symbol" w:hint="default"/>
      </w:rPr>
    </w:lvl>
    <w:lvl w:ilvl="4" w:tplc="ED0EF688">
      <w:start w:val="1"/>
      <w:numFmt w:val="bullet"/>
      <w:lvlText w:val="o"/>
      <w:lvlJc w:val="left"/>
      <w:pPr>
        <w:ind w:left="3600" w:hanging="360"/>
      </w:pPr>
      <w:rPr>
        <w:rFonts w:ascii="Courier New" w:hAnsi="Courier New" w:hint="default"/>
      </w:rPr>
    </w:lvl>
    <w:lvl w:ilvl="5" w:tplc="6764C700">
      <w:start w:val="1"/>
      <w:numFmt w:val="bullet"/>
      <w:lvlText w:val=""/>
      <w:lvlJc w:val="left"/>
      <w:pPr>
        <w:ind w:left="4320" w:hanging="360"/>
      </w:pPr>
      <w:rPr>
        <w:rFonts w:ascii="Wingdings" w:hAnsi="Wingdings" w:hint="default"/>
      </w:rPr>
    </w:lvl>
    <w:lvl w:ilvl="6" w:tplc="C1DCC872">
      <w:start w:val="1"/>
      <w:numFmt w:val="bullet"/>
      <w:lvlText w:val=""/>
      <w:lvlJc w:val="left"/>
      <w:pPr>
        <w:ind w:left="5040" w:hanging="360"/>
      </w:pPr>
      <w:rPr>
        <w:rFonts w:ascii="Symbol" w:hAnsi="Symbol" w:hint="default"/>
      </w:rPr>
    </w:lvl>
    <w:lvl w:ilvl="7" w:tplc="4B101592">
      <w:start w:val="1"/>
      <w:numFmt w:val="bullet"/>
      <w:lvlText w:val="o"/>
      <w:lvlJc w:val="left"/>
      <w:pPr>
        <w:ind w:left="5760" w:hanging="360"/>
      </w:pPr>
      <w:rPr>
        <w:rFonts w:ascii="Courier New" w:hAnsi="Courier New" w:hint="default"/>
      </w:rPr>
    </w:lvl>
    <w:lvl w:ilvl="8" w:tplc="EB222F52">
      <w:start w:val="1"/>
      <w:numFmt w:val="bullet"/>
      <w:lvlText w:val=""/>
      <w:lvlJc w:val="left"/>
      <w:pPr>
        <w:ind w:left="6480" w:hanging="360"/>
      </w:pPr>
      <w:rPr>
        <w:rFonts w:ascii="Wingdings" w:hAnsi="Wingdings" w:hint="default"/>
      </w:rPr>
    </w:lvl>
  </w:abstractNum>
  <w:abstractNum w:abstractNumId="5" w15:restartNumberingAfterBreak="0">
    <w:nsid w:val="0B6A2519"/>
    <w:multiLevelType w:val="hybridMultilevel"/>
    <w:tmpl w:val="B7C246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99117E"/>
    <w:multiLevelType w:val="hybridMultilevel"/>
    <w:tmpl w:val="6000667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0C47401"/>
    <w:multiLevelType w:val="hybridMultilevel"/>
    <w:tmpl w:val="15001A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6B37BB"/>
    <w:multiLevelType w:val="hybridMultilevel"/>
    <w:tmpl w:val="835010A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36A7C35"/>
    <w:multiLevelType w:val="hybridMultilevel"/>
    <w:tmpl w:val="F59E731C"/>
    <w:lvl w:ilvl="0" w:tplc="0C09000F">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17636A74"/>
    <w:multiLevelType w:val="multilevel"/>
    <w:tmpl w:val="661A5596"/>
    <w:lvl w:ilvl="0">
      <w:start w:val="11"/>
      <w:numFmt w:val="decimal"/>
      <w:lvlText w:val="%1"/>
      <w:lvlJc w:val="left"/>
      <w:pPr>
        <w:ind w:left="882" w:hanging="525"/>
      </w:pPr>
      <w:rPr>
        <w:rFonts w:hint="default"/>
      </w:rPr>
    </w:lvl>
    <w:lvl w:ilvl="1">
      <w:start w:val="1"/>
      <w:numFmt w:val="decimal"/>
      <w:lvlText w:val="%1.%2"/>
      <w:lvlJc w:val="left"/>
      <w:pPr>
        <w:ind w:left="1307" w:hanging="525"/>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517" w:hanging="2160"/>
      </w:pPr>
      <w:rPr>
        <w:rFonts w:hint="default"/>
      </w:rPr>
    </w:lvl>
  </w:abstractNum>
  <w:abstractNum w:abstractNumId="11" w15:restartNumberingAfterBreak="0">
    <w:nsid w:val="1AF96B3C"/>
    <w:multiLevelType w:val="hybridMultilevel"/>
    <w:tmpl w:val="258485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F949D6"/>
    <w:multiLevelType w:val="hybridMultilevel"/>
    <w:tmpl w:val="A0F8F734"/>
    <w:lvl w:ilvl="0" w:tplc="0C090001">
      <w:start w:val="1"/>
      <w:numFmt w:val="bullet"/>
      <w:lvlText w:val=""/>
      <w:lvlJc w:val="left"/>
      <w:pPr>
        <w:ind w:left="-348" w:hanging="360"/>
      </w:pPr>
      <w:rPr>
        <w:rFonts w:ascii="Symbol" w:hAnsi="Symbol" w:hint="default"/>
      </w:rPr>
    </w:lvl>
    <w:lvl w:ilvl="1" w:tplc="0C090003" w:tentative="1">
      <w:start w:val="1"/>
      <w:numFmt w:val="bullet"/>
      <w:lvlText w:val="o"/>
      <w:lvlJc w:val="left"/>
      <w:pPr>
        <w:ind w:left="372" w:hanging="360"/>
      </w:pPr>
      <w:rPr>
        <w:rFonts w:ascii="Courier New" w:hAnsi="Courier New" w:cs="Courier New" w:hint="default"/>
      </w:rPr>
    </w:lvl>
    <w:lvl w:ilvl="2" w:tplc="0C090005" w:tentative="1">
      <w:start w:val="1"/>
      <w:numFmt w:val="bullet"/>
      <w:lvlText w:val=""/>
      <w:lvlJc w:val="left"/>
      <w:pPr>
        <w:ind w:left="1092" w:hanging="360"/>
      </w:pPr>
      <w:rPr>
        <w:rFonts w:ascii="Wingdings" w:hAnsi="Wingdings" w:hint="default"/>
      </w:rPr>
    </w:lvl>
    <w:lvl w:ilvl="3" w:tplc="0C090001" w:tentative="1">
      <w:start w:val="1"/>
      <w:numFmt w:val="bullet"/>
      <w:lvlText w:val=""/>
      <w:lvlJc w:val="left"/>
      <w:pPr>
        <w:ind w:left="1812" w:hanging="360"/>
      </w:pPr>
      <w:rPr>
        <w:rFonts w:ascii="Symbol" w:hAnsi="Symbol" w:hint="default"/>
      </w:rPr>
    </w:lvl>
    <w:lvl w:ilvl="4" w:tplc="0C090003" w:tentative="1">
      <w:start w:val="1"/>
      <w:numFmt w:val="bullet"/>
      <w:lvlText w:val="o"/>
      <w:lvlJc w:val="left"/>
      <w:pPr>
        <w:ind w:left="2532" w:hanging="360"/>
      </w:pPr>
      <w:rPr>
        <w:rFonts w:ascii="Courier New" w:hAnsi="Courier New" w:cs="Courier New" w:hint="default"/>
      </w:rPr>
    </w:lvl>
    <w:lvl w:ilvl="5" w:tplc="0C090005" w:tentative="1">
      <w:start w:val="1"/>
      <w:numFmt w:val="bullet"/>
      <w:lvlText w:val=""/>
      <w:lvlJc w:val="left"/>
      <w:pPr>
        <w:ind w:left="3252" w:hanging="360"/>
      </w:pPr>
      <w:rPr>
        <w:rFonts w:ascii="Wingdings" w:hAnsi="Wingdings" w:hint="default"/>
      </w:rPr>
    </w:lvl>
    <w:lvl w:ilvl="6" w:tplc="0C090001" w:tentative="1">
      <w:start w:val="1"/>
      <w:numFmt w:val="bullet"/>
      <w:lvlText w:val=""/>
      <w:lvlJc w:val="left"/>
      <w:pPr>
        <w:ind w:left="3972" w:hanging="360"/>
      </w:pPr>
      <w:rPr>
        <w:rFonts w:ascii="Symbol" w:hAnsi="Symbol" w:hint="default"/>
      </w:rPr>
    </w:lvl>
    <w:lvl w:ilvl="7" w:tplc="0C090003" w:tentative="1">
      <w:start w:val="1"/>
      <w:numFmt w:val="bullet"/>
      <w:lvlText w:val="o"/>
      <w:lvlJc w:val="left"/>
      <w:pPr>
        <w:ind w:left="4692" w:hanging="360"/>
      </w:pPr>
      <w:rPr>
        <w:rFonts w:ascii="Courier New" w:hAnsi="Courier New" w:cs="Courier New" w:hint="default"/>
      </w:rPr>
    </w:lvl>
    <w:lvl w:ilvl="8" w:tplc="0C090005" w:tentative="1">
      <w:start w:val="1"/>
      <w:numFmt w:val="bullet"/>
      <w:lvlText w:val=""/>
      <w:lvlJc w:val="left"/>
      <w:pPr>
        <w:ind w:left="5412" w:hanging="360"/>
      </w:pPr>
      <w:rPr>
        <w:rFonts w:ascii="Wingdings" w:hAnsi="Wingdings" w:hint="default"/>
      </w:rPr>
    </w:lvl>
  </w:abstractNum>
  <w:abstractNum w:abstractNumId="13" w15:restartNumberingAfterBreak="0">
    <w:nsid w:val="1C5A63B2"/>
    <w:multiLevelType w:val="hybridMultilevel"/>
    <w:tmpl w:val="C2D86F4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1F9B42AA"/>
    <w:multiLevelType w:val="hybridMultilevel"/>
    <w:tmpl w:val="88F46BA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21614613"/>
    <w:multiLevelType w:val="hybridMultilevel"/>
    <w:tmpl w:val="18083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5AB379C"/>
    <w:multiLevelType w:val="multilevel"/>
    <w:tmpl w:val="2C8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B0261"/>
    <w:multiLevelType w:val="hybridMultilevel"/>
    <w:tmpl w:val="24C024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CA0A16"/>
    <w:multiLevelType w:val="hybridMultilevel"/>
    <w:tmpl w:val="D2D24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B029DA"/>
    <w:multiLevelType w:val="hybridMultilevel"/>
    <w:tmpl w:val="7292CB1A"/>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20" w15:restartNumberingAfterBreak="0">
    <w:nsid w:val="2BBA40E4"/>
    <w:multiLevelType w:val="hybridMultilevel"/>
    <w:tmpl w:val="67B889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BF053D2"/>
    <w:multiLevelType w:val="hybridMultilevel"/>
    <w:tmpl w:val="D974C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029EA"/>
    <w:multiLevelType w:val="multilevel"/>
    <w:tmpl w:val="CB425EE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143866"/>
    <w:multiLevelType w:val="hybridMultilevel"/>
    <w:tmpl w:val="B1FCC5C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34695A6A"/>
    <w:multiLevelType w:val="hybridMultilevel"/>
    <w:tmpl w:val="BB2278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78528FD"/>
    <w:multiLevelType w:val="hybridMultilevel"/>
    <w:tmpl w:val="79D0B68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6" w15:restartNumberingAfterBreak="0">
    <w:nsid w:val="38E73610"/>
    <w:multiLevelType w:val="hybridMultilevel"/>
    <w:tmpl w:val="C2CA75AC"/>
    <w:lvl w:ilvl="0" w:tplc="E34A15F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E15E4"/>
    <w:multiLevelType w:val="hybridMultilevel"/>
    <w:tmpl w:val="1CE8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542201"/>
    <w:multiLevelType w:val="hybridMultilevel"/>
    <w:tmpl w:val="7F30F5F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15:restartNumberingAfterBreak="0">
    <w:nsid w:val="3E421DD7"/>
    <w:multiLevelType w:val="hybridMultilevel"/>
    <w:tmpl w:val="CA9C6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BC1ADE"/>
    <w:multiLevelType w:val="hybridMultilevel"/>
    <w:tmpl w:val="EC90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FF7CFD"/>
    <w:multiLevelType w:val="hybridMultilevel"/>
    <w:tmpl w:val="67F0EE42"/>
    <w:lvl w:ilvl="0" w:tplc="2BD639B6">
      <w:start w:val="2"/>
      <w:numFmt w:val="decimal"/>
      <w:lvlText w:val="%1."/>
      <w:lvlJc w:val="left"/>
      <w:pPr>
        <w:ind w:left="720" w:hanging="360"/>
      </w:pPr>
      <w:rPr>
        <w:rFonts w:cstheme="minorBidi" w:hint="default"/>
      </w:rPr>
    </w:lvl>
    <w:lvl w:ilvl="1" w:tplc="F33A86C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800666"/>
    <w:multiLevelType w:val="hybridMultilevel"/>
    <w:tmpl w:val="65C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8D7B6E"/>
    <w:multiLevelType w:val="hybridMultilevel"/>
    <w:tmpl w:val="EEDE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C30988"/>
    <w:multiLevelType w:val="hybridMultilevel"/>
    <w:tmpl w:val="8EFA7CD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5" w15:restartNumberingAfterBreak="0">
    <w:nsid w:val="48261272"/>
    <w:multiLevelType w:val="hybridMultilevel"/>
    <w:tmpl w:val="A254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A5451"/>
    <w:multiLevelType w:val="hybridMultilevel"/>
    <w:tmpl w:val="F2AC3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2C1704"/>
    <w:multiLevelType w:val="hybridMultilevel"/>
    <w:tmpl w:val="553E7FF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8" w15:restartNumberingAfterBreak="0">
    <w:nsid w:val="4C046C46"/>
    <w:multiLevelType w:val="hybridMultilevel"/>
    <w:tmpl w:val="1A28DD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1295681"/>
    <w:multiLevelType w:val="hybridMultilevel"/>
    <w:tmpl w:val="8D56A868"/>
    <w:lvl w:ilvl="0" w:tplc="27485544">
      <w:start w:val="2"/>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1E01F8"/>
    <w:multiLevelType w:val="hybridMultilevel"/>
    <w:tmpl w:val="73760DF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54CD7B62"/>
    <w:multiLevelType w:val="hybridMultilevel"/>
    <w:tmpl w:val="671E7A1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5A26328F"/>
    <w:multiLevelType w:val="hybridMultilevel"/>
    <w:tmpl w:val="A036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A743A1"/>
    <w:multiLevelType w:val="hybridMultilevel"/>
    <w:tmpl w:val="323EDE8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C77D84"/>
    <w:multiLevelType w:val="hybridMultilevel"/>
    <w:tmpl w:val="DFC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1016E8"/>
    <w:multiLevelType w:val="hybridMultilevel"/>
    <w:tmpl w:val="1224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EC7117"/>
    <w:multiLevelType w:val="hybridMultilevel"/>
    <w:tmpl w:val="31F61A1C"/>
    <w:lvl w:ilvl="0" w:tplc="04090001">
      <w:start w:val="1"/>
      <w:numFmt w:val="bullet"/>
      <w:pStyle w:val="A-ListBullet"/>
      <w:lvlText w:val=""/>
      <w:lvlJc w:val="left"/>
      <w:pPr>
        <w:tabs>
          <w:tab w:val="num" w:pos="2438"/>
        </w:tabs>
        <w:ind w:left="2438" w:hanging="998"/>
      </w:pPr>
      <w:rPr>
        <w:rFonts w:ascii="Symbol" w:hAnsi="Symbol" w:hint="default"/>
      </w:rPr>
    </w:lvl>
    <w:lvl w:ilvl="1" w:tplc="04090003">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6769027E"/>
    <w:multiLevelType w:val="hybridMultilevel"/>
    <w:tmpl w:val="B7C24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7BB316C"/>
    <w:multiLevelType w:val="hybridMultilevel"/>
    <w:tmpl w:val="D58CEF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B1A1EA8"/>
    <w:multiLevelType w:val="multilevel"/>
    <w:tmpl w:val="A2D8B3F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95761B"/>
    <w:multiLevelType w:val="hybridMultilevel"/>
    <w:tmpl w:val="46D02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52B2A"/>
    <w:multiLevelType w:val="hybridMultilevel"/>
    <w:tmpl w:val="24AAE11C"/>
    <w:lvl w:ilvl="0" w:tplc="4F3880F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5062BE"/>
    <w:multiLevelType w:val="hybridMultilevel"/>
    <w:tmpl w:val="C14AD89C"/>
    <w:lvl w:ilvl="0" w:tplc="08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E493BA8"/>
    <w:multiLevelType w:val="hybridMultilevel"/>
    <w:tmpl w:val="AC08653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4" w15:restartNumberingAfterBreak="0">
    <w:nsid w:val="70E542CD"/>
    <w:multiLevelType w:val="hybridMultilevel"/>
    <w:tmpl w:val="F0DCBE8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5" w15:restartNumberingAfterBreak="0">
    <w:nsid w:val="71D30C3C"/>
    <w:multiLevelType w:val="multilevel"/>
    <w:tmpl w:val="CB425EE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57D1669"/>
    <w:multiLevelType w:val="hybridMultilevel"/>
    <w:tmpl w:val="C5666D7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7" w15:restartNumberingAfterBreak="0">
    <w:nsid w:val="77734795"/>
    <w:multiLevelType w:val="hybridMultilevel"/>
    <w:tmpl w:val="E312B22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8" w15:restartNumberingAfterBreak="0">
    <w:nsid w:val="796D0C82"/>
    <w:multiLevelType w:val="hybridMultilevel"/>
    <w:tmpl w:val="FE8E4FD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9" w15:restartNumberingAfterBreak="0">
    <w:nsid w:val="7A0024DE"/>
    <w:multiLevelType w:val="hybridMultilevel"/>
    <w:tmpl w:val="27A0A1E4"/>
    <w:lvl w:ilvl="0" w:tplc="59E05B88">
      <w:numFmt w:val="bullet"/>
      <w:lvlText w:val="•"/>
      <w:lvlJc w:val="left"/>
      <w:pPr>
        <w:ind w:left="360" w:hanging="195"/>
      </w:pPr>
      <w:rPr>
        <w:rFonts w:ascii="Arial" w:eastAsia="Arial" w:hAnsi="Arial" w:cs="Arial" w:hint="default"/>
        <w:spacing w:val="-6"/>
        <w:w w:val="99"/>
        <w:sz w:val="22"/>
        <w:szCs w:val="22"/>
        <w:lang w:val="en-US" w:eastAsia="en-US" w:bidi="en-US"/>
      </w:rPr>
    </w:lvl>
    <w:lvl w:ilvl="1" w:tplc="F56A9C60">
      <w:numFmt w:val="bullet"/>
      <w:lvlText w:val="•"/>
      <w:lvlJc w:val="left"/>
      <w:pPr>
        <w:ind w:left="1346" w:hanging="195"/>
      </w:pPr>
      <w:rPr>
        <w:rFonts w:hint="default"/>
        <w:lang w:val="en-US" w:eastAsia="en-US" w:bidi="en-US"/>
      </w:rPr>
    </w:lvl>
    <w:lvl w:ilvl="2" w:tplc="746CD318">
      <w:numFmt w:val="bullet"/>
      <w:lvlText w:val="•"/>
      <w:lvlJc w:val="left"/>
      <w:pPr>
        <w:ind w:left="2333" w:hanging="195"/>
      </w:pPr>
      <w:rPr>
        <w:rFonts w:hint="default"/>
        <w:lang w:val="en-US" w:eastAsia="en-US" w:bidi="en-US"/>
      </w:rPr>
    </w:lvl>
    <w:lvl w:ilvl="3" w:tplc="C14E7036">
      <w:numFmt w:val="bullet"/>
      <w:lvlText w:val="•"/>
      <w:lvlJc w:val="left"/>
      <w:pPr>
        <w:ind w:left="3319" w:hanging="195"/>
      </w:pPr>
      <w:rPr>
        <w:rFonts w:hint="default"/>
        <w:lang w:val="en-US" w:eastAsia="en-US" w:bidi="en-US"/>
      </w:rPr>
    </w:lvl>
    <w:lvl w:ilvl="4" w:tplc="65387B86">
      <w:numFmt w:val="bullet"/>
      <w:lvlText w:val="•"/>
      <w:lvlJc w:val="left"/>
      <w:pPr>
        <w:ind w:left="4306" w:hanging="195"/>
      </w:pPr>
      <w:rPr>
        <w:rFonts w:hint="default"/>
        <w:lang w:val="en-US" w:eastAsia="en-US" w:bidi="en-US"/>
      </w:rPr>
    </w:lvl>
    <w:lvl w:ilvl="5" w:tplc="49F83E18">
      <w:numFmt w:val="bullet"/>
      <w:lvlText w:val="•"/>
      <w:lvlJc w:val="left"/>
      <w:pPr>
        <w:ind w:left="5292" w:hanging="195"/>
      </w:pPr>
      <w:rPr>
        <w:rFonts w:hint="default"/>
        <w:lang w:val="en-US" w:eastAsia="en-US" w:bidi="en-US"/>
      </w:rPr>
    </w:lvl>
    <w:lvl w:ilvl="6" w:tplc="67C696BC">
      <w:numFmt w:val="bullet"/>
      <w:lvlText w:val="•"/>
      <w:lvlJc w:val="left"/>
      <w:pPr>
        <w:ind w:left="6279" w:hanging="195"/>
      </w:pPr>
      <w:rPr>
        <w:rFonts w:hint="default"/>
        <w:lang w:val="en-US" w:eastAsia="en-US" w:bidi="en-US"/>
      </w:rPr>
    </w:lvl>
    <w:lvl w:ilvl="7" w:tplc="15585452">
      <w:numFmt w:val="bullet"/>
      <w:lvlText w:val="•"/>
      <w:lvlJc w:val="left"/>
      <w:pPr>
        <w:ind w:left="7265" w:hanging="195"/>
      </w:pPr>
      <w:rPr>
        <w:rFonts w:hint="default"/>
        <w:lang w:val="en-US" w:eastAsia="en-US" w:bidi="en-US"/>
      </w:rPr>
    </w:lvl>
    <w:lvl w:ilvl="8" w:tplc="2E746C0E">
      <w:numFmt w:val="bullet"/>
      <w:lvlText w:val="•"/>
      <w:lvlJc w:val="left"/>
      <w:pPr>
        <w:ind w:left="8252" w:hanging="195"/>
      </w:pPr>
      <w:rPr>
        <w:rFonts w:hint="default"/>
        <w:lang w:val="en-US" w:eastAsia="en-US" w:bidi="en-US"/>
      </w:rPr>
    </w:lvl>
  </w:abstractNum>
  <w:abstractNum w:abstractNumId="60" w15:restartNumberingAfterBreak="0">
    <w:nsid w:val="7B3D1453"/>
    <w:multiLevelType w:val="hybridMultilevel"/>
    <w:tmpl w:val="EC589A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47"/>
  </w:num>
  <w:num w:numId="4">
    <w:abstractNumId w:val="11"/>
  </w:num>
  <w:num w:numId="5">
    <w:abstractNumId w:val="5"/>
  </w:num>
  <w:num w:numId="6">
    <w:abstractNumId w:val="18"/>
  </w:num>
  <w:num w:numId="7">
    <w:abstractNumId w:val="26"/>
  </w:num>
  <w:num w:numId="8">
    <w:abstractNumId w:val="50"/>
  </w:num>
  <w:num w:numId="9">
    <w:abstractNumId w:val="0"/>
  </w:num>
  <w:num w:numId="10">
    <w:abstractNumId w:val="46"/>
  </w:num>
  <w:num w:numId="11">
    <w:abstractNumId w:val="49"/>
  </w:num>
  <w:num w:numId="12">
    <w:abstractNumId w:val="10"/>
  </w:num>
  <w:num w:numId="13">
    <w:abstractNumId w:val="33"/>
  </w:num>
  <w:num w:numId="14">
    <w:abstractNumId w:val="51"/>
  </w:num>
  <w:num w:numId="15">
    <w:abstractNumId w:val="55"/>
  </w:num>
  <w:num w:numId="16">
    <w:abstractNumId w:val="9"/>
  </w:num>
  <w:num w:numId="17">
    <w:abstractNumId w:val="16"/>
  </w:num>
  <w:num w:numId="18">
    <w:abstractNumId w:val="42"/>
  </w:num>
  <w:num w:numId="19">
    <w:abstractNumId w:val="44"/>
  </w:num>
  <w:num w:numId="20">
    <w:abstractNumId w:val="35"/>
  </w:num>
  <w:num w:numId="21">
    <w:abstractNumId w:val="45"/>
  </w:num>
  <w:num w:numId="22">
    <w:abstractNumId w:val="21"/>
  </w:num>
  <w:num w:numId="23">
    <w:abstractNumId w:val="43"/>
  </w:num>
  <w:num w:numId="24">
    <w:abstractNumId w:val="32"/>
  </w:num>
  <w:num w:numId="25">
    <w:abstractNumId w:val="22"/>
  </w:num>
  <w:num w:numId="26">
    <w:abstractNumId w:val="20"/>
  </w:num>
  <w:num w:numId="27">
    <w:abstractNumId w:val="60"/>
  </w:num>
  <w:num w:numId="28">
    <w:abstractNumId w:val="27"/>
  </w:num>
  <w:num w:numId="29">
    <w:abstractNumId w:val="48"/>
  </w:num>
  <w:num w:numId="30">
    <w:abstractNumId w:val="37"/>
  </w:num>
  <w:num w:numId="31">
    <w:abstractNumId w:val="25"/>
  </w:num>
  <w:num w:numId="32">
    <w:abstractNumId w:val="7"/>
  </w:num>
  <w:num w:numId="33">
    <w:abstractNumId w:val="8"/>
  </w:num>
  <w:num w:numId="34">
    <w:abstractNumId w:val="53"/>
  </w:num>
  <w:num w:numId="35">
    <w:abstractNumId w:val="58"/>
  </w:num>
  <w:num w:numId="36">
    <w:abstractNumId w:val="28"/>
  </w:num>
  <w:num w:numId="37">
    <w:abstractNumId w:val="13"/>
  </w:num>
  <w:num w:numId="38">
    <w:abstractNumId w:val="14"/>
  </w:num>
  <w:num w:numId="39">
    <w:abstractNumId w:val="6"/>
  </w:num>
  <w:num w:numId="40">
    <w:abstractNumId w:val="57"/>
  </w:num>
  <w:num w:numId="41">
    <w:abstractNumId w:val="54"/>
  </w:num>
  <w:num w:numId="42">
    <w:abstractNumId w:val="41"/>
  </w:num>
  <w:num w:numId="43">
    <w:abstractNumId w:val="23"/>
  </w:num>
  <w:num w:numId="44">
    <w:abstractNumId w:val="34"/>
  </w:num>
  <w:num w:numId="45">
    <w:abstractNumId w:val="19"/>
  </w:num>
  <w:num w:numId="46">
    <w:abstractNumId w:val="40"/>
  </w:num>
  <w:num w:numId="47">
    <w:abstractNumId w:val="17"/>
  </w:num>
  <w:num w:numId="48">
    <w:abstractNumId w:val="2"/>
  </w:num>
  <w:num w:numId="49">
    <w:abstractNumId w:val="39"/>
  </w:num>
  <w:num w:numId="50">
    <w:abstractNumId w:val="31"/>
  </w:num>
  <w:num w:numId="51">
    <w:abstractNumId w:val="36"/>
  </w:num>
  <w:num w:numId="52">
    <w:abstractNumId w:val="52"/>
  </w:num>
  <w:num w:numId="53">
    <w:abstractNumId w:val="24"/>
  </w:num>
  <w:num w:numId="54">
    <w:abstractNumId w:val="15"/>
  </w:num>
  <w:num w:numId="55">
    <w:abstractNumId w:val="30"/>
  </w:num>
  <w:num w:numId="56">
    <w:abstractNumId w:val="29"/>
  </w:num>
  <w:num w:numId="57">
    <w:abstractNumId w:val="12"/>
  </w:num>
  <w:num w:numId="58">
    <w:abstractNumId w:val="38"/>
  </w:num>
  <w:num w:numId="59">
    <w:abstractNumId w:val="56"/>
  </w:num>
  <w:num w:numId="60">
    <w:abstractNumId w:val="3"/>
  </w:num>
  <w:num w:numId="61">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59"/>
    <w:rsid w:val="0000415B"/>
    <w:rsid w:val="0001134A"/>
    <w:rsid w:val="000204DA"/>
    <w:rsid w:val="0002145C"/>
    <w:rsid w:val="00024214"/>
    <w:rsid w:val="000412FF"/>
    <w:rsid w:val="00043073"/>
    <w:rsid w:val="0005179C"/>
    <w:rsid w:val="00062F72"/>
    <w:rsid w:val="00063644"/>
    <w:rsid w:val="00065BF4"/>
    <w:rsid w:val="0007034A"/>
    <w:rsid w:val="0007243E"/>
    <w:rsid w:val="00073B5D"/>
    <w:rsid w:val="00077BBD"/>
    <w:rsid w:val="0008313C"/>
    <w:rsid w:val="00085BE6"/>
    <w:rsid w:val="000873A0"/>
    <w:rsid w:val="000930E8"/>
    <w:rsid w:val="000946DC"/>
    <w:rsid w:val="000A3DDE"/>
    <w:rsid w:val="000A66FB"/>
    <w:rsid w:val="000B0A53"/>
    <w:rsid w:val="000B3A6B"/>
    <w:rsid w:val="000B763D"/>
    <w:rsid w:val="000C0275"/>
    <w:rsid w:val="000C0EE5"/>
    <w:rsid w:val="000C4CEF"/>
    <w:rsid w:val="000D2807"/>
    <w:rsid w:val="000D40D5"/>
    <w:rsid w:val="000D63EB"/>
    <w:rsid w:val="000E1A2E"/>
    <w:rsid w:val="000E3132"/>
    <w:rsid w:val="000E459F"/>
    <w:rsid w:val="000F15DE"/>
    <w:rsid w:val="000F4F2F"/>
    <w:rsid w:val="000F5C29"/>
    <w:rsid w:val="00101DC5"/>
    <w:rsid w:val="00112ED9"/>
    <w:rsid w:val="001223E3"/>
    <w:rsid w:val="00123022"/>
    <w:rsid w:val="001309CF"/>
    <w:rsid w:val="00157079"/>
    <w:rsid w:val="001633A6"/>
    <w:rsid w:val="00163E97"/>
    <w:rsid w:val="00165360"/>
    <w:rsid w:val="0017174C"/>
    <w:rsid w:val="00175027"/>
    <w:rsid w:val="0017686C"/>
    <w:rsid w:val="00176B9F"/>
    <w:rsid w:val="001808F2"/>
    <w:rsid w:val="00186AA6"/>
    <w:rsid w:val="0019030B"/>
    <w:rsid w:val="00190BDC"/>
    <w:rsid w:val="0019626F"/>
    <w:rsid w:val="001A2AB3"/>
    <w:rsid w:val="001A4A83"/>
    <w:rsid w:val="001B015E"/>
    <w:rsid w:val="001B297B"/>
    <w:rsid w:val="001B3B5F"/>
    <w:rsid w:val="001C02EE"/>
    <w:rsid w:val="001C6C47"/>
    <w:rsid w:val="001E6E7A"/>
    <w:rsid w:val="001F4934"/>
    <w:rsid w:val="0021647B"/>
    <w:rsid w:val="00216DC4"/>
    <w:rsid w:val="00224997"/>
    <w:rsid w:val="0022788A"/>
    <w:rsid w:val="00234E36"/>
    <w:rsid w:val="00253C5B"/>
    <w:rsid w:val="00256460"/>
    <w:rsid w:val="0026546A"/>
    <w:rsid w:val="00267585"/>
    <w:rsid w:val="00290CAA"/>
    <w:rsid w:val="00291000"/>
    <w:rsid w:val="00295CD9"/>
    <w:rsid w:val="002A271E"/>
    <w:rsid w:val="002B65B1"/>
    <w:rsid w:val="002C0E89"/>
    <w:rsid w:val="002C2D1C"/>
    <w:rsid w:val="002D2884"/>
    <w:rsid w:val="002D506E"/>
    <w:rsid w:val="002F06D1"/>
    <w:rsid w:val="002F3748"/>
    <w:rsid w:val="003000DE"/>
    <w:rsid w:val="0030257F"/>
    <w:rsid w:val="00305BC5"/>
    <w:rsid w:val="0030629C"/>
    <w:rsid w:val="00311FA8"/>
    <w:rsid w:val="003129B3"/>
    <w:rsid w:val="00332C08"/>
    <w:rsid w:val="003534B4"/>
    <w:rsid w:val="00354095"/>
    <w:rsid w:val="00356E52"/>
    <w:rsid w:val="00366E1B"/>
    <w:rsid w:val="00372C51"/>
    <w:rsid w:val="00385599"/>
    <w:rsid w:val="00385FFF"/>
    <w:rsid w:val="003862F8"/>
    <w:rsid w:val="003963FF"/>
    <w:rsid w:val="003A422A"/>
    <w:rsid w:val="003A57AC"/>
    <w:rsid w:val="003B3CDD"/>
    <w:rsid w:val="003C008D"/>
    <w:rsid w:val="003C0AC7"/>
    <w:rsid w:val="003C6161"/>
    <w:rsid w:val="003D294D"/>
    <w:rsid w:val="003D3728"/>
    <w:rsid w:val="003D4911"/>
    <w:rsid w:val="003E2BAF"/>
    <w:rsid w:val="003E6698"/>
    <w:rsid w:val="003F2F41"/>
    <w:rsid w:val="003F40DC"/>
    <w:rsid w:val="003F580D"/>
    <w:rsid w:val="00402535"/>
    <w:rsid w:val="00404710"/>
    <w:rsid w:val="00405871"/>
    <w:rsid w:val="004069EB"/>
    <w:rsid w:val="0041430E"/>
    <w:rsid w:val="00423235"/>
    <w:rsid w:val="004253E0"/>
    <w:rsid w:val="00425B42"/>
    <w:rsid w:val="004313B6"/>
    <w:rsid w:val="00451A3A"/>
    <w:rsid w:val="00461125"/>
    <w:rsid w:val="0046423C"/>
    <w:rsid w:val="00466172"/>
    <w:rsid w:val="00466D7C"/>
    <w:rsid w:val="00475ED7"/>
    <w:rsid w:val="004B4ED9"/>
    <w:rsid w:val="004C4104"/>
    <w:rsid w:val="004C45D6"/>
    <w:rsid w:val="004C4C6E"/>
    <w:rsid w:val="004D34D8"/>
    <w:rsid w:val="004E0E2B"/>
    <w:rsid w:val="004F0391"/>
    <w:rsid w:val="004F4E8B"/>
    <w:rsid w:val="004F56F7"/>
    <w:rsid w:val="005130E6"/>
    <w:rsid w:val="00516E77"/>
    <w:rsid w:val="00521B84"/>
    <w:rsid w:val="00523C0A"/>
    <w:rsid w:val="0052797E"/>
    <w:rsid w:val="00531273"/>
    <w:rsid w:val="00543D73"/>
    <w:rsid w:val="00550C8F"/>
    <w:rsid w:val="00556D59"/>
    <w:rsid w:val="00560201"/>
    <w:rsid w:val="00574F24"/>
    <w:rsid w:val="005A47EA"/>
    <w:rsid w:val="005B2E3F"/>
    <w:rsid w:val="005E0DC5"/>
    <w:rsid w:val="005E1225"/>
    <w:rsid w:val="005E654F"/>
    <w:rsid w:val="005F417C"/>
    <w:rsid w:val="005F5B29"/>
    <w:rsid w:val="006103F4"/>
    <w:rsid w:val="006103F7"/>
    <w:rsid w:val="00613F26"/>
    <w:rsid w:val="00630990"/>
    <w:rsid w:val="00632FB8"/>
    <w:rsid w:val="00637C55"/>
    <w:rsid w:val="00660135"/>
    <w:rsid w:val="00663E00"/>
    <w:rsid w:val="00664A7B"/>
    <w:rsid w:val="00664E6F"/>
    <w:rsid w:val="006744C3"/>
    <w:rsid w:val="0067722A"/>
    <w:rsid w:val="0068176E"/>
    <w:rsid w:val="00681BF5"/>
    <w:rsid w:val="006830D3"/>
    <w:rsid w:val="006845A5"/>
    <w:rsid w:val="006949F2"/>
    <w:rsid w:val="00697F0B"/>
    <w:rsid w:val="006A1D43"/>
    <w:rsid w:val="006B18C9"/>
    <w:rsid w:val="006C0A53"/>
    <w:rsid w:val="006E3034"/>
    <w:rsid w:val="006E77A8"/>
    <w:rsid w:val="006E7DAB"/>
    <w:rsid w:val="00700EB8"/>
    <w:rsid w:val="00701150"/>
    <w:rsid w:val="0070408D"/>
    <w:rsid w:val="00704BD5"/>
    <w:rsid w:val="007100F7"/>
    <w:rsid w:val="00712DB6"/>
    <w:rsid w:val="007142E3"/>
    <w:rsid w:val="00715ACA"/>
    <w:rsid w:val="00730E6A"/>
    <w:rsid w:val="007458EA"/>
    <w:rsid w:val="007470C9"/>
    <w:rsid w:val="007510C5"/>
    <w:rsid w:val="00754DB6"/>
    <w:rsid w:val="00765581"/>
    <w:rsid w:val="00765EC5"/>
    <w:rsid w:val="007678BC"/>
    <w:rsid w:val="00785F98"/>
    <w:rsid w:val="00792235"/>
    <w:rsid w:val="0079249C"/>
    <w:rsid w:val="007926AA"/>
    <w:rsid w:val="00796BD4"/>
    <w:rsid w:val="007C031E"/>
    <w:rsid w:val="007C16DB"/>
    <w:rsid w:val="007C35AC"/>
    <w:rsid w:val="007C431E"/>
    <w:rsid w:val="008044D3"/>
    <w:rsid w:val="0080519C"/>
    <w:rsid w:val="00806D1E"/>
    <w:rsid w:val="00807A68"/>
    <w:rsid w:val="0081134C"/>
    <w:rsid w:val="008126E1"/>
    <w:rsid w:val="00820766"/>
    <w:rsid w:val="0084595B"/>
    <w:rsid w:val="00846E0E"/>
    <w:rsid w:val="00850390"/>
    <w:rsid w:val="0086773D"/>
    <w:rsid w:val="00870173"/>
    <w:rsid w:val="00885F55"/>
    <w:rsid w:val="00892CD8"/>
    <w:rsid w:val="008A7233"/>
    <w:rsid w:val="008B3D0D"/>
    <w:rsid w:val="008C4DF4"/>
    <w:rsid w:val="008D4C74"/>
    <w:rsid w:val="008D5151"/>
    <w:rsid w:val="008D680E"/>
    <w:rsid w:val="008F13A7"/>
    <w:rsid w:val="008F31B4"/>
    <w:rsid w:val="009045AB"/>
    <w:rsid w:val="00907193"/>
    <w:rsid w:val="009072BB"/>
    <w:rsid w:val="00915A79"/>
    <w:rsid w:val="0092196B"/>
    <w:rsid w:val="0092499E"/>
    <w:rsid w:val="00936C9E"/>
    <w:rsid w:val="009370B8"/>
    <w:rsid w:val="00941238"/>
    <w:rsid w:val="0095488C"/>
    <w:rsid w:val="00956139"/>
    <w:rsid w:val="00964FD3"/>
    <w:rsid w:val="00974CB8"/>
    <w:rsid w:val="0098402A"/>
    <w:rsid w:val="009861D3"/>
    <w:rsid w:val="009A123D"/>
    <w:rsid w:val="009A25D6"/>
    <w:rsid w:val="009B18EE"/>
    <w:rsid w:val="009B47D3"/>
    <w:rsid w:val="009D52CA"/>
    <w:rsid w:val="009D5CD4"/>
    <w:rsid w:val="009D6255"/>
    <w:rsid w:val="009F117C"/>
    <w:rsid w:val="009F5E11"/>
    <w:rsid w:val="009F625D"/>
    <w:rsid w:val="009F6AFC"/>
    <w:rsid w:val="00A237ED"/>
    <w:rsid w:val="00A257FA"/>
    <w:rsid w:val="00A25CFA"/>
    <w:rsid w:val="00A338D6"/>
    <w:rsid w:val="00A4735F"/>
    <w:rsid w:val="00A503FA"/>
    <w:rsid w:val="00A527CE"/>
    <w:rsid w:val="00A5468F"/>
    <w:rsid w:val="00A55F70"/>
    <w:rsid w:val="00A75C16"/>
    <w:rsid w:val="00A813F3"/>
    <w:rsid w:val="00A938B0"/>
    <w:rsid w:val="00A96306"/>
    <w:rsid w:val="00AB4DC2"/>
    <w:rsid w:val="00AB7DE8"/>
    <w:rsid w:val="00AC01BD"/>
    <w:rsid w:val="00AC08DE"/>
    <w:rsid w:val="00AD0628"/>
    <w:rsid w:val="00AD44E6"/>
    <w:rsid w:val="00AE1360"/>
    <w:rsid w:val="00AE386B"/>
    <w:rsid w:val="00B24506"/>
    <w:rsid w:val="00B362E3"/>
    <w:rsid w:val="00B432CE"/>
    <w:rsid w:val="00B45F18"/>
    <w:rsid w:val="00B549E6"/>
    <w:rsid w:val="00B55E7E"/>
    <w:rsid w:val="00B654D0"/>
    <w:rsid w:val="00B66A42"/>
    <w:rsid w:val="00B6771F"/>
    <w:rsid w:val="00B771F0"/>
    <w:rsid w:val="00B96EC1"/>
    <w:rsid w:val="00BB34DE"/>
    <w:rsid w:val="00BB58D2"/>
    <w:rsid w:val="00BC7A38"/>
    <w:rsid w:val="00BD1CB5"/>
    <w:rsid w:val="00BD7443"/>
    <w:rsid w:val="00BE0C9D"/>
    <w:rsid w:val="00BE5667"/>
    <w:rsid w:val="00BF49CE"/>
    <w:rsid w:val="00C27DB4"/>
    <w:rsid w:val="00C61EEE"/>
    <w:rsid w:val="00C646F5"/>
    <w:rsid w:val="00C76305"/>
    <w:rsid w:val="00CA0F60"/>
    <w:rsid w:val="00CA5EC5"/>
    <w:rsid w:val="00CA660F"/>
    <w:rsid w:val="00CB125D"/>
    <w:rsid w:val="00CB13F3"/>
    <w:rsid w:val="00CB33E1"/>
    <w:rsid w:val="00CB379B"/>
    <w:rsid w:val="00CB415E"/>
    <w:rsid w:val="00CE3FC6"/>
    <w:rsid w:val="00CE5E81"/>
    <w:rsid w:val="00CF5150"/>
    <w:rsid w:val="00CF6A83"/>
    <w:rsid w:val="00D016C3"/>
    <w:rsid w:val="00D02CEC"/>
    <w:rsid w:val="00D02F02"/>
    <w:rsid w:val="00D039BA"/>
    <w:rsid w:val="00D04EBE"/>
    <w:rsid w:val="00D21C24"/>
    <w:rsid w:val="00D326EA"/>
    <w:rsid w:val="00D337DA"/>
    <w:rsid w:val="00D40065"/>
    <w:rsid w:val="00D46DE3"/>
    <w:rsid w:val="00D50F41"/>
    <w:rsid w:val="00D5612D"/>
    <w:rsid w:val="00D62826"/>
    <w:rsid w:val="00D6395F"/>
    <w:rsid w:val="00D734A6"/>
    <w:rsid w:val="00D73B74"/>
    <w:rsid w:val="00D74ADD"/>
    <w:rsid w:val="00D825AA"/>
    <w:rsid w:val="00D97C88"/>
    <w:rsid w:val="00DA25B4"/>
    <w:rsid w:val="00DA4092"/>
    <w:rsid w:val="00DA7693"/>
    <w:rsid w:val="00DB065F"/>
    <w:rsid w:val="00DB637E"/>
    <w:rsid w:val="00DC40F3"/>
    <w:rsid w:val="00DC5E66"/>
    <w:rsid w:val="00DC6379"/>
    <w:rsid w:val="00DC7EE8"/>
    <w:rsid w:val="00DD3BFE"/>
    <w:rsid w:val="00DE0565"/>
    <w:rsid w:val="00DE19F9"/>
    <w:rsid w:val="00DE36D3"/>
    <w:rsid w:val="00DF7AB0"/>
    <w:rsid w:val="00E14359"/>
    <w:rsid w:val="00E23946"/>
    <w:rsid w:val="00E3376B"/>
    <w:rsid w:val="00E346EF"/>
    <w:rsid w:val="00E34A44"/>
    <w:rsid w:val="00E37284"/>
    <w:rsid w:val="00E534F9"/>
    <w:rsid w:val="00E53706"/>
    <w:rsid w:val="00E576BC"/>
    <w:rsid w:val="00E60F8D"/>
    <w:rsid w:val="00E64601"/>
    <w:rsid w:val="00E71AAC"/>
    <w:rsid w:val="00E9061F"/>
    <w:rsid w:val="00E94960"/>
    <w:rsid w:val="00E94F1A"/>
    <w:rsid w:val="00EA02F0"/>
    <w:rsid w:val="00EA6C80"/>
    <w:rsid w:val="00EB50B4"/>
    <w:rsid w:val="00EE1723"/>
    <w:rsid w:val="00F1774B"/>
    <w:rsid w:val="00F17FCC"/>
    <w:rsid w:val="00F25083"/>
    <w:rsid w:val="00F27F80"/>
    <w:rsid w:val="00F300A6"/>
    <w:rsid w:val="00F314CB"/>
    <w:rsid w:val="00F33242"/>
    <w:rsid w:val="00F43FF7"/>
    <w:rsid w:val="00F5134E"/>
    <w:rsid w:val="00F63B60"/>
    <w:rsid w:val="00F65C3D"/>
    <w:rsid w:val="00F708DB"/>
    <w:rsid w:val="00F73FA4"/>
    <w:rsid w:val="00F741B5"/>
    <w:rsid w:val="00F81DF3"/>
    <w:rsid w:val="00F92415"/>
    <w:rsid w:val="00F97403"/>
    <w:rsid w:val="00F97B7E"/>
    <w:rsid w:val="00FA68FB"/>
    <w:rsid w:val="00FA76DD"/>
    <w:rsid w:val="00FB42BE"/>
    <w:rsid w:val="00FB68EA"/>
    <w:rsid w:val="00FC03B5"/>
    <w:rsid w:val="00FC54AE"/>
    <w:rsid w:val="00FC600C"/>
    <w:rsid w:val="00FD7D46"/>
    <w:rsid w:val="00FF1F06"/>
    <w:rsid w:val="00FF7DCB"/>
    <w:rsid w:val="0499DFE9"/>
    <w:rsid w:val="0570D89D"/>
    <w:rsid w:val="088B3AA4"/>
    <w:rsid w:val="0CDFD244"/>
    <w:rsid w:val="0D530A11"/>
    <w:rsid w:val="13C918C0"/>
    <w:rsid w:val="166FC3F4"/>
    <w:rsid w:val="172D1892"/>
    <w:rsid w:val="1875806F"/>
    <w:rsid w:val="1A8A84E1"/>
    <w:rsid w:val="1B9A5C6B"/>
    <w:rsid w:val="1C2F2241"/>
    <w:rsid w:val="1CB2C4FD"/>
    <w:rsid w:val="1F4E5580"/>
    <w:rsid w:val="21160FCC"/>
    <w:rsid w:val="2624B39C"/>
    <w:rsid w:val="286A3ED6"/>
    <w:rsid w:val="2A3E5556"/>
    <w:rsid w:val="2B7E7A22"/>
    <w:rsid w:val="2B96C4B1"/>
    <w:rsid w:val="2D6A1603"/>
    <w:rsid w:val="2FC85DF1"/>
    <w:rsid w:val="2FF548D5"/>
    <w:rsid w:val="30B0B76B"/>
    <w:rsid w:val="311C127D"/>
    <w:rsid w:val="359D4523"/>
    <w:rsid w:val="36F116DF"/>
    <w:rsid w:val="3869BC58"/>
    <w:rsid w:val="3AD6C6EC"/>
    <w:rsid w:val="41CA8A21"/>
    <w:rsid w:val="443B6D5F"/>
    <w:rsid w:val="445964B1"/>
    <w:rsid w:val="448D1BE6"/>
    <w:rsid w:val="44C88779"/>
    <w:rsid w:val="4625415A"/>
    <w:rsid w:val="46497F2F"/>
    <w:rsid w:val="486C3BBC"/>
    <w:rsid w:val="4B498C3F"/>
    <w:rsid w:val="4BA31AF7"/>
    <w:rsid w:val="51035E26"/>
    <w:rsid w:val="532C57F9"/>
    <w:rsid w:val="5363FAE3"/>
    <w:rsid w:val="551F65EF"/>
    <w:rsid w:val="559EE803"/>
    <w:rsid w:val="59810648"/>
    <w:rsid w:val="5B433211"/>
    <w:rsid w:val="5CE38CC8"/>
    <w:rsid w:val="5E446801"/>
    <w:rsid w:val="5E839951"/>
    <w:rsid w:val="638B38C7"/>
    <w:rsid w:val="666DA374"/>
    <w:rsid w:val="67D91192"/>
    <w:rsid w:val="694373CB"/>
    <w:rsid w:val="6A37A0CE"/>
    <w:rsid w:val="6DAB284F"/>
    <w:rsid w:val="7276C3C5"/>
    <w:rsid w:val="740C3A20"/>
    <w:rsid w:val="74AC0931"/>
    <w:rsid w:val="74ED9B7F"/>
    <w:rsid w:val="74EE8C69"/>
    <w:rsid w:val="75696CE5"/>
    <w:rsid w:val="7AABF92D"/>
    <w:rsid w:val="7B5F1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E4CE7"/>
  <w15:docId w15:val="{762D8B1E-D4B1-7C49-BF27-6D05E8DD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65"/>
  </w:style>
  <w:style w:type="paragraph" w:styleId="Heading1">
    <w:name w:val="heading 1"/>
    <w:aliases w:val="Level 1,H1,???,Titre 11,1.0"/>
    <w:next w:val="Normal"/>
    <w:link w:val="Heading1Char"/>
    <w:uiPriority w:val="1"/>
    <w:qFormat/>
    <w:rsid w:val="0098402A"/>
    <w:pPr>
      <w:keepNext/>
      <w:numPr>
        <w:numId w:val="9"/>
      </w:numPr>
      <w:spacing w:before="480" w:after="240" w:line="280" w:lineRule="atLeast"/>
      <w:jc w:val="center"/>
      <w:outlineLvl w:val="0"/>
    </w:pPr>
    <w:rPr>
      <w:rFonts w:ascii="Times New Roman" w:eastAsia="Times New Roman" w:hAnsi="Times New Roman" w:cs="Times New Roman"/>
      <w:b/>
      <w:caps/>
      <w:sz w:val="28"/>
      <w:szCs w:val="20"/>
      <w:lang w:val="en-GB"/>
    </w:rPr>
  </w:style>
  <w:style w:type="paragraph" w:styleId="Heading2">
    <w:name w:val="heading 2"/>
    <w:aliases w:val="Level 2,H2,?.,?1.?,Kop 2,Titre 21,1.1toc"/>
    <w:next w:val="Normal"/>
    <w:link w:val="Heading2Char"/>
    <w:uiPriority w:val="1"/>
    <w:qFormat/>
    <w:rsid w:val="0098402A"/>
    <w:pPr>
      <w:keepNext/>
      <w:numPr>
        <w:ilvl w:val="1"/>
        <w:numId w:val="9"/>
      </w:numPr>
      <w:tabs>
        <w:tab w:val="clear" w:pos="1532"/>
        <w:tab w:val="num" w:pos="992"/>
      </w:tabs>
      <w:spacing w:before="120" w:after="120" w:line="280" w:lineRule="atLeast"/>
      <w:ind w:left="992"/>
      <w:jc w:val="center"/>
      <w:outlineLvl w:val="1"/>
    </w:pPr>
    <w:rPr>
      <w:rFonts w:ascii="Times New Roman" w:eastAsia="Times New Roman" w:hAnsi="Times New Roman" w:cs="Times New Roman"/>
      <w:b/>
      <w:sz w:val="28"/>
      <w:szCs w:val="20"/>
      <w:lang w:val="en-GB"/>
    </w:rPr>
  </w:style>
  <w:style w:type="paragraph" w:styleId="Heading3">
    <w:name w:val="heading 3"/>
    <w:aliases w:val="H3,Level 3,(?),?(1)?,??1.,Titre 31,FinalReport3"/>
    <w:next w:val="Normal"/>
    <w:link w:val="Heading3Char"/>
    <w:uiPriority w:val="1"/>
    <w:qFormat/>
    <w:rsid w:val="0098402A"/>
    <w:pPr>
      <w:keepNext/>
      <w:numPr>
        <w:ilvl w:val="2"/>
        <w:numId w:val="9"/>
      </w:numPr>
      <w:spacing w:after="120" w:line="280" w:lineRule="atLeast"/>
      <w:jc w:val="center"/>
      <w:outlineLvl w:val="2"/>
    </w:pPr>
    <w:rPr>
      <w:rFonts w:ascii="Times New Roman" w:eastAsia="Times New Roman" w:hAnsi="Times New Roman" w:cs="Times New Roman"/>
      <w:b/>
      <w:sz w:val="24"/>
      <w:szCs w:val="20"/>
      <w:lang w:val="en-GB"/>
    </w:rPr>
  </w:style>
  <w:style w:type="paragraph" w:styleId="Heading4">
    <w:name w:val="heading 4"/>
    <w:aliases w:val="H4,?1)?,?,?)"/>
    <w:next w:val="Normal"/>
    <w:link w:val="Heading4Char"/>
    <w:uiPriority w:val="1"/>
    <w:qFormat/>
    <w:rsid w:val="0098402A"/>
    <w:pPr>
      <w:keepNext/>
      <w:numPr>
        <w:ilvl w:val="3"/>
        <w:numId w:val="9"/>
      </w:numPr>
      <w:tabs>
        <w:tab w:val="clear" w:pos="2792"/>
        <w:tab w:val="num" w:pos="9182"/>
      </w:tabs>
      <w:spacing w:after="120" w:line="280" w:lineRule="atLeast"/>
      <w:ind w:left="9182"/>
      <w:jc w:val="center"/>
      <w:outlineLvl w:val="3"/>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E11"/>
    <w:pPr>
      <w:ind w:left="720"/>
      <w:contextualSpacing/>
    </w:pPr>
  </w:style>
  <w:style w:type="character" w:customStyle="1" w:styleId="Heading1Char">
    <w:name w:val="Heading 1 Char"/>
    <w:aliases w:val="Level 1 Char,H1 Char,??? Char,Titre 11 Char,1.0 Char"/>
    <w:basedOn w:val="DefaultParagraphFont"/>
    <w:link w:val="Heading1"/>
    <w:uiPriority w:val="1"/>
    <w:rsid w:val="0098402A"/>
    <w:rPr>
      <w:rFonts w:ascii="Times New Roman" w:eastAsia="Times New Roman" w:hAnsi="Times New Roman" w:cs="Times New Roman"/>
      <w:b/>
      <w:caps/>
      <w:sz w:val="28"/>
      <w:szCs w:val="20"/>
      <w:lang w:val="en-GB"/>
    </w:rPr>
  </w:style>
  <w:style w:type="character" w:customStyle="1" w:styleId="Heading2Char">
    <w:name w:val="Heading 2 Char"/>
    <w:aliases w:val="Level 2 Char1,H2 Char1,?. Char1,?1.? Char1,Kop 2 Char1,Titre 21 Char1,1.1toc Char1"/>
    <w:basedOn w:val="DefaultParagraphFont"/>
    <w:link w:val="Heading2"/>
    <w:uiPriority w:val="1"/>
    <w:rsid w:val="0098402A"/>
    <w:rPr>
      <w:rFonts w:ascii="Times New Roman" w:eastAsia="Times New Roman" w:hAnsi="Times New Roman" w:cs="Times New Roman"/>
      <w:b/>
      <w:sz w:val="28"/>
      <w:szCs w:val="20"/>
      <w:lang w:val="en-GB"/>
    </w:rPr>
  </w:style>
  <w:style w:type="character" w:customStyle="1" w:styleId="Heading3Char">
    <w:name w:val="Heading 3 Char"/>
    <w:aliases w:val="H3 Char,Level 3 Char,(?) Char,?(1)? Char,??1. Char,Titre 31 Char,FinalReport3 Char"/>
    <w:basedOn w:val="DefaultParagraphFont"/>
    <w:link w:val="Heading3"/>
    <w:uiPriority w:val="1"/>
    <w:rsid w:val="0098402A"/>
    <w:rPr>
      <w:rFonts w:ascii="Times New Roman" w:eastAsia="Times New Roman" w:hAnsi="Times New Roman" w:cs="Times New Roman"/>
      <w:b/>
      <w:sz w:val="24"/>
      <w:szCs w:val="20"/>
      <w:lang w:val="en-GB"/>
    </w:rPr>
  </w:style>
  <w:style w:type="character" w:customStyle="1" w:styleId="Heading4Char">
    <w:name w:val="Heading 4 Char"/>
    <w:aliases w:val="H4 Char,?1)? Char,? Char,?) Char"/>
    <w:basedOn w:val="DefaultParagraphFont"/>
    <w:link w:val="Heading4"/>
    <w:uiPriority w:val="1"/>
    <w:rsid w:val="0098402A"/>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560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01"/>
  </w:style>
  <w:style w:type="paragraph" w:styleId="Footer">
    <w:name w:val="footer"/>
    <w:basedOn w:val="Normal"/>
    <w:link w:val="FooterChar"/>
    <w:uiPriority w:val="99"/>
    <w:unhideWhenUsed/>
    <w:rsid w:val="00560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01"/>
  </w:style>
  <w:style w:type="paragraph" w:customStyle="1" w:styleId="A-ListBullet">
    <w:name w:val="A-List Bullet"/>
    <w:uiPriority w:val="99"/>
    <w:rsid w:val="003534B4"/>
    <w:pPr>
      <w:numPr>
        <w:numId w:val="10"/>
      </w:numPr>
      <w:spacing w:after="240" w:line="280" w:lineRule="atLeast"/>
      <w:jc w:val="center"/>
    </w:pPr>
    <w:rPr>
      <w:rFonts w:ascii="Times New Roman" w:eastAsia="Times New Roman" w:hAnsi="Times New Roman" w:cs="Times New Roman"/>
      <w:sz w:val="24"/>
      <w:szCs w:val="20"/>
      <w:lang w:val="en-GB"/>
    </w:rPr>
  </w:style>
  <w:style w:type="character" w:customStyle="1" w:styleId="Heading2Char1">
    <w:name w:val="Heading 2 Char1"/>
    <w:aliases w:val="Level 2 Char,H2 Char,?. Char,?1.? Char,Kop 2 Char,Titre 21 Char,1.1toc Char"/>
    <w:uiPriority w:val="1"/>
    <w:locked/>
    <w:rsid w:val="00461125"/>
    <w:rPr>
      <w:b/>
      <w:sz w:val="28"/>
      <w:lang w:eastAsia="en-US"/>
    </w:rPr>
  </w:style>
  <w:style w:type="paragraph" w:customStyle="1" w:styleId="A-TableText">
    <w:name w:val="A-Table Text"/>
    <w:link w:val="A-TableText0"/>
    <w:rsid w:val="000946DC"/>
    <w:pPr>
      <w:spacing w:before="60" w:after="60" w:line="280" w:lineRule="atLeast"/>
      <w:jc w:val="center"/>
    </w:pPr>
    <w:rPr>
      <w:rFonts w:ascii="Times New Roman" w:eastAsia="Times New Roman" w:hAnsi="Times New Roman" w:cs="Times New Roman"/>
      <w:szCs w:val="20"/>
      <w:lang w:val="en-GB"/>
    </w:rPr>
  </w:style>
  <w:style w:type="character" w:customStyle="1" w:styleId="A-TableText0">
    <w:name w:val="A-Table Text (文字)"/>
    <w:link w:val="A-TableText"/>
    <w:rsid w:val="000946DC"/>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34"/>
    <w:locked/>
    <w:rsid w:val="000946DC"/>
  </w:style>
  <w:style w:type="paragraph" w:customStyle="1" w:styleId="REAL-ProBodyText">
    <w:name w:val="REAL-Pro_Body Text"/>
    <w:basedOn w:val="Normal"/>
    <w:link w:val="REAL-ProBodyTextChar"/>
    <w:qFormat/>
    <w:rsid w:val="00956139"/>
    <w:pPr>
      <w:spacing w:before="40" w:after="40" w:line="360" w:lineRule="auto"/>
      <w:jc w:val="both"/>
    </w:pPr>
    <w:rPr>
      <w:rFonts w:ascii="Arial" w:eastAsia="MS Gothic" w:hAnsi="Arial" w:cs="Arial"/>
      <w:bCs/>
      <w:sz w:val="20"/>
      <w:szCs w:val="20"/>
      <w:lang w:val="en-GB"/>
    </w:rPr>
  </w:style>
  <w:style w:type="character" w:customStyle="1" w:styleId="REAL-ProBodyTextChar">
    <w:name w:val="REAL-Pro_Body Text Char"/>
    <w:basedOn w:val="DefaultParagraphFont"/>
    <w:link w:val="REAL-ProBodyText"/>
    <w:rsid w:val="00956139"/>
    <w:rPr>
      <w:rFonts w:ascii="Arial" w:eastAsia="MS Gothic" w:hAnsi="Arial" w:cs="Arial"/>
      <w:bCs/>
      <w:sz w:val="20"/>
      <w:szCs w:val="20"/>
      <w:lang w:val="en-GB"/>
    </w:rPr>
  </w:style>
  <w:style w:type="paragraph" w:customStyle="1" w:styleId="A-Guided">
    <w:name w:val="A-Guided"/>
    <w:rsid w:val="00D734A6"/>
    <w:pPr>
      <w:spacing w:before="60" w:after="0" w:line="280" w:lineRule="atLeast"/>
      <w:jc w:val="center"/>
    </w:pPr>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B7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3B74"/>
    <w:rPr>
      <w:b/>
      <w:bCs/>
    </w:rPr>
  </w:style>
  <w:style w:type="character" w:customStyle="1" w:styleId="CommentSubjectChar">
    <w:name w:val="Comment Subject Char"/>
    <w:basedOn w:val="CommentTextChar"/>
    <w:link w:val="CommentSubject"/>
    <w:uiPriority w:val="99"/>
    <w:semiHidden/>
    <w:rsid w:val="00D73B74"/>
    <w:rPr>
      <w:b/>
      <w:bCs/>
      <w:sz w:val="20"/>
      <w:szCs w:val="20"/>
    </w:rPr>
  </w:style>
  <w:style w:type="paragraph" w:customStyle="1" w:styleId="Default">
    <w:name w:val="Default"/>
    <w:rsid w:val="00366E1B"/>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806D1E"/>
    <w:pPr>
      <w:spacing w:after="0" w:line="240" w:lineRule="auto"/>
    </w:pPr>
  </w:style>
  <w:style w:type="character" w:styleId="Hyperlink">
    <w:name w:val="Hyperlink"/>
    <w:basedOn w:val="DefaultParagraphFont"/>
    <w:uiPriority w:val="99"/>
    <w:unhideWhenUsed/>
    <w:rsid w:val="00704BD5"/>
    <w:rPr>
      <w:color w:val="0563C1" w:themeColor="hyperlink"/>
      <w:u w:val="single"/>
    </w:rPr>
  </w:style>
  <w:style w:type="character" w:customStyle="1" w:styleId="UnresolvedMention1">
    <w:name w:val="Unresolved Mention1"/>
    <w:basedOn w:val="DefaultParagraphFont"/>
    <w:uiPriority w:val="99"/>
    <w:semiHidden/>
    <w:unhideWhenUsed/>
    <w:rsid w:val="00704BD5"/>
    <w:rPr>
      <w:color w:val="605E5C"/>
      <w:shd w:val="clear" w:color="auto" w:fill="E1DFDD"/>
    </w:rPr>
  </w:style>
  <w:style w:type="paragraph" w:styleId="Title">
    <w:name w:val="Title"/>
    <w:basedOn w:val="Normal"/>
    <w:next w:val="Normal"/>
    <w:link w:val="TitleChar"/>
    <w:uiPriority w:val="10"/>
    <w:qFormat/>
    <w:rsid w:val="00E60F8D"/>
    <w:pPr>
      <w:spacing w:before="480" w:after="480" w:line="288" w:lineRule="auto"/>
      <w:contextualSpacing/>
      <w:jc w:val="center"/>
    </w:pPr>
    <w:rPr>
      <w:rFonts w:ascii="Arial" w:eastAsiaTheme="majorEastAsia" w:hAnsi="Arial" w:cstheme="majorBidi"/>
      <w:b/>
      <w:spacing w:val="5"/>
      <w:kern w:val="28"/>
      <w:sz w:val="40"/>
      <w:szCs w:val="52"/>
      <w:lang w:val="en-GB"/>
    </w:rPr>
  </w:style>
  <w:style w:type="character" w:customStyle="1" w:styleId="TitleChar">
    <w:name w:val="Title Char"/>
    <w:basedOn w:val="DefaultParagraphFont"/>
    <w:link w:val="Title"/>
    <w:uiPriority w:val="10"/>
    <w:rsid w:val="00E60F8D"/>
    <w:rPr>
      <w:rFonts w:ascii="Arial" w:eastAsiaTheme="majorEastAsia" w:hAnsi="Arial" w:cstheme="majorBidi"/>
      <w:b/>
      <w:spacing w:val="5"/>
      <w:kern w:val="28"/>
      <w:sz w:val="40"/>
      <w:szCs w:val="52"/>
      <w:lang w:val="en-GB"/>
    </w:rPr>
  </w:style>
  <w:style w:type="character" w:customStyle="1" w:styleId="Report-type">
    <w:name w:val="Report-type"/>
    <w:uiPriority w:val="99"/>
    <w:rsid w:val="00E60F8D"/>
    <w:rPr>
      <w:rFonts w:ascii="Times New Roman" w:hAnsi="Times New Roman"/>
      <w:b/>
      <w:sz w:val="24"/>
    </w:rPr>
  </w:style>
  <w:style w:type="paragraph" w:customStyle="1" w:styleId="TableParagraph">
    <w:name w:val="Table Paragraph"/>
    <w:basedOn w:val="Normal"/>
    <w:uiPriority w:val="1"/>
    <w:qFormat/>
    <w:rsid w:val="00B362E3"/>
    <w:pPr>
      <w:widowControl w:val="0"/>
      <w:autoSpaceDE w:val="0"/>
      <w:autoSpaceDN w:val="0"/>
      <w:adjustRightInd w:val="0"/>
      <w:spacing w:after="0" w:line="273" w:lineRule="exact"/>
      <w:ind w:left="103"/>
    </w:pPr>
    <w:rPr>
      <w:rFonts w:ascii="Arial" w:eastAsia="Times New Roman" w:hAnsi="Arial" w:cs="Arial"/>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05895">
      <w:bodyDiv w:val="1"/>
      <w:marLeft w:val="0"/>
      <w:marRight w:val="0"/>
      <w:marTop w:val="0"/>
      <w:marBottom w:val="0"/>
      <w:divBdr>
        <w:top w:val="none" w:sz="0" w:space="0" w:color="auto"/>
        <w:left w:val="none" w:sz="0" w:space="0" w:color="auto"/>
        <w:bottom w:val="none" w:sz="0" w:space="0" w:color="auto"/>
        <w:right w:val="none" w:sz="0" w:space="0" w:color="auto"/>
      </w:divBdr>
    </w:div>
    <w:div w:id="1494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p.cancer.gov/protocoldevelopment/electronic_applications/docs/CTCAE_v5_Quick_Reference_8.5x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01 xmlns="934df8e8-a3ea-4689-ba66-fb523cdb1608">HREC submission 29OCT2020</Label01>
    <Status xmlns="934df8e8-a3ea-4689-ba66-fb523cdb1608">SMHS HREC 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8268577B3AC48A9793CD6789A1EBC" ma:contentTypeVersion="16" ma:contentTypeDescription="Create a new document." ma:contentTypeScope="" ma:versionID="fe070410daad0e9f75eff2afc259ebc0">
  <xsd:schema xmlns:xsd="http://www.w3.org/2001/XMLSchema" xmlns:xs="http://www.w3.org/2001/XMLSchema" xmlns:p="http://schemas.microsoft.com/office/2006/metadata/properties" xmlns:ns2="934df8e8-a3ea-4689-ba66-fb523cdb1608" xmlns:ns3="b78b161e-61d2-4b2d-bca5-10874872cbd6" targetNamespace="http://schemas.microsoft.com/office/2006/metadata/properties" ma:root="true" ma:fieldsID="f09c0a6cf0ed108509bdc6241ebd0c0b" ns2:_="" ns3:_="">
    <xsd:import namespace="934df8e8-a3ea-4689-ba66-fb523cdb1608"/>
    <xsd:import namespace="b78b161e-61d2-4b2d-bca5-10874872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Status" minOccurs="0"/>
                <xsd:element ref="ns2:Label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df8e8-a3ea-4689-ba66-fb523cdb1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Choice">
          <xsd:enumeration value="Active (Approved)"/>
          <xsd:enumeration value="Pending HREC approval"/>
          <xsd:enumeration value="Pending RGO approval"/>
          <xsd:enumeration value="Signed and current"/>
          <xsd:enumeration value="To be updated"/>
          <xsd:enumeration value="Superseded"/>
          <xsd:enumeration value="Not Approved"/>
          <xsd:enumeration value="Authorised"/>
          <xsd:enumeration value="Noted"/>
          <xsd:enumeration value="SMHS HREC APPROVED"/>
          <xsd:enumeration value="Not valid"/>
          <xsd:enumeration value="SMHS RGO APPROVED"/>
          <xsd:enumeration value="VALID"/>
          <xsd:enumeration value="AIR"/>
        </xsd:restriction>
      </xsd:simpleType>
    </xsd:element>
    <xsd:element name="Label01" ma:index="19" nillable="true" ma:displayName="Grouping" ma:description="Follow the grouping system" ma:format="Dropdown" ma:internalName="Label0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b161e-61d2-4b2d-bca5-10874872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EACD-40F9-417F-B2FE-01A0C4004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A5F4A-27FB-476A-902E-D22DBC35E9A3}">
  <ds:schemaRefs>
    <ds:schemaRef ds:uri="http://schemas.microsoft.com/sharepoint/v3/contenttype/forms"/>
  </ds:schemaRefs>
</ds:datastoreItem>
</file>

<file path=customXml/itemProps3.xml><?xml version="1.0" encoding="utf-8"?>
<ds:datastoreItem xmlns:ds="http://schemas.openxmlformats.org/officeDocument/2006/customXml" ds:itemID="{A365A08C-1FA2-4D3F-A881-E8B605F34E2E}"/>
</file>

<file path=customXml/itemProps4.xml><?xml version="1.0" encoding="utf-8"?>
<ds:datastoreItem xmlns:ds="http://schemas.openxmlformats.org/officeDocument/2006/customXml" ds:itemID="{50930832-3CAF-4D2C-BE9A-9D18DB4D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12748</Words>
  <Characters>72667</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85245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Liow, Elizabeth (PMCC)</dc:creator>
  <cp:lastModifiedBy>Giuliana D'Aulerio</cp:lastModifiedBy>
  <cp:revision>2</cp:revision>
  <cp:lastPrinted>2020-07-28T01:25:00Z</cp:lastPrinted>
  <dcterms:created xsi:type="dcterms:W3CDTF">2020-10-29T02:21:00Z</dcterms:created>
  <dcterms:modified xsi:type="dcterms:W3CDTF">2020-10-29T02:21:00Z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0x01010054D8268577B3AC48A9793CD6789A1EBC</vt:lpwstr>
  </property>
  <property fmtid="{D5CDD505-2E9C-101B-9397-08002B2CF9AE}" pid="3" name="DocumentType">
    <vt:lpwstr/>
  </property>
</Properties>
</file>