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2684"/>
        <w:gridCol w:w="2939"/>
      </w:tblGrid>
      <w:tr w:rsidR="00380DFE" w14:paraId="78210929" w14:textId="77777777" w:rsidTr="00C96083">
        <w:tc>
          <w:tcPr>
            <w:tcW w:w="2791" w:type="dxa"/>
          </w:tcPr>
          <w:p w14:paraId="37E7CF5B" w14:textId="77777777" w:rsidR="00380DFE" w:rsidRDefault="00380DFE" w:rsidP="00380DFE">
            <w:pPr>
              <w:pStyle w:val="Header"/>
              <w:jc w:val="center"/>
            </w:pPr>
            <w:bookmarkStart w:id="0" w:name="_Toc224114358"/>
            <w:bookmarkStart w:id="1" w:name="_Toc229297221"/>
            <w:bookmarkStart w:id="2" w:name="_Toc229297328"/>
            <w:bookmarkStart w:id="3" w:name="_Toc229298351"/>
            <w:bookmarkStart w:id="4" w:name="_Toc229307317"/>
            <w:bookmarkStart w:id="5" w:name="_Toc229308137"/>
            <w:bookmarkStart w:id="6" w:name="_Toc235338614"/>
            <w:bookmarkStart w:id="7" w:name="_Toc236472612"/>
            <w:bookmarkStart w:id="8" w:name="_Toc236473732"/>
            <w:bookmarkStart w:id="9" w:name="_Toc237834101"/>
            <w:r>
              <w:rPr>
                <w:noProof/>
              </w:rPr>
              <w:t xml:space="preserve">                  </w:t>
            </w:r>
            <w:r>
              <w:rPr>
                <w:noProof/>
              </w:rPr>
              <w:drawing>
                <wp:inline distT="0" distB="0" distL="0" distR="0" wp14:anchorId="26695D96" wp14:editId="77346D4D">
                  <wp:extent cx="1151907" cy="115190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_of_wollongong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132" cy="1174132"/>
                          </a:xfrm>
                          <a:prstGeom prst="rect">
                            <a:avLst/>
                          </a:prstGeom>
                        </pic:spPr>
                      </pic:pic>
                    </a:graphicData>
                  </a:graphic>
                </wp:inline>
              </w:drawing>
            </w:r>
          </w:p>
        </w:tc>
        <w:tc>
          <w:tcPr>
            <w:tcW w:w="2684" w:type="dxa"/>
          </w:tcPr>
          <w:p w14:paraId="530AB3B8" w14:textId="77777777" w:rsidR="00380DFE" w:rsidRDefault="00380DFE" w:rsidP="00380DFE">
            <w:pPr>
              <w:pStyle w:val="Header"/>
              <w:tabs>
                <w:tab w:val="left" w:pos="2865"/>
              </w:tabs>
            </w:pPr>
          </w:p>
          <w:p w14:paraId="5C9D75A1" w14:textId="25A5F9A9" w:rsidR="00380DFE" w:rsidRDefault="00380DFE" w:rsidP="00380DFE">
            <w:pPr>
              <w:pStyle w:val="Header"/>
              <w:tabs>
                <w:tab w:val="left" w:pos="2865"/>
              </w:tabs>
              <w:jc w:val="center"/>
            </w:pPr>
            <w:r>
              <w:rPr>
                <w:rFonts w:eastAsia="Calibri" w:cs="Arial"/>
                <w:noProof/>
                <w:spacing w:val="1"/>
                <w:sz w:val="28"/>
                <w:szCs w:val="22"/>
              </w:rPr>
              <w:drawing>
                <wp:inline distT="0" distB="0" distL="0" distR="0" wp14:anchorId="07A53BC4" wp14:editId="32B0E459">
                  <wp:extent cx="877939" cy="831272"/>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858" cy="854867"/>
                          </a:xfrm>
                          <a:prstGeom prst="rect">
                            <a:avLst/>
                          </a:prstGeom>
                          <a:noFill/>
                          <a:ln>
                            <a:noFill/>
                          </a:ln>
                        </pic:spPr>
                      </pic:pic>
                    </a:graphicData>
                  </a:graphic>
                </wp:inline>
              </w:drawing>
            </w:r>
          </w:p>
        </w:tc>
        <w:tc>
          <w:tcPr>
            <w:tcW w:w="2939" w:type="dxa"/>
          </w:tcPr>
          <w:p w14:paraId="1FB68EE3" w14:textId="77777777" w:rsidR="00380DFE" w:rsidRDefault="00380DFE" w:rsidP="00380DFE">
            <w:pPr>
              <w:pStyle w:val="Header"/>
              <w:jc w:val="center"/>
            </w:pPr>
          </w:p>
          <w:p w14:paraId="3994556F" w14:textId="77777777" w:rsidR="00380DFE" w:rsidRDefault="00380DFE" w:rsidP="00380DFE">
            <w:pPr>
              <w:pStyle w:val="Header"/>
              <w:jc w:val="center"/>
            </w:pPr>
          </w:p>
          <w:p w14:paraId="0A8F7C02" w14:textId="77777777" w:rsidR="00380DFE" w:rsidRDefault="00380DFE" w:rsidP="00380DFE">
            <w:pPr>
              <w:pStyle w:val="Header"/>
              <w:jc w:val="center"/>
            </w:pPr>
          </w:p>
          <w:p w14:paraId="3D95022A" w14:textId="77777777" w:rsidR="00380DFE" w:rsidRDefault="00380DFE" w:rsidP="00380DFE">
            <w:pPr>
              <w:pStyle w:val="Header"/>
              <w:jc w:val="center"/>
            </w:pPr>
          </w:p>
          <w:p w14:paraId="31520D4C" w14:textId="6F9CB4CA" w:rsidR="00380DFE" w:rsidRDefault="00675F07" w:rsidP="00380DFE">
            <w:pPr>
              <w:pStyle w:val="Header"/>
            </w:pPr>
            <w:r>
              <w:rPr>
                <w:noProof/>
              </w:rPr>
              <w:t xml:space="preserve">    </w:t>
            </w:r>
            <w:r w:rsidR="00380DFE">
              <w:rPr>
                <w:noProof/>
              </w:rPr>
              <w:drawing>
                <wp:inline distT="0" distB="0" distL="0" distR="0" wp14:anchorId="3AC77D7D" wp14:editId="1225E4C7">
                  <wp:extent cx="1527832" cy="397930"/>
                  <wp:effectExtent l="0" t="0" r="0" b="2540"/>
                  <wp:docPr id="22" name="Picture 22" descr="NSW Health ISLHD"/>
                  <wp:cNvGraphicFramePr/>
                  <a:graphic xmlns:a="http://schemas.openxmlformats.org/drawingml/2006/main">
                    <a:graphicData uri="http://schemas.openxmlformats.org/drawingml/2006/picture">
                      <pic:pic xmlns:pic="http://schemas.openxmlformats.org/drawingml/2006/picture">
                        <pic:nvPicPr>
                          <pic:cNvPr id="2" name="Picture 2" descr="NSW Health ISLH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727" cy="422906"/>
                          </a:xfrm>
                          <a:prstGeom prst="rect">
                            <a:avLst/>
                          </a:prstGeom>
                          <a:noFill/>
                          <a:ln>
                            <a:noFill/>
                          </a:ln>
                        </pic:spPr>
                      </pic:pic>
                    </a:graphicData>
                  </a:graphic>
                </wp:inline>
              </w:drawing>
            </w:r>
          </w:p>
          <w:p w14:paraId="33D4ECDC" w14:textId="77777777" w:rsidR="00380DFE" w:rsidRDefault="00380DFE" w:rsidP="00380DFE">
            <w:pPr>
              <w:pStyle w:val="Header"/>
            </w:pPr>
          </w:p>
          <w:p w14:paraId="0A9E5B4B" w14:textId="77777777" w:rsidR="00380DFE" w:rsidRDefault="00380DFE" w:rsidP="00380DFE">
            <w:pPr>
              <w:pStyle w:val="Header"/>
            </w:pPr>
          </w:p>
        </w:tc>
      </w:tr>
    </w:tbl>
    <w:p w14:paraId="29E34BE5" w14:textId="77777777" w:rsidR="00C96083" w:rsidRDefault="00C96083" w:rsidP="00C96083">
      <w:pPr>
        <w:spacing w:after="200"/>
        <w:contextualSpacing/>
        <w:jc w:val="center"/>
        <w:rPr>
          <w:rFonts w:eastAsia="Calibri" w:cs="Arial"/>
          <w:spacing w:val="1"/>
          <w:sz w:val="28"/>
          <w:szCs w:val="22"/>
        </w:rPr>
      </w:pPr>
    </w:p>
    <w:p w14:paraId="0FE34C23" w14:textId="77777777" w:rsidR="00C96083" w:rsidRDefault="00C96083" w:rsidP="00C96083">
      <w:pPr>
        <w:spacing w:after="200"/>
        <w:contextualSpacing/>
        <w:jc w:val="center"/>
        <w:rPr>
          <w:rFonts w:eastAsia="Calibri" w:cs="Arial"/>
          <w:spacing w:val="1"/>
          <w:sz w:val="28"/>
          <w:szCs w:val="22"/>
        </w:rPr>
      </w:pPr>
    </w:p>
    <w:p w14:paraId="1DEC9A2E" w14:textId="77777777" w:rsidR="00C96083" w:rsidRDefault="00C96083" w:rsidP="00C96083">
      <w:pPr>
        <w:spacing w:after="200"/>
        <w:contextualSpacing/>
        <w:jc w:val="center"/>
        <w:rPr>
          <w:rFonts w:eastAsia="Calibri" w:cs="Arial"/>
          <w:spacing w:val="1"/>
          <w:sz w:val="28"/>
          <w:szCs w:val="22"/>
        </w:rPr>
      </w:pPr>
    </w:p>
    <w:p w14:paraId="18E3AAC8" w14:textId="77777777" w:rsidR="00C96083" w:rsidRDefault="00C96083" w:rsidP="00C96083">
      <w:pPr>
        <w:spacing w:after="200"/>
        <w:contextualSpacing/>
        <w:jc w:val="center"/>
        <w:rPr>
          <w:rFonts w:eastAsia="Calibri" w:cs="Arial"/>
          <w:spacing w:val="1"/>
          <w:sz w:val="28"/>
          <w:szCs w:val="22"/>
        </w:rPr>
      </w:pPr>
    </w:p>
    <w:p w14:paraId="711B8CDA" w14:textId="77777777" w:rsidR="00C96083" w:rsidRDefault="00C96083" w:rsidP="00C96083">
      <w:pPr>
        <w:spacing w:after="200"/>
        <w:contextualSpacing/>
        <w:jc w:val="center"/>
        <w:rPr>
          <w:rFonts w:eastAsia="Calibri" w:cs="Arial"/>
          <w:spacing w:val="1"/>
          <w:sz w:val="28"/>
          <w:szCs w:val="22"/>
        </w:rPr>
      </w:pPr>
    </w:p>
    <w:p w14:paraId="48F76B00" w14:textId="77777777" w:rsidR="00C96083" w:rsidRDefault="00C96083" w:rsidP="00C96083">
      <w:pPr>
        <w:spacing w:after="200"/>
        <w:contextualSpacing/>
        <w:jc w:val="center"/>
        <w:rPr>
          <w:rFonts w:eastAsia="Calibri" w:cs="Arial"/>
          <w:spacing w:val="1"/>
          <w:sz w:val="28"/>
          <w:szCs w:val="22"/>
        </w:rPr>
      </w:pPr>
    </w:p>
    <w:p w14:paraId="56D0B6BD" w14:textId="77777777" w:rsidR="00C96083" w:rsidRDefault="00C96083" w:rsidP="00C96083">
      <w:pPr>
        <w:spacing w:after="200"/>
        <w:contextualSpacing/>
        <w:jc w:val="center"/>
        <w:rPr>
          <w:rFonts w:eastAsia="Calibri" w:cs="Arial"/>
          <w:spacing w:val="1"/>
          <w:sz w:val="28"/>
          <w:szCs w:val="22"/>
        </w:rPr>
      </w:pPr>
    </w:p>
    <w:p w14:paraId="467C4EAE" w14:textId="77777777" w:rsidR="00C96083" w:rsidRDefault="00C96083" w:rsidP="00C96083">
      <w:pPr>
        <w:spacing w:after="200"/>
        <w:contextualSpacing/>
        <w:jc w:val="center"/>
        <w:rPr>
          <w:rFonts w:eastAsia="Calibri" w:cs="Arial"/>
          <w:spacing w:val="1"/>
          <w:sz w:val="28"/>
          <w:szCs w:val="22"/>
        </w:rPr>
      </w:pPr>
      <w:r w:rsidRPr="00C96083">
        <w:rPr>
          <w:rFonts w:eastAsia="Calibri" w:cs="Arial"/>
          <w:spacing w:val="1"/>
          <w:sz w:val="28"/>
          <w:szCs w:val="22"/>
        </w:rPr>
        <w:t>Evaluating the acceptability, feasibility and efficacy of a shared model of cancer follow-up care utilising digital health tools and the transfer of clinical information between general practitioners and radiation oncologists, for patients with breast, prostate or colorectal cancer.</w:t>
      </w:r>
    </w:p>
    <w:p w14:paraId="571A195D" w14:textId="77777777" w:rsidR="00F413D5" w:rsidRPr="00C46E12" w:rsidRDefault="00F413D5" w:rsidP="00C46E12">
      <w:pPr>
        <w:jc w:val="both"/>
        <w:outlineLvl w:val="0"/>
        <w:rPr>
          <w:rFonts w:cs="Arial"/>
          <w:b/>
          <w:sz w:val="32"/>
          <w:szCs w:val="22"/>
        </w:rPr>
      </w:pPr>
    </w:p>
    <w:p w14:paraId="1F4BEE49" w14:textId="77777777" w:rsidR="00F413D5" w:rsidRPr="00C46E12" w:rsidRDefault="00F413D5" w:rsidP="00536834">
      <w:pPr>
        <w:jc w:val="center"/>
        <w:outlineLvl w:val="0"/>
        <w:rPr>
          <w:rFonts w:cs="Arial"/>
          <w:b/>
          <w:sz w:val="32"/>
          <w:szCs w:val="22"/>
        </w:rPr>
      </w:pPr>
    </w:p>
    <w:p w14:paraId="3F0136C5" w14:textId="77777777" w:rsidR="00CE4DBB" w:rsidRDefault="00F413D5" w:rsidP="00CE4DBB">
      <w:pPr>
        <w:jc w:val="center"/>
        <w:rPr>
          <w:rFonts w:cs="Arial"/>
          <w:b/>
          <w:sz w:val="36"/>
        </w:rPr>
      </w:pPr>
      <w:bookmarkStart w:id="10" w:name="_Toc5365087"/>
      <w:bookmarkStart w:id="11" w:name="_Toc5734770"/>
      <w:r w:rsidRPr="00C46E12">
        <w:rPr>
          <w:rFonts w:cs="Arial"/>
          <w:b/>
          <w:sz w:val="36"/>
        </w:rPr>
        <w:t>RESEARCH PROTOCOL</w:t>
      </w:r>
      <w:bookmarkEnd w:id="10"/>
      <w:bookmarkEnd w:id="11"/>
      <w:r w:rsidR="00CE4DBB">
        <w:rPr>
          <w:rFonts w:cs="Arial"/>
          <w:b/>
          <w:sz w:val="36"/>
        </w:rPr>
        <w:t xml:space="preserve"> </w:t>
      </w:r>
    </w:p>
    <w:p w14:paraId="2C9EEBA6" w14:textId="77777777" w:rsidR="00DE5E10" w:rsidRDefault="00DE5E10" w:rsidP="00CE4DBB">
      <w:pPr>
        <w:jc w:val="center"/>
        <w:rPr>
          <w:rFonts w:cs="Arial"/>
          <w:b/>
          <w:sz w:val="36"/>
        </w:rPr>
      </w:pPr>
    </w:p>
    <w:p w14:paraId="67C30F1A" w14:textId="77777777" w:rsidR="001D1813" w:rsidRPr="00C46E12" w:rsidRDefault="00CE4DBB" w:rsidP="00CE4DBB">
      <w:pPr>
        <w:jc w:val="center"/>
        <w:rPr>
          <w:rFonts w:cs="Arial"/>
          <w:b/>
          <w:sz w:val="36"/>
        </w:rPr>
      </w:pPr>
      <w:r>
        <w:rPr>
          <w:rFonts w:cs="Arial"/>
          <w:b/>
          <w:sz w:val="36"/>
        </w:rPr>
        <w:t>2020</w:t>
      </w:r>
    </w:p>
    <w:p w14:paraId="41274371" w14:textId="77777777" w:rsidR="00F413D5" w:rsidRPr="00C46E12" w:rsidRDefault="00F413D5" w:rsidP="00536834">
      <w:pPr>
        <w:jc w:val="center"/>
        <w:rPr>
          <w:rFonts w:cs="Arial"/>
          <w:b/>
          <w:sz w:val="36"/>
        </w:rPr>
      </w:pPr>
    </w:p>
    <w:p w14:paraId="1A532E94" w14:textId="77777777" w:rsidR="00F413D5" w:rsidRPr="00C46E12" w:rsidRDefault="00F413D5" w:rsidP="00536834">
      <w:pPr>
        <w:jc w:val="center"/>
        <w:outlineLvl w:val="0"/>
        <w:rPr>
          <w:rFonts w:cs="Arial"/>
          <w:b/>
          <w:sz w:val="32"/>
          <w:szCs w:val="22"/>
        </w:rPr>
      </w:pPr>
    </w:p>
    <w:p w14:paraId="4A1062CC" w14:textId="653A9A46" w:rsidR="000D5084" w:rsidRPr="00C46E12" w:rsidRDefault="000D5084" w:rsidP="00536834">
      <w:pPr>
        <w:spacing w:after="200"/>
        <w:contextualSpacing/>
        <w:jc w:val="center"/>
        <w:rPr>
          <w:rFonts w:eastAsia="Calibri" w:cs="Arial"/>
          <w:spacing w:val="1"/>
          <w:sz w:val="28"/>
          <w:szCs w:val="22"/>
        </w:rPr>
      </w:pPr>
    </w:p>
    <w:p w14:paraId="71AAF829" w14:textId="77777777" w:rsidR="00F413D5" w:rsidRPr="00C46E12" w:rsidRDefault="00F413D5" w:rsidP="00536834">
      <w:pPr>
        <w:spacing w:after="200"/>
        <w:contextualSpacing/>
        <w:jc w:val="center"/>
        <w:rPr>
          <w:rFonts w:eastAsia="Calibri" w:cs="Arial"/>
          <w:spacing w:val="1"/>
          <w:sz w:val="28"/>
          <w:szCs w:val="22"/>
        </w:rPr>
      </w:pPr>
    </w:p>
    <w:p w14:paraId="46FF24BF" w14:textId="77777777" w:rsidR="00F413D5" w:rsidRPr="00C46E12" w:rsidRDefault="00F413D5" w:rsidP="00CE4DBB">
      <w:pPr>
        <w:spacing w:after="200"/>
        <w:contextualSpacing/>
        <w:rPr>
          <w:rFonts w:eastAsia="Calibri" w:cs="Arial"/>
          <w:spacing w:val="1"/>
          <w:sz w:val="28"/>
          <w:szCs w:val="22"/>
        </w:rPr>
      </w:pPr>
    </w:p>
    <w:p w14:paraId="63EDD17B" w14:textId="69D0A0AB" w:rsidR="00675F07" w:rsidRDefault="00675F07" w:rsidP="00C46E12">
      <w:pPr>
        <w:spacing w:after="200"/>
        <w:contextualSpacing/>
        <w:jc w:val="both"/>
        <w:rPr>
          <w:rFonts w:eastAsia="Calibri" w:cs="Arial"/>
          <w:spacing w:val="1"/>
          <w:sz w:val="28"/>
          <w:szCs w:val="22"/>
        </w:rPr>
      </w:pPr>
    </w:p>
    <w:p w14:paraId="70E5FF3F" w14:textId="77777777" w:rsidR="00675F07" w:rsidRPr="00675F07" w:rsidRDefault="00675F07" w:rsidP="00675F07">
      <w:pPr>
        <w:rPr>
          <w:rFonts w:eastAsia="Calibri" w:cs="Arial"/>
          <w:sz w:val="28"/>
          <w:szCs w:val="22"/>
        </w:rPr>
      </w:pPr>
    </w:p>
    <w:p w14:paraId="77462596" w14:textId="77777777" w:rsidR="00675F07" w:rsidRPr="00675F07" w:rsidRDefault="00675F07" w:rsidP="00675F07">
      <w:pPr>
        <w:rPr>
          <w:rFonts w:eastAsia="Calibri" w:cs="Arial"/>
          <w:sz w:val="28"/>
          <w:szCs w:val="22"/>
        </w:rPr>
      </w:pPr>
    </w:p>
    <w:p w14:paraId="439993DC" w14:textId="77777777" w:rsidR="00675F07" w:rsidRPr="00675F07" w:rsidRDefault="00675F07" w:rsidP="00675F07">
      <w:pPr>
        <w:rPr>
          <w:rFonts w:eastAsia="Calibri" w:cs="Arial"/>
          <w:sz w:val="28"/>
          <w:szCs w:val="22"/>
        </w:rPr>
      </w:pPr>
    </w:p>
    <w:p w14:paraId="699186C7" w14:textId="77777777" w:rsidR="00675F07" w:rsidRPr="00675F07" w:rsidRDefault="00675F07" w:rsidP="00675F07">
      <w:pPr>
        <w:rPr>
          <w:rFonts w:eastAsia="Calibri" w:cs="Arial"/>
          <w:sz w:val="28"/>
          <w:szCs w:val="22"/>
        </w:rPr>
      </w:pPr>
    </w:p>
    <w:p w14:paraId="1F5E3897" w14:textId="77777777" w:rsidR="00675F07" w:rsidRPr="00675F07" w:rsidRDefault="00675F07" w:rsidP="00675F07">
      <w:pPr>
        <w:rPr>
          <w:rFonts w:eastAsia="Calibri" w:cs="Arial"/>
          <w:sz w:val="28"/>
          <w:szCs w:val="22"/>
        </w:rPr>
      </w:pPr>
    </w:p>
    <w:p w14:paraId="30E965D3" w14:textId="77777777" w:rsidR="00675F07" w:rsidRPr="00675F07" w:rsidRDefault="00675F07" w:rsidP="00675F07">
      <w:pPr>
        <w:rPr>
          <w:rFonts w:eastAsia="Calibri" w:cs="Arial"/>
          <w:sz w:val="28"/>
          <w:szCs w:val="22"/>
        </w:rPr>
      </w:pPr>
    </w:p>
    <w:p w14:paraId="22F1BA97" w14:textId="77777777" w:rsidR="00675F07" w:rsidRPr="00675F07" w:rsidRDefault="00675F07" w:rsidP="00675F07">
      <w:pPr>
        <w:rPr>
          <w:rFonts w:eastAsia="Calibri" w:cs="Arial"/>
          <w:sz w:val="28"/>
          <w:szCs w:val="22"/>
        </w:rPr>
      </w:pPr>
    </w:p>
    <w:p w14:paraId="6383C587" w14:textId="77777777" w:rsidR="00675F07" w:rsidRPr="00675F07" w:rsidRDefault="00675F07" w:rsidP="00675F07">
      <w:pPr>
        <w:rPr>
          <w:rFonts w:eastAsia="Calibri" w:cs="Arial"/>
          <w:sz w:val="28"/>
          <w:szCs w:val="22"/>
        </w:rPr>
      </w:pPr>
    </w:p>
    <w:p w14:paraId="4A0DE75A" w14:textId="77777777" w:rsidR="00675F07" w:rsidRPr="00675F07" w:rsidRDefault="00675F07" w:rsidP="00675F07">
      <w:pPr>
        <w:rPr>
          <w:rFonts w:eastAsia="Calibri" w:cs="Arial"/>
          <w:sz w:val="28"/>
          <w:szCs w:val="22"/>
        </w:rPr>
      </w:pPr>
    </w:p>
    <w:p w14:paraId="1F9B230B" w14:textId="77777777" w:rsidR="00675F07" w:rsidRPr="00675F07" w:rsidRDefault="00675F07" w:rsidP="00675F07">
      <w:pPr>
        <w:rPr>
          <w:rFonts w:eastAsia="Calibri" w:cs="Arial"/>
          <w:sz w:val="28"/>
          <w:szCs w:val="22"/>
        </w:rPr>
      </w:pPr>
    </w:p>
    <w:p w14:paraId="0C3889B2" w14:textId="77777777" w:rsidR="00675F07" w:rsidRPr="00675F07" w:rsidRDefault="00675F07" w:rsidP="00675F07">
      <w:pPr>
        <w:rPr>
          <w:rFonts w:eastAsia="Calibri" w:cs="Arial"/>
          <w:sz w:val="28"/>
          <w:szCs w:val="22"/>
        </w:rPr>
      </w:pPr>
    </w:p>
    <w:p w14:paraId="5C5F70CD" w14:textId="77777777" w:rsidR="00675F07" w:rsidRPr="00675F07" w:rsidRDefault="00675F07" w:rsidP="00675F07">
      <w:pPr>
        <w:rPr>
          <w:rFonts w:eastAsia="Calibri" w:cs="Arial"/>
          <w:sz w:val="28"/>
          <w:szCs w:val="22"/>
        </w:rPr>
      </w:pPr>
    </w:p>
    <w:p w14:paraId="0123271D" w14:textId="77777777" w:rsidR="00675F07" w:rsidRPr="00675F07" w:rsidRDefault="00675F07" w:rsidP="00675F07">
      <w:pPr>
        <w:rPr>
          <w:rFonts w:eastAsia="Calibri" w:cs="Arial"/>
          <w:sz w:val="28"/>
          <w:szCs w:val="22"/>
        </w:rPr>
      </w:pPr>
    </w:p>
    <w:p w14:paraId="69C17BE1" w14:textId="77777777" w:rsidR="00675F07" w:rsidRPr="00675F07" w:rsidRDefault="00675F07" w:rsidP="00675F07">
      <w:pPr>
        <w:rPr>
          <w:rFonts w:eastAsia="Calibri" w:cs="Arial"/>
          <w:sz w:val="28"/>
          <w:szCs w:val="22"/>
        </w:rPr>
      </w:pPr>
    </w:p>
    <w:p w14:paraId="358A35AC" w14:textId="77777777" w:rsidR="00BE38B8" w:rsidRPr="00C46E12" w:rsidRDefault="00BE38B8" w:rsidP="00C46E12">
      <w:pPr>
        <w:jc w:val="both"/>
        <w:rPr>
          <w:rFonts w:cs="Arial"/>
        </w:rPr>
      </w:pPr>
    </w:p>
    <w:p w14:paraId="72BB5984" w14:textId="77777777" w:rsidR="00C96083" w:rsidRDefault="00800AEF">
      <w:pPr>
        <w:pStyle w:val="TOC1"/>
        <w:tabs>
          <w:tab w:val="right" w:leader="dot" w:pos="8296"/>
        </w:tabs>
        <w:rPr>
          <w:rFonts w:asciiTheme="minorHAnsi" w:eastAsiaTheme="minorEastAsia" w:hAnsiTheme="minorHAnsi" w:cstheme="minorBidi"/>
          <w:b w:val="0"/>
          <w:bCs w:val="0"/>
          <w:caps w:val="0"/>
          <w:noProof/>
          <w:sz w:val="22"/>
          <w:szCs w:val="22"/>
        </w:rPr>
      </w:pPr>
      <w:r w:rsidRPr="00C46E12">
        <w:rPr>
          <w:rFonts w:ascii="Arial" w:hAnsi="Arial" w:cs="Arial"/>
          <w:b w:val="0"/>
          <w:bCs w:val="0"/>
          <w:caps w:val="0"/>
        </w:rPr>
        <w:fldChar w:fldCharType="begin"/>
      </w:r>
      <w:r w:rsidRPr="00C46E12">
        <w:rPr>
          <w:rFonts w:ascii="Arial" w:hAnsi="Arial" w:cs="Arial"/>
          <w:b w:val="0"/>
          <w:bCs w:val="0"/>
          <w:caps w:val="0"/>
        </w:rPr>
        <w:instrText xml:space="preserve"> TOC \o "1-3" \h \z \u </w:instrText>
      </w:r>
      <w:r w:rsidRPr="00C46E12">
        <w:rPr>
          <w:rFonts w:ascii="Arial" w:hAnsi="Arial" w:cs="Arial"/>
          <w:b w:val="0"/>
          <w:bCs w:val="0"/>
          <w:caps w:val="0"/>
        </w:rPr>
        <w:fldChar w:fldCharType="separate"/>
      </w:r>
      <w:hyperlink w:anchor="_Toc51588800" w:history="1">
        <w:r w:rsidR="00C96083" w:rsidRPr="00572029">
          <w:rPr>
            <w:rStyle w:val="Hyperlink"/>
            <w:rFonts w:cs="Arial"/>
            <w:noProof/>
          </w:rPr>
          <w:t>Protocol synopsis</w:t>
        </w:r>
        <w:r w:rsidR="00C96083">
          <w:rPr>
            <w:noProof/>
            <w:webHidden/>
          </w:rPr>
          <w:tab/>
        </w:r>
        <w:r w:rsidR="00C96083">
          <w:rPr>
            <w:noProof/>
            <w:webHidden/>
          </w:rPr>
          <w:fldChar w:fldCharType="begin"/>
        </w:r>
        <w:r w:rsidR="00C96083">
          <w:rPr>
            <w:noProof/>
            <w:webHidden/>
          </w:rPr>
          <w:instrText xml:space="preserve"> PAGEREF _Toc51588800 \h </w:instrText>
        </w:r>
        <w:r w:rsidR="00C96083">
          <w:rPr>
            <w:noProof/>
            <w:webHidden/>
          </w:rPr>
        </w:r>
        <w:r w:rsidR="00C96083">
          <w:rPr>
            <w:noProof/>
            <w:webHidden/>
          </w:rPr>
          <w:fldChar w:fldCharType="separate"/>
        </w:r>
        <w:r w:rsidR="00C96083">
          <w:rPr>
            <w:noProof/>
            <w:webHidden/>
          </w:rPr>
          <w:t>3</w:t>
        </w:r>
        <w:r w:rsidR="00C96083">
          <w:rPr>
            <w:noProof/>
            <w:webHidden/>
          </w:rPr>
          <w:fldChar w:fldCharType="end"/>
        </w:r>
      </w:hyperlink>
    </w:p>
    <w:p w14:paraId="186622A1" w14:textId="77777777" w:rsidR="00C96083" w:rsidRDefault="00C96083">
      <w:pPr>
        <w:pStyle w:val="TOC1"/>
        <w:tabs>
          <w:tab w:val="right" w:leader="dot" w:pos="8296"/>
        </w:tabs>
        <w:rPr>
          <w:rFonts w:asciiTheme="minorHAnsi" w:eastAsiaTheme="minorEastAsia" w:hAnsiTheme="minorHAnsi" w:cstheme="minorBidi"/>
          <w:b w:val="0"/>
          <w:bCs w:val="0"/>
          <w:caps w:val="0"/>
          <w:noProof/>
          <w:sz w:val="22"/>
          <w:szCs w:val="22"/>
        </w:rPr>
      </w:pPr>
      <w:hyperlink w:anchor="_Toc51588801" w:history="1">
        <w:r w:rsidRPr="00572029">
          <w:rPr>
            <w:rStyle w:val="Hyperlink"/>
            <w:rFonts w:cs="Arial"/>
            <w:noProof/>
          </w:rPr>
          <w:t>Definitions</w:t>
        </w:r>
        <w:r>
          <w:rPr>
            <w:noProof/>
            <w:webHidden/>
          </w:rPr>
          <w:tab/>
        </w:r>
        <w:r>
          <w:rPr>
            <w:noProof/>
            <w:webHidden/>
          </w:rPr>
          <w:fldChar w:fldCharType="begin"/>
        </w:r>
        <w:r>
          <w:rPr>
            <w:noProof/>
            <w:webHidden/>
          </w:rPr>
          <w:instrText xml:space="preserve"> PAGEREF _Toc51588801 \h </w:instrText>
        </w:r>
        <w:r>
          <w:rPr>
            <w:noProof/>
            <w:webHidden/>
          </w:rPr>
        </w:r>
        <w:r>
          <w:rPr>
            <w:noProof/>
            <w:webHidden/>
          </w:rPr>
          <w:fldChar w:fldCharType="separate"/>
        </w:r>
        <w:r>
          <w:rPr>
            <w:noProof/>
            <w:webHidden/>
          </w:rPr>
          <w:t>3</w:t>
        </w:r>
        <w:r>
          <w:rPr>
            <w:noProof/>
            <w:webHidden/>
          </w:rPr>
          <w:fldChar w:fldCharType="end"/>
        </w:r>
      </w:hyperlink>
    </w:p>
    <w:p w14:paraId="214B2FC4" w14:textId="77777777" w:rsidR="00C96083" w:rsidRDefault="00C96083">
      <w:pPr>
        <w:pStyle w:val="TOC1"/>
        <w:tabs>
          <w:tab w:val="right" w:leader="dot" w:pos="8296"/>
        </w:tabs>
        <w:rPr>
          <w:rFonts w:asciiTheme="minorHAnsi" w:eastAsiaTheme="minorEastAsia" w:hAnsiTheme="minorHAnsi" w:cstheme="minorBidi"/>
          <w:b w:val="0"/>
          <w:bCs w:val="0"/>
          <w:caps w:val="0"/>
          <w:noProof/>
          <w:sz w:val="22"/>
          <w:szCs w:val="22"/>
        </w:rPr>
      </w:pPr>
      <w:hyperlink w:anchor="_Toc51588802" w:history="1">
        <w:r w:rsidRPr="00572029">
          <w:rPr>
            <w:rStyle w:val="Hyperlink"/>
            <w:rFonts w:cs="Arial"/>
            <w:noProof/>
          </w:rPr>
          <w:t>1. Investigators</w:t>
        </w:r>
        <w:r>
          <w:rPr>
            <w:noProof/>
            <w:webHidden/>
          </w:rPr>
          <w:tab/>
        </w:r>
        <w:r>
          <w:rPr>
            <w:noProof/>
            <w:webHidden/>
          </w:rPr>
          <w:fldChar w:fldCharType="begin"/>
        </w:r>
        <w:r>
          <w:rPr>
            <w:noProof/>
            <w:webHidden/>
          </w:rPr>
          <w:instrText xml:space="preserve"> PAGEREF _Toc51588802 \h </w:instrText>
        </w:r>
        <w:r>
          <w:rPr>
            <w:noProof/>
            <w:webHidden/>
          </w:rPr>
        </w:r>
        <w:r>
          <w:rPr>
            <w:noProof/>
            <w:webHidden/>
          </w:rPr>
          <w:fldChar w:fldCharType="separate"/>
        </w:r>
        <w:r>
          <w:rPr>
            <w:noProof/>
            <w:webHidden/>
          </w:rPr>
          <w:t>4</w:t>
        </w:r>
        <w:r>
          <w:rPr>
            <w:noProof/>
            <w:webHidden/>
          </w:rPr>
          <w:fldChar w:fldCharType="end"/>
        </w:r>
      </w:hyperlink>
    </w:p>
    <w:p w14:paraId="5C742B4C" w14:textId="77777777" w:rsidR="00C96083" w:rsidRDefault="00C96083">
      <w:pPr>
        <w:pStyle w:val="TOC1"/>
        <w:tabs>
          <w:tab w:val="right" w:leader="dot" w:pos="8296"/>
        </w:tabs>
        <w:rPr>
          <w:rFonts w:asciiTheme="minorHAnsi" w:eastAsiaTheme="minorEastAsia" w:hAnsiTheme="minorHAnsi" w:cstheme="minorBidi"/>
          <w:b w:val="0"/>
          <w:bCs w:val="0"/>
          <w:caps w:val="0"/>
          <w:noProof/>
          <w:sz w:val="22"/>
          <w:szCs w:val="22"/>
        </w:rPr>
      </w:pPr>
      <w:hyperlink w:anchor="_Toc51588803" w:history="1">
        <w:r w:rsidRPr="00572029">
          <w:rPr>
            <w:rStyle w:val="Hyperlink"/>
            <w:rFonts w:cs="Arial"/>
            <w:noProof/>
          </w:rPr>
          <w:t>2.  Rationale for the research</w:t>
        </w:r>
        <w:r>
          <w:rPr>
            <w:noProof/>
            <w:webHidden/>
          </w:rPr>
          <w:tab/>
        </w:r>
        <w:r>
          <w:rPr>
            <w:noProof/>
            <w:webHidden/>
          </w:rPr>
          <w:fldChar w:fldCharType="begin"/>
        </w:r>
        <w:r>
          <w:rPr>
            <w:noProof/>
            <w:webHidden/>
          </w:rPr>
          <w:instrText xml:space="preserve"> PAGEREF _Toc51588803 \h </w:instrText>
        </w:r>
        <w:r>
          <w:rPr>
            <w:noProof/>
            <w:webHidden/>
          </w:rPr>
        </w:r>
        <w:r>
          <w:rPr>
            <w:noProof/>
            <w:webHidden/>
          </w:rPr>
          <w:fldChar w:fldCharType="separate"/>
        </w:r>
        <w:r>
          <w:rPr>
            <w:noProof/>
            <w:webHidden/>
          </w:rPr>
          <w:t>6</w:t>
        </w:r>
        <w:r>
          <w:rPr>
            <w:noProof/>
            <w:webHidden/>
          </w:rPr>
          <w:fldChar w:fldCharType="end"/>
        </w:r>
      </w:hyperlink>
    </w:p>
    <w:p w14:paraId="6FADEC2E" w14:textId="77777777" w:rsidR="00C96083" w:rsidRDefault="00C96083">
      <w:pPr>
        <w:pStyle w:val="TOC2"/>
        <w:tabs>
          <w:tab w:val="right" w:leader="dot" w:pos="8296"/>
        </w:tabs>
        <w:rPr>
          <w:rFonts w:asciiTheme="minorHAnsi" w:eastAsiaTheme="minorEastAsia" w:hAnsiTheme="minorHAnsi" w:cstheme="minorBidi"/>
          <w:smallCaps w:val="0"/>
          <w:noProof/>
          <w:sz w:val="22"/>
          <w:szCs w:val="22"/>
        </w:rPr>
      </w:pPr>
      <w:hyperlink w:anchor="_Toc51588804" w:history="1">
        <w:r w:rsidRPr="00572029">
          <w:rPr>
            <w:rStyle w:val="Hyperlink"/>
            <w:rFonts w:eastAsia="Calibri"/>
            <w:noProof/>
          </w:rPr>
          <w:t>2.1 Significance of the research</w:t>
        </w:r>
        <w:r>
          <w:rPr>
            <w:noProof/>
            <w:webHidden/>
          </w:rPr>
          <w:tab/>
        </w:r>
        <w:r>
          <w:rPr>
            <w:noProof/>
            <w:webHidden/>
          </w:rPr>
          <w:fldChar w:fldCharType="begin"/>
        </w:r>
        <w:r>
          <w:rPr>
            <w:noProof/>
            <w:webHidden/>
          </w:rPr>
          <w:instrText xml:space="preserve"> PAGEREF _Toc51588804 \h </w:instrText>
        </w:r>
        <w:r>
          <w:rPr>
            <w:noProof/>
            <w:webHidden/>
          </w:rPr>
        </w:r>
        <w:r>
          <w:rPr>
            <w:noProof/>
            <w:webHidden/>
          </w:rPr>
          <w:fldChar w:fldCharType="separate"/>
        </w:r>
        <w:r>
          <w:rPr>
            <w:noProof/>
            <w:webHidden/>
          </w:rPr>
          <w:t>6</w:t>
        </w:r>
        <w:r>
          <w:rPr>
            <w:noProof/>
            <w:webHidden/>
          </w:rPr>
          <w:fldChar w:fldCharType="end"/>
        </w:r>
      </w:hyperlink>
    </w:p>
    <w:p w14:paraId="7E4A9E4A" w14:textId="77777777" w:rsidR="00C96083" w:rsidRDefault="00C96083">
      <w:pPr>
        <w:pStyle w:val="TOC1"/>
        <w:tabs>
          <w:tab w:val="right" w:leader="dot" w:pos="8296"/>
        </w:tabs>
        <w:rPr>
          <w:rFonts w:asciiTheme="minorHAnsi" w:eastAsiaTheme="minorEastAsia" w:hAnsiTheme="minorHAnsi" w:cstheme="minorBidi"/>
          <w:b w:val="0"/>
          <w:bCs w:val="0"/>
          <w:caps w:val="0"/>
          <w:noProof/>
          <w:sz w:val="22"/>
          <w:szCs w:val="22"/>
        </w:rPr>
      </w:pPr>
      <w:hyperlink w:anchor="_Toc51588805" w:history="1">
        <w:r w:rsidRPr="00572029">
          <w:rPr>
            <w:rStyle w:val="Hyperlink"/>
            <w:rFonts w:cs="Arial"/>
            <w:noProof/>
          </w:rPr>
          <w:t>3.  Aim and Objectives</w:t>
        </w:r>
        <w:r>
          <w:rPr>
            <w:noProof/>
            <w:webHidden/>
          </w:rPr>
          <w:tab/>
        </w:r>
        <w:r>
          <w:rPr>
            <w:noProof/>
            <w:webHidden/>
          </w:rPr>
          <w:fldChar w:fldCharType="begin"/>
        </w:r>
        <w:r>
          <w:rPr>
            <w:noProof/>
            <w:webHidden/>
          </w:rPr>
          <w:instrText xml:space="preserve"> PAGEREF _Toc51588805 \h </w:instrText>
        </w:r>
        <w:r>
          <w:rPr>
            <w:noProof/>
            <w:webHidden/>
          </w:rPr>
        </w:r>
        <w:r>
          <w:rPr>
            <w:noProof/>
            <w:webHidden/>
          </w:rPr>
          <w:fldChar w:fldCharType="separate"/>
        </w:r>
        <w:r>
          <w:rPr>
            <w:noProof/>
            <w:webHidden/>
          </w:rPr>
          <w:t>7</w:t>
        </w:r>
        <w:r>
          <w:rPr>
            <w:noProof/>
            <w:webHidden/>
          </w:rPr>
          <w:fldChar w:fldCharType="end"/>
        </w:r>
      </w:hyperlink>
    </w:p>
    <w:p w14:paraId="0FA76736" w14:textId="77777777" w:rsidR="00C96083" w:rsidRDefault="00C96083">
      <w:pPr>
        <w:pStyle w:val="TOC1"/>
        <w:tabs>
          <w:tab w:val="right" w:leader="dot" w:pos="8296"/>
        </w:tabs>
        <w:rPr>
          <w:rFonts w:asciiTheme="minorHAnsi" w:eastAsiaTheme="minorEastAsia" w:hAnsiTheme="minorHAnsi" w:cstheme="minorBidi"/>
          <w:b w:val="0"/>
          <w:bCs w:val="0"/>
          <w:caps w:val="0"/>
          <w:noProof/>
          <w:sz w:val="22"/>
          <w:szCs w:val="22"/>
        </w:rPr>
      </w:pPr>
      <w:hyperlink w:anchor="_Toc51588806" w:history="1">
        <w:r w:rsidRPr="00572029">
          <w:rPr>
            <w:rStyle w:val="Hyperlink"/>
            <w:rFonts w:cs="Arial"/>
            <w:noProof/>
          </w:rPr>
          <w:t>4.  Study sites</w:t>
        </w:r>
        <w:r>
          <w:rPr>
            <w:noProof/>
            <w:webHidden/>
          </w:rPr>
          <w:tab/>
        </w:r>
        <w:r>
          <w:rPr>
            <w:noProof/>
            <w:webHidden/>
          </w:rPr>
          <w:fldChar w:fldCharType="begin"/>
        </w:r>
        <w:r>
          <w:rPr>
            <w:noProof/>
            <w:webHidden/>
          </w:rPr>
          <w:instrText xml:space="preserve"> PAGEREF _Toc51588806 \h </w:instrText>
        </w:r>
        <w:r>
          <w:rPr>
            <w:noProof/>
            <w:webHidden/>
          </w:rPr>
        </w:r>
        <w:r>
          <w:rPr>
            <w:noProof/>
            <w:webHidden/>
          </w:rPr>
          <w:fldChar w:fldCharType="separate"/>
        </w:r>
        <w:r>
          <w:rPr>
            <w:noProof/>
            <w:webHidden/>
          </w:rPr>
          <w:t>7</w:t>
        </w:r>
        <w:r>
          <w:rPr>
            <w:noProof/>
            <w:webHidden/>
          </w:rPr>
          <w:fldChar w:fldCharType="end"/>
        </w:r>
      </w:hyperlink>
    </w:p>
    <w:p w14:paraId="242F2C81" w14:textId="77777777" w:rsidR="00C96083" w:rsidRDefault="00C96083">
      <w:pPr>
        <w:pStyle w:val="TOC1"/>
        <w:tabs>
          <w:tab w:val="right" w:leader="dot" w:pos="8296"/>
        </w:tabs>
        <w:rPr>
          <w:rFonts w:asciiTheme="minorHAnsi" w:eastAsiaTheme="minorEastAsia" w:hAnsiTheme="minorHAnsi" w:cstheme="minorBidi"/>
          <w:b w:val="0"/>
          <w:bCs w:val="0"/>
          <w:caps w:val="0"/>
          <w:noProof/>
          <w:sz w:val="22"/>
          <w:szCs w:val="22"/>
        </w:rPr>
      </w:pPr>
      <w:hyperlink w:anchor="_Toc51588807" w:history="1">
        <w:r w:rsidRPr="00572029">
          <w:rPr>
            <w:rStyle w:val="Hyperlink"/>
            <w:rFonts w:cs="Arial"/>
            <w:noProof/>
          </w:rPr>
          <w:t>5.  Study design</w:t>
        </w:r>
        <w:r>
          <w:rPr>
            <w:noProof/>
            <w:webHidden/>
          </w:rPr>
          <w:tab/>
        </w:r>
        <w:r>
          <w:rPr>
            <w:noProof/>
            <w:webHidden/>
          </w:rPr>
          <w:fldChar w:fldCharType="begin"/>
        </w:r>
        <w:r>
          <w:rPr>
            <w:noProof/>
            <w:webHidden/>
          </w:rPr>
          <w:instrText xml:space="preserve"> PAGEREF _Toc51588807 \h </w:instrText>
        </w:r>
        <w:r>
          <w:rPr>
            <w:noProof/>
            <w:webHidden/>
          </w:rPr>
        </w:r>
        <w:r>
          <w:rPr>
            <w:noProof/>
            <w:webHidden/>
          </w:rPr>
          <w:fldChar w:fldCharType="separate"/>
        </w:r>
        <w:r>
          <w:rPr>
            <w:noProof/>
            <w:webHidden/>
          </w:rPr>
          <w:t>7</w:t>
        </w:r>
        <w:r>
          <w:rPr>
            <w:noProof/>
            <w:webHidden/>
          </w:rPr>
          <w:fldChar w:fldCharType="end"/>
        </w:r>
      </w:hyperlink>
    </w:p>
    <w:p w14:paraId="40CB18F2" w14:textId="77777777" w:rsidR="00C96083" w:rsidRDefault="00C96083">
      <w:pPr>
        <w:pStyle w:val="TOC2"/>
        <w:tabs>
          <w:tab w:val="right" w:leader="dot" w:pos="8296"/>
        </w:tabs>
        <w:rPr>
          <w:rFonts w:asciiTheme="minorHAnsi" w:eastAsiaTheme="minorEastAsia" w:hAnsiTheme="minorHAnsi" w:cstheme="minorBidi"/>
          <w:smallCaps w:val="0"/>
          <w:noProof/>
          <w:sz w:val="22"/>
          <w:szCs w:val="22"/>
        </w:rPr>
      </w:pPr>
      <w:hyperlink w:anchor="_Toc51588808" w:history="1">
        <w:r w:rsidRPr="00572029">
          <w:rPr>
            <w:rStyle w:val="Hyperlink"/>
            <w:noProof/>
          </w:rPr>
          <w:t>5.1 Recruitment and selection of participants</w:t>
        </w:r>
        <w:r>
          <w:rPr>
            <w:noProof/>
            <w:webHidden/>
          </w:rPr>
          <w:tab/>
        </w:r>
        <w:r>
          <w:rPr>
            <w:noProof/>
            <w:webHidden/>
          </w:rPr>
          <w:fldChar w:fldCharType="begin"/>
        </w:r>
        <w:r>
          <w:rPr>
            <w:noProof/>
            <w:webHidden/>
          </w:rPr>
          <w:instrText xml:space="preserve"> PAGEREF _Toc51588808 \h </w:instrText>
        </w:r>
        <w:r>
          <w:rPr>
            <w:noProof/>
            <w:webHidden/>
          </w:rPr>
        </w:r>
        <w:r>
          <w:rPr>
            <w:noProof/>
            <w:webHidden/>
          </w:rPr>
          <w:fldChar w:fldCharType="separate"/>
        </w:r>
        <w:r>
          <w:rPr>
            <w:noProof/>
            <w:webHidden/>
          </w:rPr>
          <w:t>7</w:t>
        </w:r>
        <w:r>
          <w:rPr>
            <w:noProof/>
            <w:webHidden/>
          </w:rPr>
          <w:fldChar w:fldCharType="end"/>
        </w:r>
      </w:hyperlink>
    </w:p>
    <w:p w14:paraId="4A88CBB6" w14:textId="77777777" w:rsidR="00C96083" w:rsidRDefault="00C96083">
      <w:pPr>
        <w:pStyle w:val="TOC2"/>
        <w:tabs>
          <w:tab w:val="right" w:leader="dot" w:pos="8296"/>
        </w:tabs>
        <w:rPr>
          <w:rFonts w:asciiTheme="minorHAnsi" w:eastAsiaTheme="minorEastAsia" w:hAnsiTheme="minorHAnsi" w:cstheme="minorBidi"/>
          <w:smallCaps w:val="0"/>
          <w:noProof/>
          <w:sz w:val="22"/>
          <w:szCs w:val="22"/>
        </w:rPr>
      </w:pPr>
      <w:hyperlink w:anchor="_Toc51588809" w:history="1">
        <w:r w:rsidRPr="00572029">
          <w:rPr>
            <w:rStyle w:val="Hyperlink"/>
            <w:rFonts w:eastAsia="Calibri"/>
            <w:noProof/>
          </w:rPr>
          <w:t>5.2 Inclusion criteria</w:t>
        </w:r>
        <w:r>
          <w:rPr>
            <w:noProof/>
            <w:webHidden/>
          </w:rPr>
          <w:tab/>
        </w:r>
        <w:r>
          <w:rPr>
            <w:noProof/>
            <w:webHidden/>
          </w:rPr>
          <w:fldChar w:fldCharType="begin"/>
        </w:r>
        <w:r>
          <w:rPr>
            <w:noProof/>
            <w:webHidden/>
          </w:rPr>
          <w:instrText xml:space="preserve"> PAGEREF _Toc51588809 \h </w:instrText>
        </w:r>
        <w:r>
          <w:rPr>
            <w:noProof/>
            <w:webHidden/>
          </w:rPr>
        </w:r>
        <w:r>
          <w:rPr>
            <w:noProof/>
            <w:webHidden/>
          </w:rPr>
          <w:fldChar w:fldCharType="separate"/>
        </w:r>
        <w:r>
          <w:rPr>
            <w:noProof/>
            <w:webHidden/>
          </w:rPr>
          <w:t>7</w:t>
        </w:r>
        <w:r>
          <w:rPr>
            <w:noProof/>
            <w:webHidden/>
          </w:rPr>
          <w:fldChar w:fldCharType="end"/>
        </w:r>
      </w:hyperlink>
    </w:p>
    <w:p w14:paraId="7CFBF01D" w14:textId="77777777" w:rsidR="00C96083" w:rsidRDefault="00C96083">
      <w:pPr>
        <w:pStyle w:val="TOC2"/>
        <w:tabs>
          <w:tab w:val="right" w:leader="dot" w:pos="8296"/>
        </w:tabs>
        <w:rPr>
          <w:rFonts w:asciiTheme="minorHAnsi" w:eastAsiaTheme="minorEastAsia" w:hAnsiTheme="minorHAnsi" w:cstheme="minorBidi"/>
          <w:smallCaps w:val="0"/>
          <w:noProof/>
          <w:sz w:val="22"/>
          <w:szCs w:val="22"/>
        </w:rPr>
      </w:pPr>
      <w:hyperlink w:anchor="_Toc51588810" w:history="1">
        <w:r w:rsidRPr="00572029">
          <w:rPr>
            <w:rStyle w:val="Hyperlink"/>
            <w:noProof/>
          </w:rPr>
          <w:t>5.3 Population/Sample size and justification</w:t>
        </w:r>
        <w:r>
          <w:rPr>
            <w:noProof/>
            <w:webHidden/>
          </w:rPr>
          <w:tab/>
        </w:r>
        <w:r>
          <w:rPr>
            <w:noProof/>
            <w:webHidden/>
          </w:rPr>
          <w:fldChar w:fldCharType="begin"/>
        </w:r>
        <w:r>
          <w:rPr>
            <w:noProof/>
            <w:webHidden/>
          </w:rPr>
          <w:instrText xml:space="preserve"> PAGEREF _Toc51588810 \h </w:instrText>
        </w:r>
        <w:r>
          <w:rPr>
            <w:noProof/>
            <w:webHidden/>
          </w:rPr>
        </w:r>
        <w:r>
          <w:rPr>
            <w:noProof/>
            <w:webHidden/>
          </w:rPr>
          <w:fldChar w:fldCharType="separate"/>
        </w:r>
        <w:r>
          <w:rPr>
            <w:noProof/>
            <w:webHidden/>
          </w:rPr>
          <w:t>8</w:t>
        </w:r>
        <w:r>
          <w:rPr>
            <w:noProof/>
            <w:webHidden/>
          </w:rPr>
          <w:fldChar w:fldCharType="end"/>
        </w:r>
      </w:hyperlink>
    </w:p>
    <w:p w14:paraId="6837710F" w14:textId="77777777" w:rsidR="00C96083" w:rsidRDefault="00C96083">
      <w:pPr>
        <w:pStyle w:val="TOC2"/>
        <w:tabs>
          <w:tab w:val="right" w:leader="dot" w:pos="8296"/>
        </w:tabs>
        <w:rPr>
          <w:rFonts w:asciiTheme="minorHAnsi" w:eastAsiaTheme="minorEastAsia" w:hAnsiTheme="minorHAnsi" w:cstheme="minorBidi"/>
          <w:smallCaps w:val="0"/>
          <w:noProof/>
          <w:sz w:val="22"/>
          <w:szCs w:val="22"/>
        </w:rPr>
      </w:pPr>
      <w:hyperlink w:anchor="_Toc51588811" w:history="1">
        <w:r w:rsidRPr="00572029">
          <w:rPr>
            <w:rStyle w:val="Hyperlink"/>
            <w:noProof/>
          </w:rPr>
          <w:t>5.4 Expected duration and what is involved for participants of the study</w:t>
        </w:r>
        <w:r>
          <w:rPr>
            <w:noProof/>
            <w:webHidden/>
          </w:rPr>
          <w:tab/>
        </w:r>
        <w:r>
          <w:rPr>
            <w:noProof/>
            <w:webHidden/>
          </w:rPr>
          <w:fldChar w:fldCharType="begin"/>
        </w:r>
        <w:r>
          <w:rPr>
            <w:noProof/>
            <w:webHidden/>
          </w:rPr>
          <w:instrText xml:space="preserve"> PAGEREF _Toc51588811 \h </w:instrText>
        </w:r>
        <w:r>
          <w:rPr>
            <w:noProof/>
            <w:webHidden/>
          </w:rPr>
        </w:r>
        <w:r>
          <w:rPr>
            <w:noProof/>
            <w:webHidden/>
          </w:rPr>
          <w:fldChar w:fldCharType="separate"/>
        </w:r>
        <w:r>
          <w:rPr>
            <w:noProof/>
            <w:webHidden/>
          </w:rPr>
          <w:t>8</w:t>
        </w:r>
        <w:r>
          <w:rPr>
            <w:noProof/>
            <w:webHidden/>
          </w:rPr>
          <w:fldChar w:fldCharType="end"/>
        </w:r>
      </w:hyperlink>
    </w:p>
    <w:p w14:paraId="31F93546" w14:textId="77777777" w:rsidR="00C96083" w:rsidRDefault="00C96083">
      <w:pPr>
        <w:pStyle w:val="TOC2"/>
        <w:tabs>
          <w:tab w:val="right" w:leader="dot" w:pos="8296"/>
        </w:tabs>
        <w:rPr>
          <w:rFonts w:asciiTheme="minorHAnsi" w:eastAsiaTheme="minorEastAsia" w:hAnsiTheme="minorHAnsi" w:cstheme="minorBidi"/>
          <w:smallCaps w:val="0"/>
          <w:noProof/>
          <w:sz w:val="22"/>
          <w:szCs w:val="22"/>
        </w:rPr>
      </w:pPr>
      <w:hyperlink w:anchor="_Toc51588812" w:history="1">
        <w:r w:rsidRPr="00572029">
          <w:rPr>
            <w:rStyle w:val="Hyperlink"/>
            <w:noProof/>
          </w:rPr>
          <w:t>5.5 Study outline</w:t>
        </w:r>
        <w:r>
          <w:rPr>
            <w:noProof/>
            <w:webHidden/>
          </w:rPr>
          <w:tab/>
        </w:r>
        <w:r>
          <w:rPr>
            <w:noProof/>
            <w:webHidden/>
          </w:rPr>
          <w:fldChar w:fldCharType="begin"/>
        </w:r>
        <w:r>
          <w:rPr>
            <w:noProof/>
            <w:webHidden/>
          </w:rPr>
          <w:instrText xml:space="preserve"> PAGEREF _Toc51588812 \h </w:instrText>
        </w:r>
        <w:r>
          <w:rPr>
            <w:noProof/>
            <w:webHidden/>
          </w:rPr>
        </w:r>
        <w:r>
          <w:rPr>
            <w:noProof/>
            <w:webHidden/>
          </w:rPr>
          <w:fldChar w:fldCharType="separate"/>
        </w:r>
        <w:r>
          <w:rPr>
            <w:noProof/>
            <w:webHidden/>
          </w:rPr>
          <w:t>8</w:t>
        </w:r>
        <w:r>
          <w:rPr>
            <w:noProof/>
            <w:webHidden/>
          </w:rPr>
          <w:fldChar w:fldCharType="end"/>
        </w:r>
      </w:hyperlink>
    </w:p>
    <w:p w14:paraId="407D9CB1" w14:textId="77777777" w:rsidR="00C96083" w:rsidRDefault="00C96083">
      <w:pPr>
        <w:pStyle w:val="TOC1"/>
        <w:tabs>
          <w:tab w:val="right" w:leader="dot" w:pos="8296"/>
        </w:tabs>
        <w:rPr>
          <w:rFonts w:asciiTheme="minorHAnsi" w:eastAsiaTheme="minorEastAsia" w:hAnsiTheme="minorHAnsi" w:cstheme="minorBidi"/>
          <w:b w:val="0"/>
          <w:bCs w:val="0"/>
          <w:caps w:val="0"/>
          <w:noProof/>
          <w:sz w:val="22"/>
          <w:szCs w:val="22"/>
        </w:rPr>
      </w:pPr>
      <w:hyperlink w:anchor="_Toc51588813" w:history="1">
        <w:r w:rsidRPr="00572029">
          <w:rPr>
            <w:rStyle w:val="Hyperlink"/>
            <w:rFonts w:cs="Arial"/>
            <w:noProof/>
          </w:rPr>
          <w:t>6 Data collection and analyses</w:t>
        </w:r>
        <w:r>
          <w:rPr>
            <w:noProof/>
            <w:webHidden/>
          </w:rPr>
          <w:tab/>
        </w:r>
        <w:r>
          <w:rPr>
            <w:noProof/>
            <w:webHidden/>
          </w:rPr>
          <w:fldChar w:fldCharType="begin"/>
        </w:r>
        <w:r>
          <w:rPr>
            <w:noProof/>
            <w:webHidden/>
          </w:rPr>
          <w:instrText xml:space="preserve"> PAGEREF _Toc51588813 \h </w:instrText>
        </w:r>
        <w:r>
          <w:rPr>
            <w:noProof/>
            <w:webHidden/>
          </w:rPr>
        </w:r>
        <w:r>
          <w:rPr>
            <w:noProof/>
            <w:webHidden/>
          </w:rPr>
          <w:fldChar w:fldCharType="separate"/>
        </w:r>
        <w:r>
          <w:rPr>
            <w:noProof/>
            <w:webHidden/>
          </w:rPr>
          <w:t>9</w:t>
        </w:r>
        <w:r>
          <w:rPr>
            <w:noProof/>
            <w:webHidden/>
          </w:rPr>
          <w:fldChar w:fldCharType="end"/>
        </w:r>
      </w:hyperlink>
    </w:p>
    <w:p w14:paraId="2DF0F91C" w14:textId="77777777" w:rsidR="00C96083" w:rsidRDefault="00C96083">
      <w:pPr>
        <w:pStyle w:val="TOC2"/>
        <w:tabs>
          <w:tab w:val="right" w:leader="dot" w:pos="8296"/>
        </w:tabs>
        <w:rPr>
          <w:rFonts w:asciiTheme="minorHAnsi" w:eastAsiaTheme="minorEastAsia" w:hAnsiTheme="minorHAnsi" w:cstheme="minorBidi"/>
          <w:smallCaps w:val="0"/>
          <w:noProof/>
          <w:sz w:val="22"/>
          <w:szCs w:val="22"/>
        </w:rPr>
      </w:pPr>
      <w:hyperlink w:anchor="_Toc51588814" w:history="1">
        <w:r w:rsidRPr="00572029">
          <w:rPr>
            <w:rStyle w:val="Hyperlink"/>
            <w:noProof/>
          </w:rPr>
          <w:t>6.1 Clinical assessment</w:t>
        </w:r>
        <w:r>
          <w:rPr>
            <w:noProof/>
            <w:webHidden/>
          </w:rPr>
          <w:tab/>
        </w:r>
        <w:r>
          <w:rPr>
            <w:noProof/>
            <w:webHidden/>
          </w:rPr>
          <w:fldChar w:fldCharType="begin"/>
        </w:r>
        <w:r>
          <w:rPr>
            <w:noProof/>
            <w:webHidden/>
          </w:rPr>
          <w:instrText xml:space="preserve"> PAGEREF _Toc51588814 \h </w:instrText>
        </w:r>
        <w:r>
          <w:rPr>
            <w:noProof/>
            <w:webHidden/>
          </w:rPr>
        </w:r>
        <w:r>
          <w:rPr>
            <w:noProof/>
            <w:webHidden/>
          </w:rPr>
          <w:fldChar w:fldCharType="separate"/>
        </w:r>
        <w:r>
          <w:rPr>
            <w:noProof/>
            <w:webHidden/>
          </w:rPr>
          <w:t>9</w:t>
        </w:r>
        <w:r>
          <w:rPr>
            <w:noProof/>
            <w:webHidden/>
          </w:rPr>
          <w:fldChar w:fldCharType="end"/>
        </w:r>
      </w:hyperlink>
    </w:p>
    <w:p w14:paraId="1091739A" w14:textId="77777777" w:rsidR="00C96083" w:rsidRDefault="00C96083">
      <w:pPr>
        <w:pStyle w:val="TOC3"/>
        <w:tabs>
          <w:tab w:val="right" w:leader="dot" w:pos="8296"/>
        </w:tabs>
        <w:rPr>
          <w:rFonts w:asciiTheme="minorHAnsi" w:eastAsiaTheme="minorEastAsia" w:hAnsiTheme="minorHAnsi" w:cstheme="minorBidi"/>
          <w:i w:val="0"/>
          <w:iCs w:val="0"/>
          <w:noProof/>
          <w:sz w:val="22"/>
          <w:szCs w:val="22"/>
        </w:rPr>
      </w:pPr>
      <w:hyperlink w:anchor="_Toc51588815" w:history="1">
        <w:r w:rsidRPr="00572029">
          <w:rPr>
            <w:rStyle w:val="Hyperlink"/>
            <w:rFonts w:eastAsia="Calibri" w:cs="Arial"/>
            <w:noProof/>
          </w:rPr>
          <w:t>6.1.1 Data analyses</w:t>
        </w:r>
        <w:r>
          <w:rPr>
            <w:noProof/>
            <w:webHidden/>
          </w:rPr>
          <w:tab/>
        </w:r>
        <w:r>
          <w:rPr>
            <w:noProof/>
            <w:webHidden/>
          </w:rPr>
          <w:fldChar w:fldCharType="begin"/>
        </w:r>
        <w:r>
          <w:rPr>
            <w:noProof/>
            <w:webHidden/>
          </w:rPr>
          <w:instrText xml:space="preserve"> PAGEREF _Toc51588815 \h </w:instrText>
        </w:r>
        <w:r>
          <w:rPr>
            <w:noProof/>
            <w:webHidden/>
          </w:rPr>
        </w:r>
        <w:r>
          <w:rPr>
            <w:noProof/>
            <w:webHidden/>
          </w:rPr>
          <w:fldChar w:fldCharType="separate"/>
        </w:r>
        <w:r>
          <w:rPr>
            <w:noProof/>
            <w:webHidden/>
          </w:rPr>
          <w:t>9</w:t>
        </w:r>
        <w:r>
          <w:rPr>
            <w:noProof/>
            <w:webHidden/>
          </w:rPr>
          <w:fldChar w:fldCharType="end"/>
        </w:r>
      </w:hyperlink>
    </w:p>
    <w:p w14:paraId="370C98E9" w14:textId="77777777" w:rsidR="00C96083" w:rsidRDefault="00C96083">
      <w:pPr>
        <w:pStyle w:val="TOC2"/>
        <w:tabs>
          <w:tab w:val="right" w:leader="dot" w:pos="8296"/>
        </w:tabs>
        <w:rPr>
          <w:rFonts w:asciiTheme="minorHAnsi" w:eastAsiaTheme="minorEastAsia" w:hAnsiTheme="minorHAnsi" w:cstheme="minorBidi"/>
          <w:smallCaps w:val="0"/>
          <w:noProof/>
          <w:sz w:val="22"/>
          <w:szCs w:val="22"/>
        </w:rPr>
      </w:pPr>
      <w:hyperlink w:anchor="_Toc51588816" w:history="1">
        <w:r w:rsidRPr="00572029">
          <w:rPr>
            <w:rStyle w:val="Hyperlink"/>
            <w:noProof/>
          </w:rPr>
          <w:t>6.2 Semi-structured interviews</w:t>
        </w:r>
        <w:r>
          <w:rPr>
            <w:noProof/>
            <w:webHidden/>
          </w:rPr>
          <w:tab/>
        </w:r>
        <w:r>
          <w:rPr>
            <w:noProof/>
            <w:webHidden/>
          </w:rPr>
          <w:fldChar w:fldCharType="begin"/>
        </w:r>
        <w:r>
          <w:rPr>
            <w:noProof/>
            <w:webHidden/>
          </w:rPr>
          <w:instrText xml:space="preserve"> PAGEREF _Toc51588816 \h </w:instrText>
        </w:r>
        <w:r>
          <w:rPr>
            <w:noProof/>
            <w:webHidden/>
          </w:rPr>
        </w:r>
        <w:r>
          <w:rPr>
            <w:noProof/>
            <w:webHidden/>
          </w:rPr>
          <w:fldChar w:fldCharType="separate"/>
        </w:r>
        <w:r>
          <w:rPr>
            <w:noProof/>
            <w:webHidden/>
          </w:rPr>
          <w:t>9</w:t>
        </w:r>
        <w:r>
          <w:rPr>
            <w:noProof/>
            <w:webHidden/>
          </w:rPr>
          <w:fldChar w:fldCharType="end"/>
        </w:r>
      </w:hyperlink>
    </w:p>
    <w:p w14:paraId="795304CC" w14:textId="77777777" w:rsidR="00C96083" w:rsidRDefault="00C96083">
      <w:pPr>
        <w:pStyle w:val="TOC3"/>
        <w:tabs>
          <w:tab w:val="right" w:leader="dot" w:pos="8296"/>
        </w:tabs>
        <w:rPr>
          <w:rFonts w:asciiTheme="minorHAnsi" w:eastAsiaTheme="minorEastAsia" w:hAnsiTheme="minorHAnsi" w:cstheme="minorBidi"/>
          <w:i w:val="0"/>
          <w:iCs w:val="0"/>
          <w:noProof/>
          <w:sz w:val="22"/>
          <w:szCs w:val="22"/>
        </w:rPr>
      </w:pPr>
      <w:hyperlink w:anchor="_Toc51588817" w:history="1">
        <w:r w:rsidRPr="00572029">
          <w:rPr>
            <w:rStyle w:val="Hyperlink"/>
            <w:rFonts w:cs="Arial"/>
            <w:noProof/>
          </w:rPr>
          <w:t>6.2.1 Data analyses</w:t>
        </w:r>
        <w:r>
          <w:rPr>
            <w:noProof/>
            <w:webHidden/>
          </w:rPr>
          <w:tab/>
        </w:r>
        <w:r>
          <w:rPr>
            <w:noProof/>
            <w:webHidden/>
          </w:rPr>
          <w:fldChar w:fldCharType="begin"/>
        </w:r>
        <w:r>
          <w:rPr>
            <w:noProof/>
            <w:webHidden/>
          </w:rPr>
          <w:instrText xml:space="preserve"> PAGEREF _Toc51588817 \h </w:instrText>
        </w:r>
        <w:r>
          <w:rPr>
            <w:noProof/>
            <w:webHidden/>
          </w:rPr>
        </w:r>
        <w:r>
          <w:rPr>
            <w:noProof/>
            <w:webHidden/>
          </w:rPr>
          <w:fldChar w:fldCharType="separate"/>
        </w:r>
        <w:r>
          <w:rPr>
            <w:noProof/>
            <w:webHidden/>
          </w:rPr>
          <w:t>9</w:t>
        </w:r>
        <w:r>
          <w:rPr>
            <w:noProof/>
            <w:webHidden/>
          </w:rPr>
          <w:fldChar w:fldCharType="end"/>
        </w:r>
      </w:hyperlink>
    </w:p>
    <w:p w14:paraId="00EC045E" w14:textId="77777777" w:rsidR="00C96083" w:rsidRDefault="00C96083">
      <w:pPr>
        <w:pStyle w:val="TOC2"/>
        <w:tabs>
          <w:tab w:val="right" w:leader="dot" w:pos="8296"/>
        </w:tabs>
        <w:rPr>
          <w:rFonts w:asciiTheme="minorHAnsi" w:eastAsiaTheme="minorEastAsia" w:hAnsiTheme="minorHAnsi" w:cstheme="minorBidi"/>
          <w:smallCaps w:val="0"/>
          <w:noProof/>
          <w:sz w:val="22"/>
          <w:szCs w:val="22"/>
        </w:rPr>
      </w:pPr>
      <w:hyperlink w:anchor="_Toc51588818" w:history="1">
        <w:r w:rsidRPr="00572029">
          <w:rPr>
            <w:rStyle w:val="Hyperlink"/>
            <w:noProof/>
          </w:rPr>
          <w:t>6.3 Data dissemination</w:t>
        </w:r>
        <w:r>
          <w:rPr>
            <w:noProof/>
            <w:webHidden/>
          </w:rPr>
          <w:tab/>
        </w:r>
        <w:r>
          <w:rPr>
            <w:noProof/>
            <w:webHidden/>
          </w:rPr>
          <w:fldChar w:fldCharType="begin"/>
        </w:r>
        <w:r>
          <w:rPr>
            <w:noProof/>
            <w:webHidden/>
          </w:rPr>
          <w:instrText xml:space="preserve"> PAGEREF _Toc51588818 \h </w:instrText>
        </w:r>
        <w:r>
          <w:rPr>
            <w:noProof/>
            <w:webHidden/>
          </w:rPr>
        </w:r>
        <w:r>
          <w:rPr>
            <w:noProof/>
            <w:webHidden/>
          </w:rPr>
          <w:fldChar w:fldCharType="separate"/>
        </w:r>
        <w:r>
          <w:rPr>
            <w:noProof/>
            <w:webHidden/>
          </w:rPr>
          <w:t>10</w:t>
        </w:r>
        <w:r>
          <w:rPr>
            <w:noProof/>
            <w:webHidden/>
          </w:rPr>
          <w:fldChar w:fldCharType="end"/>
        </w:r>
      </w:hyperlink>
    </w:p>
    <w:p w14:paraId="7970402B" w14:textId="77777777" w:rsidR="00C96083" w:rsidRDefault="00C96083">
      <w:pPr>
        <w:pStyle w:val="TOC1"/>
        <w:tabs>
          <w:tab w:val="right" w:leader="dot" w:pos="8296"/>
        </w:tabs>
        <w:rPr>
          <w:rFonts w:asciiTheme="minorHAnsi" w:eastAsiaTheme="minorEastAsia" w:hAnsiTheme="minorHAnsi" w:cstheme="minorBidi"/>
          <w:b w:val="0"/>
          <w:bCs w:val="0"/>
          <w:caps w:val="0"/>
          <w:noProof/>
          <w:sz w:val="22"/>
          <w:szCs w:val="22"/>
        </w:rPr>
      </w:pPr>
      <w:hyperlink w:anchor="_Toc51588819" w:history="1">
        <w:r w:rsidRPr="00572029">
          <w:rPr>
            <w:rStyle w:val="Hyperlink"/>
            <w:rFonts w:cs="Arial"/>
            <w:noProof/>
          </w:rPr>
          <w:t>7 Ethical considerations</w:t>
        </w:r>
        <w:r>
          <w:rPr>
            <w:noProof/>
            <w:webHidden/>
          </w:rPr>
          <w:tab/>
        </w:r>
        <w:r>
          <w:rPr>
            <w:noProof/>
            <w:webHidden/>
          </w:rPr>
          <w:fldChar w:fldCharType="begin"/>
        </w:r>
        <w:r>
          <w:rPr>
            <w:noProof/>
            <w:webHidden/>
          </w:rPr>
          <w:instrText xml:space="preserve"> PAGEREF _Toc51588819 \h </w:instrText>
        </w:r>
        <w:r>
          <w:rPr>
            <w:noProof/>
            <w:webHidden/>
          </w:rPr>
        </w:r>
        <w:r>
          <w:rPr>
            <w:noProof/>
            <w:webHidden/>
          </w:rPr>
          <w:fldChar w:fldCharType="separate"/>
        </w:r>
        <w:r>
          <w:rPr>
            <w:noProof/>
            <w:webHidden/>
          </w:rPr>
          <w:t>10</w:t>
        </w:r>
        <w:r>
          <w:rPr>
            <w:noProof/>
            <w:webHidden/>
          </w:rPr>
          <w:fldChar w:fldCharType="end"/>
        </w:r>
      </w:hyperlink>
    </w:p>
    <w:p w14:paraId="625AB066" w14:textId="77777777" w:rsidR="00C96083" w:rsidRDefault="00C96083">
      <w:pPr>
        <w:pStyle w:val="TOC2"/>
        <w:tabs>
          <w:tab w:val="right" w:leader="dot" w:pos="8296"/>
        </w:tabs>
        <w:rPr>
          <w:rFonts w:asciiTheme="minorHAnsi" w:eastAsiaTheme="minorEastAsia" w:hAnsiTheme="minorHAnsi" w:cstheme="minorBidi"/>
          <w:smallCaps w:val="0"/>
          <w:noProof/>
          <w:sz w:val="22"/>
          <w:szCs w:val="22"/>
        </w:rPr>
      </w:pPr>
      <w:hyperlink w:anchor="_Toc51588820" w:history="1">
        <w:r w:rsidRPr="00572029">
          <w:rPr>
            <w:rStyle w:val="Hyperlink"/>
            <w:noProof/>
          </w:rPr>
          <w:t>7.1 Informed consent</w:t>
        </w:r>
        <w:r>
          <w:rPr>
            <w:noProof/>
            <w:webHidden/>
          </w:rPr>
          <w:tab/>
        </w:r>
        <w:r>
          <w:rPr>
            <w:noProof/>
            <w:webHidden/>
          </w:rPr>
          <w:fldChar w:fldCharType="begin"/>
        </w:r>
        <w:r>
          <w:rPr>
            <w:noProof/>
            <w:webHidden/>
          </w:rPr>
          <w:instrText xml:space="preserve"> PAGEREF _Toc51588820 \h </w:instrText>
        </w:r>
        <w:r>
          <w:rPr>
            <w:noProof/>
            <w:webHidden/>
          </w:rPr>
        </w:r>
        <w:r>
          <w:rPr>
            <w:noProof/>
            <w:webHidden/>
          </w:rPr>
          <w:fldChar w:fldCharType="separate"/>
        </w:r>
        <w:r>
          <w:rPr>
            <w:noProof/>
            <w:webHidden/>
          </w:rPr>
          <w:t>10</w:t>
        </w:r>
        <w:r>
          <w:rPr>
            <w:noProof/>
            <w:webHidden/>
          </w:rPr>
          <w:fldChar w:fldCharType="end"/>
        </w:r>
      </w:hyperlink>
    </w:p>
    <w:p w14:paraId="4C2E2B52" w14:textId="77777777" w:rsidR="00C96083" w:rsidRDefault="00C96083">
      <w:pPr>
        <w:pStyle w:val="TOC2"/>
        <w:tabs>
          <w:tab w:val="right" w:leader="dot" w:pos="8296"/>
        </w:tabs>
        <w:rPr>
          <w:rFonts w:asciiTheme="minorHAnsi" w:eastAsiaTheme="minorEastAsia" w:hAnsiTheme="minorHAnsi" w:cstheme="minorBidi"/>
          <w:smallCaps w:val="0"/>
          <w:noProof/>
          <w:sz w:val="22"/>
          <w:szCs w:val="22"/>
        </w:rPr>
      </w:pPr>
      <w:hyperlink w:anchor="_Toc51588821" w:history="1">
        <w:r w:rsidRPr="00572029">
          <w:rPr>
            <w:rStyle w:val="Hyperlink"/>
            <w:noProof/>
          </w:rPr>
          <w:t>7.2 Confidentiality and Privacy</w:t>
        </w:r>
        <w:r>
          <w:rPr>
            <w:noProof/>
            <w:webHidden/>
          </w:rPr>
          <w:tab/>
        </w:r>
        <w:r>
          <w:rPr>
            <w:noProof/>
            <w:webHidden/>
          </w:rPr>
          <w:fldChar w:fldCharType="begin"/>
        </w:r>
        <w:r>
          <w:rPr>
            <w:noProof/>
            <w:webHidden/>
          </w:rPr>
          <w:instrText xml:space="preserve"> PAGEREF _Toc51588821 \h </w:instrText>
        </w:r>
        <w:r>
          <w:rPr>
            <w:noProof/>
            <w:webHidden/>
          </w:rPr>
        </w:r>
        <w:r>
          <w:rPr>
            <w:noProof/>
            <w:webHidden/>
          </w:rPr>
          <w:fldChar w:fldCharType="separate"/>
        </w:r>
        <w:r>
          <w:rPr>
            <w:noProof/>
            <w:webHidden/>
          </w:rPr>
          <w:t>10</w:t>
        </w:r>
        <w:r>
          <w:rPr>
            <w:noProof/>
            <w:webHidden/>
          </w:rPr>
          <w:fldChar w:fldCharType="end"/>
        </w:r>
      </w:hyperlink>
    </w:p>
    <w:p w14:paraId="2240C2B5" w14:textId="77777777" w:rsidR="00C96083" w:rsidRDefault="00C96083">
      <w:pPr>
        <w:pStyle w:val="TOC2"/>
        <w:tabs>
          <w:tab w:val="right" w:leader="dot" w:pos="8296"/>
        </w:tabs>
        <w:rPr>
          <w:rFonts w:asciiTheme="minorHAnsi" w:eastAsiaTheme="minorEastAsia" w:hAnsiTheme="minorHAnsi" w:cstheme="minorBidi"/>
          <w:smallCaps w:val="0"/>
          <w:noProof/>
          <w:sz w:val="22"/>
          <w:szCs w:val="22"/>
        </w:rPr>
      </w:pPr>
      <w:hyperlink w:anchor="_Toc51588822" w:history="1">
        <w:r w:rsidRPr="00572029">
          <w:rPr>
            <w:rStyle w:val="Hyperlink"/>
            <w:rFonts w:eastAsia="Calibri"/>
            <w:noProof/>
          </w:rPr>
          <w:t>7.3 Risk and benefits to participants</w:t>
        </w:r>
        <w:r>
          <w:rPr>
            <w:noProof/>
            <w:webHidden/>
          </w:rPr>
          <w:tab/>
        </w:r>
        <w:r>
          <w:rPr>
            <w:noProof/>
            <w:webHidden/>
          </w:rPr>
          <w:fldChar w:fldCharType="begin"/>
        </w:r>
        <w:r>
          <w:rPr>
            <w:noProof/>
            <w:webHidden/>
          </w:rPr>
          <w:instrText xml:space="preserve"> PAGEREF _Toc51588822 \h </w:instrText>
        </w:r>
        <w:r>
          <w:rPr>
            <w:noProof/>
            <w:webHidden/>
          </w:rPr>
        </w:r>
        <w:r>
          <w:rPr>
            <w:noProof/>
            <w:webHidden/>
          </w:rPr>
          <w:fldChar w:fldCharType="separate"/>
        </w:r>
        <w:r>
          <w:rPr>
            <w:noProof/>
            <w:webHidden/>
          </w:rPr>
          <w:t>11</w:t>
        </w:r>
        <w:r>
          <w:rPr>
            <w:noProof/>
            <w:webHidden/>
          </w:rPr>
          <w:fldChar w:fldCharType="end"/>
        </w:r>
      </w:hyperlink>
    </w:p>
    <w:p w14:paraId="297A4C08" w14:textId="77777777" w:rsidR="00C96083" w:rsidRDefault="00C96083">
      <w:pPr>
        <w:pStyle w:val="TOC1"/>
        <w:tabs>
          <w:tab w:val="right" w:leader="dot" w:pos="8296"/>
        </w:tabs>
        <w:rPr>
          <w:rFonts w:asciiTheme="minorHAnsi" w:eastAsiaTheme="minorEastAsia" w:hAnsiTheme="minorHAnsi" w:cstheme="minorBidi"/>
          <w:b w:val="0"/>
          <w:bCs w:val="0"/>
          <w:caps w:val="0"/>
          <w:noProof/>
          <w:sz w:val="22"/>
          <w:szCs w:val="22"/>
        </w:rPr>
      </w:pPr>
      <w:hyperlink w:anchor="_Toc51588823" w:history="1">
        <w:r w:rsidRPr="00572029">
          <w:rPr>
            <w:rStyle w:val="Hyperlink"/>
            <w:rFonts w:cs="Arial"/>
            <w:noProof/>
          </w:rPr>
          <w:t>8 References</w:t>
        </w:r>
        <w:r>
          <w:rPr>
            <w:noProof/>
            <w:webHidden/>
          </w:rPr>
          <w:tab/>
        </w:r>
        <w:r>
          <w:rPr>
            <w:noProof/>
            <w:webHidden/>
          </w:rPr>
          <w:fldChar w:fldCharType="begin"/>
        </w:r>
        <w:r>
          <w:rPr>
            <w:noProof/>
            <w:webHidden/>
          </w:rPr>
          <w:instrText xml:space="preserve"> PAGEREF _Toc51588823 \h </w:instrText>
        </w:r>
        <w:r>
          <w:rPr>
            <w:noProof/>
            <w:webHidden/>
          </w:rPr>
        </w:r>
        <w:r>
          <w:rPr>
            <w:noProof/>
            <w:webHidden/>
          </w:rPr>
          <w:fldChar w:fldCharType="separate"/>
        </w:r>
        <w:r>
          <w:rPr>
            <w:noProof/>
            <w:webHidden/>
          </w:rPr>
          <w:t>12</w:t>
        </w:r>
        <w:r>
          <w:rPr>
            <w:noProof/>
            <w:webHidden/>
          </w:rPr>
          <w:fldChar w:fldCharType="end"/>
        </w:r>
      </w:hyperlink>
    </w:p>
    <w:p w14:paraId="3572BCC1" w14:textId="77777777" w:rsidR="00F413D5" w:rsidRPr="00C46E12" w:rsidRDefault="00800AEF" w:rsidP="00C46E12">
      <w:pPr>
        <w:jc w:val="both"/>
        <w:rPr>
          <w:rFonts w:cs="Arial"/>
          <w:b/>
          <w:i/>
        </w:rPr>
      </w:pPr>
      <w:r w:rsidRPr="00C46E12">
        <w:rPr>
          <w:rFonts w:cs="Arial"/>
          <w:b/>
          <w:bCs/>
          <w:caps/>
          <w:sz w:val="20"/>
          <w:szCs w:val="20"/>
        </w:rPr>
        <w:fldChar w:fldCharType="end"/>
      </w:r>
    </w:p>
    <w:p w14:paraId="0DBFF5C8" w14:textId="77777777" w:rsidR="00D14BF9" w:rsidRPr="00C46E12" w:rsidRDefault="00556E53" w:rsidP="00C46E12">
      <w:pPr>
        <w:pStyle w:val="Heading1"/>
        <w:jc w:val="both"/>
        <w:rPr>
          <w:rFonts w:cs="Arial"/>
          <w:caps/>
        </w:rPr>
      </w:pPr>
      <w:bookmarkStart w:id="12" w:name="_Toc5734772"/>
      <w:bookmarkStart w:id="13" w:name="_Toc5734883"/>
      <w:bookmarkStart w:id="14" w:name="_Toc5735008"/>
      <w:bookmarkStart w:id="15" w:name="_GoBack"/>
      <w:bookmarkEnd w:id="0"/>
      <w:bookmarkEnd w:id="1"/>
      <w:bookmarkEnd w:id="2"/>
      <w:bookmarkEnd w:id="3"/>
      <w:bookmarkEnd w:id="4"/>
      <w:bookmarkEnd w:id="5"/>
      <w:bookmarkEnd w:id="6"/>
      <w:bookmarkEnd w:id="7"/>
      <w:bookmarkEnd w:id="8"/>
      <w:bookmarkEnd w:id="9"/>
      <w:bookmarkEnd w:id="15"/>
      <w:r w:rsidRPr="00C46E12">
        <w:rPr>
          <w:rFonts w:cs="Arial"/>
        </w:rPr>
        <w:br w:type="page"/>
      </w:r>
      <w:bookmarkStart w:id="16" w:name="_Toc51588800"/>
      <w:r w:rsidR="00D14BF9" w:rsidRPr="00C46E12">
        <w:rPr>
          <w:rFonts w:cs="Arial"/>
        </w:rPr>
        <w:lastRenderedPageBreak/>
        <w:t>P</w:t>
      </w:r>
      <w:r w:rsidR="00BE38B8" w:rsidRPr="00C46E12">
        <w:rPr>
          <w:rFonts w:cs="Arial"/>
        </w:rPr>
        <w:t>rotocol synopsis</w:t>
      </w:r>
      <w:bookmarkEnd w:id="12"/>
      <w:bookmarkEnd w:id="13"/>
      <w:bookmarkEnd w:id="14"/>
      <w:bookmarkEnd w:id="16"/>
    </w:p>
    <w:tbl>
      <w:tblPr>
        <w:tblpPr w:leftFromText="180" w:rightFromText="180" w:vertAnchor="text" w:horzAnchor="margin" w:tblpXSpec="right" w:tblpY="31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5962"/>
      </w:tblGrid>
      <w:tr w:rsidR="00D14BF9" w:rsidRPr="00C46E12" w14:paraId="0F3BB727" w14:textId="77777777" w:rsidTr="00257B23">
        <w:trPr>
          <w:trHeight w:val="283"/>
        </w:trPr>
        <w:tc>
          <w:tcPr>
            <w:tcW w:w="2651" w:type="dxa"/>
          </w:tcPr>
          <w:p w14:paraId="1844BFF1" w14:textId="77777777" w:rsidR="00D14BF9" w:rsidRPr="00C46E12" w:rsidRDefault="00D14BF9" w:rsidP="00C46E12">
            <w:pPr>
              <w:jc w:val="both"/>
              <w:rPr>
                <w:rFonts w:cs="Arial"/>
                <w:b/>
                <w:color w:val="000000"/>
                <w:sz w:val="20"/>
                <w:szCs w:val="22"/>
              </w:rPr>
            </w:pPr>
            <w:r w:rsidRPr="00C46E12">
              <w:rPr>
                <w:rFonts w:cs="Arial"/>
                <w:b/>
                <w:color w:val="000000"/>
                <w:sz w:val="20"/>
                <w:szCs w:val="22"/>
              </w:rPr>
              <w:t>Title</w:t>
            </w:r>
          </w:p>
          <w:p w14:paraId="20844291" w14:textId="77777777" w:rsidR="005438B1" w:rsidRPr="00C46E12" w:rsidRDefault="005438B1" w:rsidP="00C46E12">
            <w:pPr>
              <w:jc w:val="both"/>
              <w:rPr>
                <w:rFonts w:cs="Arial"/>
                <w:b/>
                <w:color w:val="000000"/>
                <w:sz w:val="20"/>
                <w:szCs w:val="22"/>
              </w:rPr>
            </w:pPr>
          </w:p>
          <w:p w14:paraId="0CFA6921" w14:textId="77777777" w:rsidR="005438B1" w:rsidRPr="00C46E12" w:rsidRDefault="005438B1" w:rsidP="00C46E12">
            <w:pPr>
              <w:jc w:val="both"/>
              <w:rPr>
                <w:rFonts w:cs="Arial"/>
                <w:b/>
                <w:color w:val="000000"/>
                <w:sz w:val="20"/>
                <w:szCs w:val="22"/>
              </w:rPr>
            </w:pPr>
          </w:p>
          <w:p w14:paraId="7D9FD028" w14:textId="0E48BF73" w:rsidR="005438B1" w:rsidRPr="00C46E12" w:rsidRDefault="005438B1" w:rsidP="00C46E12">
            <w:pPr>
              <w:jc w:val="both"/>
              <w:rPr>
                <w:rFonts w:cs="Arial"/>
                <w:b/>
                <w:color w:val="000000"/>
                <w:sz w:val="20"/>
                <w:szCs w:val="22"/>
              </w:rPr>
            </w:pPr>
          </w:p>
        </w:tc>
        <w:tc>
          <w:tcPr>
            <w:tcW w:w="5962" w:type="dxa"/>
          </w:tcPr>
          <w:p w14:paraId="0F74CF27" w14:textId="357E4BE5" w:rsidR="005438B1" w:rsidRPr="00FE412E" w:rsidRDefault="00C96083" w:rsidP="003513CC">
            <w:pPr>
              <w:spacing w:after="200"/>
              <w:contextualSpacing/>
              <w:rPr>
                <w:rFonts w:eastAsia="Calibri" w:cs="Arial"/>
                <w:spacing w:val="1"/>
                <w:szCs w:val="22"/>
              </w:rPr>
            </w:pPr>
            <w:r w:rsidRPr="00C96083">
              <w:rPr>
                <w:rFonts w:eastAsia="Calibri" w:cs="Arial"/>
                <w:spacing w:val="1"/>
                <w:szCs w:val="22"/>
              </w:rPr>
              <w:t>Evaluating a shared model of cancer follow-up care between general practitioners and radiation oncologists, for patients with breast, prostate or colorectal cancer</w:t>
            </w:r>
          </w:p>
        </w:tc>
      </w:tr>
      <w:tr w:rsidR="00C96083" w:rsidRPr="00C46E12" w14:paraId="652CD22E" w14:textId="77777777" w:rsidTr="00257B23">
        <w:trPr>
          <w:trHeight w:val="283"/>
        </w:trPr>
        <w:tc>
          <w:tcPr>
            <w:tcW w:w="2651" w:type="dxa"/>
          </w:tcPr>
          <w:p w14:paraId="3CDD0448" w14:textId="16B3E444" w:rsidR="00C96083" w:rsidRPr="00C46E12" w:rsidRDefault="00C96083" w:rsidP="00C46E12">
            <w:pPr>
              <w:jc w:val="both"/>
              <w:rPr>
                <w:rFonts w:cs="Arial"/>
                <w:b/>
                <w:color w:val="000000"/>
                <w:sz w:val="20"/>
                <w:szCs w:val="22"/>
              </w:rPr>
            </w:pPr>
            <w:r>
              <w:rPr>
                <w:rFonts w:cs="Arial"/>
                <w:b/>
                <w:color w:val="000000"/>
                <w:sz w:val="20"/>
                <w:szCs w:val="22"/>
              </w:rPr>
              <w:t>Scientific title</w:t>
            </w:r>
          </w:p>
        </w:tc>
        <w:tc>
          <w:tcPr>
            <w:tcW w:w="5962" w:type="dxa"/>
          </w:tcPr>
          <w:p w14:paraId="05FA0F62" w14:textId="7B7EC90B" w:rsidR="00C96083" w:rsidRPr="00C96083" w:rsidRDefault="00C96083" w:rsidP="003513CC">
            <w:pPr>
              <w:spacing w:after="200"/>
              <w:contextualSpacing/>
              <w:rPr>
                <w:rFonts w:eastAsia="Calibri" w:cs="Arial"/>
                <w:spacing w:val="1"/>
                <w:szCs w:val="22"/>
              </w:rPr>
            </w:pPr>
            <w:r w:rsidRPr="00C96083">
              <w:rPr>
                <w:rFonts w:eastAsia="Calibri" w:cs="Arial"/>
                <w:spacing w:val="1"/>
                <w:szCs w:val="22"/>
              </w:rPr>
              <w:t>Evaluating the acceptability, feasibility and efficacy of a shared model of cancer follow-up care utilising digital health tools and the transfer of clinical information between general practitioners and radiation oncologists, for patients with breast, prostate or colorectal cancer.</w:t>
            </w:r>
          </w:p>
        </w:tc>
      </w:tr>
      <w:tr w:rsidR="00D14BF9" w:rsidRPr="00C46E12" w14:paraId="0F41F030" w14:textId="77777777" w:rsidTr="00257B23">
        <w:trPr>
          <w:trHeight w:val="283"/>
        </w:trPr>
        <w:tc>
          <w:tcPr>
            <w:tcW w:w="2651" w:type="dxa"/>
          </w:tcPr>
          <w:p w14:paraId="00EE1E8D" w14:textId="77777777" w:rsidR="00D14BF9" w:rsidRPr="00C46E12" w:rsidRDefault="00D14BF9" w:rsidP="00C46E12">
            <w:pPr>
              <w:jc w:val="both"/>
              <w:rPr>
                <w:rFonts w:cs="Arial"/>
                <w:b/>
                <w:color w:val="000000"/>
                <w:sz w:val="20"/>
                <w:szCs w:val="22"/>
              </w:rPr>
            </w:pPr>
            <w:r w:rsidRPr="00C46E12">
              <w:rPr>
                <w:rFonts w:cs="Arial"/>
                <w:b/>
                <w:color w:val="000000"/>
                <w:sz w:val="20"/>
                <w:szCs w:val="22"/>
              </w:rPr>
              <w:t>Objectives</w:t>
            </w:r>
          </w:p>
          <w:p w14:paraId="4A16B05C" w14:textId="77777777" w:rsidR="00D14BF9" w:rsidRPr="00C46E12" w:rsidRDefault="00D14BF9" w:rsidP="00C46E12">
            <w:pPr>
              <w:jc w:val="both"/>
              <w:rPr>
                <w:rFonts w:cs="Arial"/>
                <w:b/>
                <w:color w:val="000000"/>
                <w:sz w:val="20"/>
                <w:szCs w:val="22"/>
              </w:rPr>
            </w:pPr>
          </w:p>
        </w:tc>
        <w:tc>
          <w:tcPr>
            <w:tcW w:w="5962" w:type="dxa"/>
          </w:tcPr>
          <w:p w14:paraId="6378888C" w14:textId="77777777" w:rsidR="005916F7" w:rsidRDefault="005916F7" w:rsidP="003513CC">
            <w:pPr>
              <w:pStyle w:val="ListParagraph"/>
              <w:numPr>
                <w:ilvl w:val="0"/>
                <w:numId w:val="19"/>
              </w:numPr>
              <w:spacing w:after="200"/>
              <w:ind w:left="326"/>
              <w:contextualSpacing/>
              <w:rPr>
                <w:rFonts w:eastAsia="Calibri" w:cs="Arial"/>
                <w:spacing w:val="1"/>
                <w:szCs w:val="22"/>
              </w:rPr>
            </w:pPr>
            <w:r w:rsidRPr="00FE412E">
              <w:rPr>
                <w:rFonts w:eastAsia="Calibri" w:cs="Arial"/>
                <w:spacing w:val="1"/>
                <w:szCs w:val="22"/>
              </w:rPr>
              <w:t>To determine the level of agreement</w:t>
            </w:r>
            <w:r w:rsidR="00556E53" w:rsidRPr="00FE412E">
              <w:rPr>
                <w:rFonts w:eastAsia="Calibri" w:cs="Arial"/>
                <w:spacing w:val="1"/>
                <w:szCs w:val="22"/>
              </w:rPr>
              <w:t xml:space="preserve"> (correlation)</w:t>
            </w:r>
            <w:r w:rsidRPr="00FE412E">
              <w:rPr>
                <w:rFonts w:eastAsia="Calibri" w:cs="Arial"/>
                <w:spacing w:val="1"/>
                <w:szCs w:val="22"/>
              </w:rPr>
              <w:t xml:space="preserve"> between general practitioners and radiation oncologist completing a cancer follow-up care assessment</w:t>
            </w:r>
          </w:p>
          <w:p w14:paraId="221B40F9" w14:textId="77777777" w:rsidR="00027646" w:rsidRPr="00FE412E" w:rsidRDefault="00027646" w:rsidP="00C96083">
            <w:pPr>
              <w:pStyle w:val="ListParagraph"/>
              <w:numPr>
                <w:ilvl w:val="0"/>
                <w:numId w:val="19"/>
              </w:numPr>
              <w:ind w:left="326"/>
              <w:contextualSpacing/>
              <w:rPr>
                <w:rFonts w:eastAsia="Calibri" w:cs="Arial"/>
                <w:spacing w:val="1"/>
                <w:szCs w:val="22"/>
              </w:rPr>
            </w:pPr>
            <w:r>
              <w:rPr>
                <w:rFonts w:eastAsia="Calibri" w:cs="Arial"/>
                <w:spacing w:val="1"/>
                <w:szCs w:val="22"/>
              </w:rPr>
              <w:t xml:space="preserve">To implement </w:t>
            </w:r>
            <w:r w:rsidR="00C82358">
              <w:rPr>
                <w:rFonts w:eastAsia="Calibri" w:cs="Arial"/>
                <w:spacing w:val="1"/>
                <w:szCs w:val="22"/>
              </w:rPr>
              <w:t xml:space="preserve">a </w:t>
            </w:r>
            <w:r>
              <w:rPr>
                <w:rFonts w:eastAsia="Calibri" w:cs="Arial"/>
                <w:spacing w:val="1"/>
                <w:szCs w:val="22"/>
              </w:rPr>
              <w:t>shared-care c</w:t>
            </w:r>
            <w:r w:rsidR="00CE4DBB">
              <w:rPr>
                <w:rFonts w:eastAsia="Calibri" w:cs="Arial"/>
                <w:spacing w:val="1"/>
                <w:szCs w:val="22"/>
              </w:rPr>
              <w:t xml:space="preserve">ancer follow-up </w:t>
            </w:r>
            <w:r w:rsidR="00C82358">
              <w:rPr>
                <w:rFonts w:eastAsia="Calibri" w:cs="Arial"/>
                <w:spacing w:val="1"/>
                <w:szCs w:val="22"/>
              </w:rPr>
              <w:t xml:space="preserve">model </w:t>
            </w:r>
            <w:r w:rsidR="00CE4DBB">
              <w:rPr>
                <w:rFonts w:eastAsia="Calibri" w:cs="Arial"/>
                <w:spacing w:val="1"/>
                <w:szCs w:val="22"/>
              </w:rPr>
              <w:t>in general prac</w:t>
            </w:r>
            <w:r>
              <w:rPr>
                <w:rFonts w:eastAsia="Calibri" w:cs="Arial"/>
                <w:spacing w:val="1"/>
                <w:szCs w:val="22"/>
              </w:rPr>
              <w:t>tice</w:t>
            </w:r>
          </w:p>
          <w:p w14:paraId="0A984955" w14:textId="77777777" w:rsidR="00D14BF9" w:rsidRPr="00FE412E" w:rsidRDefault="00606728" w:rsidP="00C96083">
            <w:pPr>
              <w:numPr>
                <w:ilvl w:val="0"/>
                <w:numId w:val="19"/>
              </w:numPr>
              <w:ind w:left="326"/>
              <w:contextualSpacing/>
              <w:rPr>
                <w:rFonts w:eastAsia="Calibri" w:cs="Arial"/>
                <w:spacing w:val="1"/>
                <w:szCs w:val="22"/>
              </w:rPr>
            </w:pPr>
            <w:r w:rsidRPr="00FE412E">
              <w:rPr>
                <w:rFonts w:eastAsia="Calibri" w:cs="Arial"/>
                <w:spacing w:val="1"/>
                <w:szCs w:val="22"/>
              </w:rPr>
              <w:t>T</w:t>
            </w:r>
            <w:r w:rsidR="00F94A20" w:rsidRPr="00FE412E">
              <w:rPr>
                <w:rFonts w:eastAsia="Calibri" w:cs="Arial"/>
                <w:szCs w:val="22"/>
              </w:rPr>
              <w:t xml:space="preserve">o evaluate the feasibility, acceptability and efficacy of </w:t>
            </w:r>
            <w:r w:rsidR="00C82358">
              <w:rPr>
                <w:rFonts w:eastAsia="Calibri" w:cs="Arial"/>
                <w:szCs w:val="22"/>
              </w:rPr>
              <w:t xml:space="preserve">this </w:t>
            </w:r>
            <w:r w:rsidR="00F94A20" w:rsidRPr="00FE412E">
              <w:rPr>
                <w:rFonts w:eastAsia="Calibri" w:cs="Arial"/>
                <w:szCs w:val="22"/>
              </w:rPr>
              <w:t xml:space="preserve">shared-care </w:t>
            </w:r>
            <w:r w:rsidRPr="00FE412E">
              <w:rPr>
                <w:rFonts w:eastAsia="Calibri" w:cs="Arial"/>
                <w:szCs w:val="22"/>
              </w:rPr>
              <w:t>follow-up</w:t>
            </w:r>
            <w:r w:rsidR="00F94A20" w:rsidRPr="00FE412E">
              <w:rPr>
                <w:rFonts w:eastAsia="Calibri" w:cs="Arial"/>
                <w:szCs w:val="22"/>
              </w:rPr>
              <w:t xml:space="preserve"> </w:t>
            </w:r>
            <w:r w:rsidR="00C82358">
              <w:rPr>
                <w:rFonts w:eastAsia="Calibri" w:cs="Arial"/>
                <w:szCs w:val="22"/>
              </w:rPr>
              <w:t xml:space="preserve">model </w:t>
            </w:r>
            <w:r w:rsidR="003513CC">
              <w:rPr>
                <w:rFonts w:eastAsia="Calibri" w:cs="Arial"/>
                <w:szCs w:val="22"/>
              </w:rPr>
              <w:t xml:space="preserve">to </w:t>
            </w:r>
            <w:r w:rsidR="00F94A20" w:rsidRPr="00FE412E">
              <w:rPr>
                <w:rFonts w:eastAsia="Calibri" w:cs="Arial"/>
                <w:szCs w:val="22"/>
              </w:rPr>
              <w:t>patients, general practitioners and radiation oncologists.</w:t>
            </w:r>
          </w:p>
        </w:tc>
      </w:tr>
      <w:tr w:rsidR="00D14BF9" w:rsidRPr="00C46E12" w14:paraId="44958063" w14:textId="77777777" w:rsidTr="00257B23">
        <w:trPr>
          <w:trHeight w:val="283"/>
        </w:trPr>
        <w:tc>
          <w:tcPr>
            <w:tcW w:w="2651" w:type="dxa"/>
          </w:tcPr>
          <w:p w14:paraId="6FA81EA7" w14:textId="77777777" w:rsidR="00D14BF9" w:rsidRPr="00C46E12" w:rsidRDefault="00D14BF9" w:rsidP="00C46E12">
            <w:pPr>
              <w:jc w:val="both"/>
              <w:rPr>
                <w:rFonts w:cs="Arial"/>
                <w:b/>
                <w:color w:val="000000"/>
                <w:sz w:val="20"/>
                <w:szCs w:val="22"/>
              </w:rPr>
            </w:pPr>
            <w:r w:rsidRPr="00C46E12">
              <w:rPr>
                <w:rFonts w:cs="Arial"/>
                <w:b/>
                <w:color w:val="000000"/>
                <w:sz w:val="20"/>
                <w:szCs w:val="22"/>
              </w:rPr>
              <w:t>Study Design</w:t>
            </w:r>
          </w:p>
        </w:tc>
        <w:tc>
          <w:tcPr>
            <w:tcW w:w="5962" w:type="dxa"/>
          </w:tcPr>
          <w:p w14:paraId="1FACD5DF" w14:textId="42BBA1F8" w:rsidR="00D14BF9" w:rsidRPr="00FE412E" w:rsidRDefault="007D0075" w:rsidP="003513CC">
            <w:pPr>
              <w:rPr>
                <w:rFonts w:cs="Arial"/>
                <w:color w:val="000000"/>
                <w:szCs w:val="22"/>
              </w:rPr>
            </w:pPr>
            <w:r>
              <w:rPr>
                <w:rFonts w:cs="Arial"/>
                <w:color w:val="000000"/>
                <w:szCs w:val="22"/>
              </w:rPr>
              <w:t>Multi-</w:t>
            </w:r>
            <w:r w:rsidR="00556E53" w:rsidRPr="00FE412E">
              <w:rPr>
                <w:rFonts w:cs="Arial"/>
                <w:color w:val="000000"/>
                <w:szCs w:val="22"/>
              </w:rPr>
              <w:t>methods i</w:t>
            </w:r>
            <w:r w:rsidR="00461CEC" w:rsidRPr="00FE412E">
              <w:rPr>
                <w:rFonts w:cs="Arial"/>
                <w:color w:val="000000"/>
                <w:szCs w:val="22"/>
              </w:rPr>
              <w:t>mplementation</w:t>
            </w:r>
            <w:r w:rsidR="00D14BF9" w:rsidRPr="00FE412E">
              <w:rPr>
                <w:rFonts w:cs="Arial"/>
                <w:color w:val="000000"/>
                <w:szCs w:val="22"/>
              </w:rPr>
              <w:t xml:space="preserve"> study</w:t>
            </w:r>
            <w:r w:rsidR="00556E53" w:rsidRPr="00FE412E">
              <w:rPr>
                <w:rFonts w:cs="Arial"/>
                <w:color w:val="000000"/>
                <w:szCs w:val="22"/>
              </w:rPr>
              <w:t xml:space="preserve"> design </w:t>
            </w:r>
          </w:p>
        </w:tc>
      </w:tr>
      <w:tr w:rsidR="00556E53" w:rsidRPr="00C46E12" w14:paraId="7A56C72C" w14:textId="77777777" w:rsidTr="00257B23">
        <w:trPr>
          <w:trHeight w:val="283"/>
        </w:trPr>
        <w:tc>
          <w:tcPr>
            <w:tcW w:w="2651" w:type="dxa"/>
          </w:tcPr>
          <w:p w14:paraId="366B2E88" w14:textId="77777777" w:rsidR="00556E53" w:rsidRPr="00C46E12" w:rsidRDefault="00556E53" w:rsidP="00C46E12">
            <w:pPr>
              <w:jc w:val="both"/>
              <w:rPr>
                <w:rFonts w:cs="Arial"/>
                <w:b/>
                <w:color w:val="000000"/>
                <w:sz w:val="20"/>
                <w:szCs w:val="22"/>
              </w:rPr>
            </w:pPr>
            <w:r w:rsidRPr="00C46E12">
              <w:rPr>
                <w:rFonts w:cs="Arial"/>
                <w:b/>
                <w:color w:val="000000"/>
                <w:sz w:val="20"/>
                <w:szCs w:val="22"/>
              </w:rPr>
              <w:t>Study sites</w:t>
            </w:r>
          </w:p>
        </w:tc>
        <w:tc>
          <w:tcPr>
            <w:tcW w:w="5962" w:type="dxa"/>
          </w:tcPr>
          <w:p w14:paraId="48E4E5B5" w14:textId="77777777" w:rsidR="00556E53" w:rsidRPr="00FE412E" w:rsidRDefault="00556E53" w:rsidP="003513CC">
            <w:pPr>
              <w:numPr>
                <w:ilvl w:val="0"/>
                <w:numId w:val="37"/>
              </w:numPr>
              <w:rPr>
                <w:rFonts w:cs="Arial"/>
                <w:color w:val="000000"/>
                <w:szCs w:val="22"/>
              </w:rPr>
            </w:pPr>
            <w:r w:rsidRPr="00FE412E">
              <w:rPr>
                <w:rFonts w:cs="Arial"/>
                <w:color w:val="000000"/>
                <w:szCs w:val="22"/>
              </w:rPr>
              <w:t>Wollongong Hospital</w:t>
            </w:r>
          </w:p>
          <w:p w14:paraId="104D237A" w14:textId="77777777" w:rsidR="00556E53" w:rsidRPr="00FE412E" w:rsidRDefault="00556E53" w:rsidP="003513CC">
            <w:pPr>
              <w:numPr>
                <w:ilvl w:val="0"/>
                <w:numId w:val="37"/>
              </w:numPr>
              <w:rPr>
                <w:rFonts w:cs="Arial"/>
                <w:color w:val="000000"/>
                <w:szCs w:val="22"/>
              </w:rPr>
            </w:pPr>
            <w:r w:rsidRPr="00FE412E">
              <w:rPr>
                <w:rFonts w:cs="Arial"/>
                <w:color w:val="000000"/>
                <w:szCs w:val="22"/>
              </w:rPr>
              <w:t>Shoalhaven District Memorial Hospital</w:t>
            </w:r>
          </w:p>
        </w:tc>
      </w:tr>
      <w:tr w:rsidR="00D14BF9" w:rsidRPr="00C46E12" w14:paraId="7F1E4C94" w14:textId="77777777" w:rsidTr="00257B23">
        <w:trPr>
          <w:trHeight w:val="283"/>
        </w:trPr>
        <w:tc>
          <w:tcPr>
            <w:tcW w:w="2651" w:type="dxa"/>
          </w:tcPr>
          <w:p w14:paraId="6E23EA9A" w14:textId="77777777" w:rsidR="00D14BF9" w:rsidRPr="00C46E12" w:rsidRDefault="00D14BF9" w:rsidP="00C46E12">
            <w:pPr>
              <w:jc w:val="both"/>
              <w:rPr>
                <w:rFonts w:cs="Arial"/>
                <w:b/>
                <w:color w:val="000000"/>
                <w:sz w:val="20"/>
                <w:szCs w:val="22"/>
              </w:rPr>
            </w:pPr>
            <w:r w:rsidRPr="00C46E12">
              <w:rPr>
                <w:rFonts w:cs="Arial"/>
                <w:b/>
                <w:color w:val="000000"/>
                <w:sz w:val="20"/>
                <w:szCs w:val="22"/>
              </w:rPr>
              <w:t>Planned Sample Size</w:t>
            </w:r>
          </w:p>
        </w:tc>
        <w:tc>
          <w:tcPr>
            <w:tcW w:w="5962" w:type="dxa"/>
          </w:tcPr>
          <w:p w14:paraId="72EC0D74" w14:textId="77777777" w:rsidR="007D28BE" w:rsidRPr="00FE412E" w:rsidRDefault="00606728" w:rsidP="003513CC">
            <w:pPr>
              <w:rPr>
                <w:rFonts w:cs="Arial"/>
                <w:color w:val="000000"/>
                <w:szCs w:val="22"/>
              </w:rPr>
            </w:pPr>
            <w:r w:rsidRPr="00FE412E">
              <w:rPr>
                <w:rFonts w:cs="Arial"/>
                <w:color w:val="000000"/>
                <w:szCs w:val="22"/>
              </w:rPr>
              <w:t xml:space="preserve">20 triads </w:t>
            </w:r>
            <w:r w:rsidR="007D28BE" w:rsidRPr="00FE412E">
              <w:rPr>
                <w:rFonts w:cs="Arial"/>
                <w:color w:val="000000"/>
                <w:szCs w:val="22"/>
              </w:rPr>
              <w:t>comprised</w:t>
            </w:r>
            <w:r w:rsidRPr="00FE412E">
              <w:rPr>
                <w:rFonts w:cs="Arial"/>
                <w:color w:val="000000"/>
                <w:szCs w:val="22"/>
              </w:rPr>
              <w:t xml:space="preserve"> of patients, general practitio</w:t>
            </w:r>
            <w:r w:rsidR="00461CEC" w:rsidRPr="00FE412E">
              <w:rPr>
                <w:rFonts w:cs="Arial"/>
                <w:color w:val="000000"/>
                <w:szCs w:val="22"/>
              </w:rPr>
              <w:t xml:space="preserve">ners and radiation oncologists. </w:t>
            </w:r>
          </w:p>
          <w:p w14:paraId="64CD108D" w14:textId="77777777" w:rsidR="007D28BE" w:rsidRPr="00FE412E" w:rsidRDefault="007D28BE" w:rsidP="003513CC">
            <w:pPr>
              <w:rPr>
                <w:rFonts w:cs="Arial"/>
                <w:color w:val="000000"/>
                <w:szCs w:val="22"/>
              </w:rPr>
            </w:pPr>
          </w:p>
          <w:p w14:paraId="2A00E357" w14:textId="77777777" w:rsidR="00606728" w:rsidRPr="00FE412E" w:rsidRDefault="00606728" w:rsidP="003513CC">
            <w:pPr>
              <w:rPr>
                <w:rFonts w:cs="Arial"/>
                <w:color w:val="000000"/>
                <w:szCs w:val="22"/>
              </w:rPr>
            </w:pPr>
            <w:r w:rsidRPr="00FE412E">
              <w:rPr>
                <w:rFonts w:cs="Arial"/>
                <w:color w:val="000000"/>
                <w:szCs w:val="22"/>
              </w:rPr>
              <w:t xml:space="preserve">10 from Wollongong and 10 from Nowra. </w:t>
            </w:r>
          </w:p>
        </w:tc>
      </w:tr>
      <w:tr w:rsidR="00D14BF9" w:rsidRPr="00C46E12" w14:paraId="73C35F0D" w14:textId="77777777" w:rsidTr="00257B23">
        <w:trPr>
          <w:trHeight w:val="283"/>
        </w:trPr>
        <w:tc>
          <w:tcPr>
            <w:tcW w:w="2651" w:type="dxa"/>
          </w:tcPr>
          <w:p w14:paraId="486CD103" w14:textId="77777777" w:rsidR="00D14BF9" w:rsidRPr="00C46E12" w:rsidRDefault="00D14BF9" w:rsidP="00C46E12">
            <w:pPr>
              <w:jc w:val="both"/>
              <w:rPr>
                <w:rFonts w:cs="Arial"/>
                <w:b/>
                <w:color w:val="000000"/>
                <w:sz w:val="20"/>
                <w:szCs w:val="22"/>
              </w:rPr>
            </w:pPr>
            <w:r w:rsidRPr="00C46E12">
              <w:rPr>
                <w:rFonts w:cs="Arial"/>
                <w:b/>
                <w:color w:val="000000"/>
                <w:sz w:val="20"/>
                <w:szCs w:val="22"/>
              </w:rPr>
              <w:t>Selection Criteria</w:t>
            </w:r>
          </w:p>
        </w:tc>
        <w:tc>
          <w:tcPr>
            <w:tcW w:w="5962" w:type="dxa"/>
          </w:tcPr>
          <w:p w14:paraId="119B34B0" w14:textId="77777777" w:rsidR="005438B1" w:rsidRPr="00FE412E" w:rsidRDefault="00D14BF9" w:rsidP="003513CC">
            <w:pPr>
              <w:numPr>
                <w:ilvl w:val="0"/>
                <w:numId w:val="28"/>
              </w:numPr>
              <w:rPr>
                <w:rFonts w:cs="Arial"/>
                <w:color w:val="000000"/>
                <w:szCs w:val="22"/>
              </w:rPr>
            </w:pPr>
            <w:r w:rsidRPr="00FE412E">
              <w:rPr>
                <w:rFonts w:cs="Arial"/>
                <w:color w:val="000000"/>
                <w:szCs w:val="22"/>
              </w:rPr>
              <w:t xml:space="preserve">Patient </w:t>
            </w:r>
            <w:r w:rsidRPr="00FE412E">
              <w:rPr>
                <w:rFonts w:eastAsia="Calibri" w:cs="Arial"/>
                <w:szCs w:val="22"/>
              </w:rPr>
              <w:t>with a previous diagnosis of</w:t>
            </w:r>
            <w:r w:rsidR="00C30F99" w:rsidRPr="00FE412E">
              <w:rPr>
                <w:rFonts w:eastAsia="Calibri" w:cs="Arial"/>
                <w:szCs w:val="22"/>
              </w:rPr>
              <w:t xml:space="preserve"> breast, colorectal </w:t>
            </w:r>
            <w:r w:rsidRPr="00FE412E">
              <w:rPr>
                <w:rFonts w:eastAsia="Calibri" w:cs="Arial"/>
                <w:szCs w:val="22"/>
              </w:rPr>
              <w:t>or prostate cancer</w:t>
            </w:r>
          </w:p>
          <w:p w14:paraId="0A40FA30" w14:textId="77777777" w:rsidR="00D14BF9" w:rsidRPr="00FE412E" w:rsidRDefault="00D14BF9" w:rsidP="003513CC">
            <w:pPr>
              <w:numPr>
                <w:ilvl w:val="0"/>
                <w:numId w:val="28"/>
              </w:numPr>
              <w:rPr>
                <w:rFonts w:cs="Arial"/>
                <w:color w:val="000000"/>
                <w:szCs w:val="22"/>
              </w:rPr>
            </w:pPr>
            <w:r w:rsidRPr="00FE412E">
              <w:rPr>
                <w:rFonts w:cs="Arial"/>
                <w:szCs w:val="22"/>
              </w:rPr>
              <w:t>Received curative radiotherapy treatment (not palliative treatment)</w:t>
            </w:r>
          </w:p>
          <w:p w14:paraId="79CACA64" w14:textId="77777777" w:rsidR="00606728" w:rsidRPr="00FE412E" w:rsidRDefault="007D28BE" w:rsidP="003513CC">
            <w:pPr>
              <w:numPr>
                <w:ilvl w:val="0"/>
                <w:numId w:val="28"/>
              </w:numPr>
              <w:rPr>
                <w:rFonts w:cs="Arial"/>
                <w:color w:val="000000"/>
                <w:szCs w:val="22"/>
              </w:rPr>
            </w:pPr>
            <w:r w:rsidRPr="00FE412E">
              <w:rPr>
                <w:rFonts w:cs="Arial"/>
                <w:szCs w:val="22"/>
              </w:rPr>
              <w:t>A</w:t>
            </w:r>
            <w:r w:rsidR="00CE4DBB">
              <w:rPr>
                <w:rFonts w:cs="Arial"/>
                <w:szCs w:val="22"/>
              </w:rPr>
              <w:t>pproaching three-</w:t>
            </w:r>
            <w:r w:rsidR="00606728" w:rsidRPr="00FE412E">
              <w:rPr>
                <w:rFonts w:cs="Arial"/>
                <w:szCs w:val="22"/>
              </w:rPr>
              <w:t>years post-radiotherapy treatment</w:t>
            </w:r>
          </w:p>
        </w:tc>
      </w:tr>
      <w:tr w:rsidR="00D14BF9" w:rsidRPr="00C46E12" w14:paraId="6966CE21" w14:textId="77777777" w:rsidTr="00257B23">
        <w:trPr>
          <w:trHeight w:val="283"/>
        </w:trPr>
        <w:tc>
          <w:tcPr>
            <w:tcW w:w="2651" w:type="dxa"/>
          </w:tcPr>
          <w:p w14:paraId="29227853" w14:textId="77777777" w:rsidR="00D14BF9" w:rsidRPr="00C46E12" w:rsidRDefault="00482597" w:rsidP="00C46E12">
            <w:pPr>
              <w:jc w:val="both"/>
              <w:rPr>
                <w:rFonts w:cs="Arial"/>
                <w:b/>
                <w:color w:val="000000"/>
                <w:sz w:val="20"/>
                <w:szCs w:val="22"/>
              </w:rPr>
            </w:pPr>
            <w:r w:rsidRPr="00C46E12">
              <w:rPr>
                <w:rFonts w:cs="Arial"/>
                <w:b/>
                <w:color w:val="000000"/>
                <w:sz w:val="20"/>
                <w:szCs w:val="22"/>
              </w:rPr>
              <w:t>Data collection and</w:t>
            </w:r>
          </w:p>
          <w:p w14:paraId="2A6ED2B5" w14:textId="77777777" w:rsidR="00D14BF9" w:rsidRPr="00C46E12" w:rsidRDefault="00482597" w:rsidP="00C46E12">
            <w:pPr>
              <w:jc w:val="both"/>
              <w:rPr>
                <w:rFonts w:cs="Arial"/>
                <w:b/>
                <w:color w:val="000000"/>
                <w:sz w:val="20"/>
                <w:szCs w:val="22"/>
              </w:rPr>
            </w:pPr>
            <w:r w:rsidRPr="00C46E12">
              <w:rPr>
                <w:rFonts w:cs="Arial"/>
                <w:b/>
                <w:color w:val="000000"/>
                <w:sz w:val="20"/>
                <w:szCs w:val="22"/>
              </w:rPr>
              <w:t>a</w:t>
            </w:r>
            <w:r w:rsidR="00D14BF9" w:rsidRPr="00C46E12">
              <w:rPr>
                <w:rFonts w:cs="Arial"/>
                <w:b/>
                <w:color w:val="000000"/>
                <w:sz w:val="20"/>
                <w:szCs w:val="22"/>
              </w:rPr>
              <w:t>nalysis:</w:t>
            </w:r>
          </w:p>
        </w:tc>
        <w:tc>
          <w:tcPr>
            <w:tcW w:w="5962" w:type="dxa"/>
          </w:tcPr>
          <w:p w14:paraId="78963953" w14:textId="77777777" w:rsidR="00D14BF9" w:rsidRPr="00FE412E" w:rsidRDefault="00556E53" w:rsidP="003513CC">
            <w:pPr>
              <w:numPr>
                <w:ilvl w:val="0"/>
                <w:numId w:val="28"/>
              </w:numPr>
              <w:rPr>
                <w:rFonts w:cs="Arial"/>
                <w:color w:val="000000"/>
                <w:szCs w:val="22"/>
              </w:rPr>
            </w:pPr>
            <w:r w:rsidRPr="00FE412E">
              <w:rPr>
                <w:rFonts w:cs="Arial"/>
                <w:color w:val="000000"/>
                <w:szCs w:val="22"/>
              </w:rPr>
              <w:t>Clinical assessment from Oncology Information System MOSAIQ:</w:t>
            </w:r>
          </w:p>
          <w:p w14:paraId="3622219C" w14:textId="77777777" w:rsidR="00556E53" w:rsidRPr="00FE412E" w:rsidRDefault="00556E53" w:rsidP="003513CC">
            <w:pPr>
              <w:ind w:left="360"/>
              <w:rPr>
                <w:rFonts w:cs="Arial"/>
                <w:color w:val="000000"/>
                <w:szCs w:val="22"/>
              </w:rPr>
            </w:pPr>
            <w:r w:rsidRPr="00FE412E">
              <w:rPr>
                <w:rFonts w:cs="Arial"/>
                <w:color w:val="000000"/>
                <w:szCs w:val="22"/>
              </w:rPr>
              <w:t xml:space="preserve">                     - </w:t>
            </w:r>
            <w:r w:rsidR="00482597" w:rsidRPr="00FE412E">
              <w:rPr>
                <w:rFonts w:cs="Arial"/>
                <w:color w:val="000000"/>
                <w:szCs w:val="22"/>
              </w:rPr>
              <w:t xml:space="preserve"> </w:t>
            </w:r>
            <w:r w:rsidR="00D44F1E">
              <w:rPr>
                <w:rFonts w:cs="Arial"/>
                <w:color w:val="000000"/>
                <w:szCs w:val="22"/>
              </w:rPr>
              <w:t>C</w:t>
            </w:r>
            <w:r w:rsidRPr="00FE412E">
              <w:rPr>
                <w:rFonts w:cs="Arial"/>
                <w:color w:val="000000"/>
                <w:szCs w:val="22"/>
              </w:rPr>
              <w:t>ohen</w:t>
            </w:r>
            <w:r w:rsidR="00794313">
              <w:rPr>
                <w:rFonts w:cs="Arial"/>
                <w:color w:val="000000"/>
                <w:szCs w:val="22"/>
              </w:rPr>
              <w:t>’</w:t>
            </w:r>
            <w:r w:rsidRPr="00FE412E">
              <w:rPr>
                <w:rFonts w:cs="Arial"/>
                <w:color w:val="000000"/>
                <w:szCs w:val="22"/>
              </w:rPr>
              <w:t xml:space="preserve">s </w:t>
            </w:r>
            <w:r w:rsidR="00794313">
              <w:rPr>
                <w:rFonts w:cs="Arial"/>
                <w:color w:val="000000"/>
                <w:szCs w:val="22"/>
              </w:rPr>
              <w:t>k</w:t>
            </w:r>
            <w:r w:rsidRPr="00FE412E">
              <w:rPr>
                <w:rFonts w:cs="Arial"/>
                <w:color w:val="000000"/>
                <w:szCs w:val="22"/>
              </w:rPr>
              <w:t>appa</w:t>
            </w:r>
          </w:p>
          <w:p w14:paraId="56702C45" w14:textId="77777777" w:rsidR="00556E53" w:rsidRPr="00FE412E" w:rsidRDefault="00556E53" w:rsidP="003513CC">
            <w:pPr>
              <w:numPr>
                <w:ilvl w:val="0"/>
                <w:numId w:val="28"/>
              </w:numPr>
              <w:rPr>
                <w:rFonts w:cs="Arial"/>
                <w:color w:val="000000"/>
                <w:szCs w:val="22"/>
              </w:rPr>
            </w:pPr>
            <w:r w:rsidRPr="00FE412E">
              <w:rPr>
                <w:rFonts w:cs="Arial"/>
                <w:color w:val="000000"/>
                <w:szCs w:val="22"/>
              </w:rPr>
              <w:t>Semi-structured interview</w:t>
            </w:r>
            <w:r w:rsidR="00D44F1E">
              <w:rPr>
                <w:rFonts w:cs="Arial"/>
                <w:color w:val="000000"/>
                <w:szCs w:val="22"/>
              </w:rPr>
              <w:t>s</w:t>
            </w:r>
            <w:r w:rsidRPr="00FE412E">
              <w:rPr>
                <w:rFonts w:cs="Arial"/>
                <w:color w:val="000000"/>
                <w:szCs w:val="22"/>
              </w:rPr>
              <w:t>:</w:t>
            </w:r>
          </w:p>
          <w:p w14:paraId="285F41AA" w14:textId="77777777" w:rsidR="00556E53" w:rsidRPr="00FE412E" w:rsidRDefault="00D44F1E" w:rsidP="003513CC">
            <w:pPr>
              <w:ind w:left="720"/>
              <w:rPr>
                <w:rFonts w:cs="Arial"/>
                <w:color w:val="000000"/>
                <w:szCs w:val="22"/>
              </w:rPr>
            </w:pPr>
            <w:r>
              <w:rPr>
                <w:rFonts w:cs="Arial"/>
                <w:color w:val="000000"/>
                <w:szCs w:val="22"/>
              </w:rPr>
              <w:t xml:space="preserve">               -  T</w:t>
            </w:r>
            <w:r w:rsidR="00556E53" w:rsidRPr="00FE412E">
              <w:rPr>
                <w:rFonts w:cs="Arial"/>
                <w:color w:val="000000"/>
                <w:szCs w:val="22"/>
              </w:rPr>
              <w:t xml:space="preserve">hematic analysis and triangulation </w:t>
            </w:r>
          </w:p>
        </w:tc>
      </w:tr>
      <w:tr w:rsidR="00D14BF9" w:rsidRPr="00C46E12" w14:paraId="5E225950" w14:textId="77777777" w:rsidTr="00257B23">
        <w:trPr>
          <w:trHeight w:val="283"/>
        </w:trPr>
        <w:tc>
          <w:tcPr>
            <w:tcW w:w="2651" w:type="dxa"/>
          </w:tcPr>
          <w:p w14:paraId="27FEAABF" w14:textId="77777777" w:rsidR="00D14BF9" w:rsidRPr="00C46E12" w:rsidRDefault="00D14BF9" w:rsidP="00C46E12">
            <w:pPr>
              <w:jc w:val="both"/>
              <w:rPr>
                <w:rFonts w:cs="Arial"/>
                <w:b/>
                <w:color w:val="000000"/>
                <w:sz w:val="20"/>
                <w:szCs w:val="22"/>
              </w:rPr>
            </w:pPr>
            <w:r w:rsidRPr="00C46E12">
              <w:rPr>
                <w:rFonts w:cs="Arial"/>
                <w:b/>
                <w:color w:val="000000"/>
                <w:sz w:val="20"/>
                <w:szCs w:val="22"/>
              </w:rPr>
              <w:t>Duration of the study</w:t>
            </w:r>
          </w:p>
        </w:tc>
        <w:tc>
          <w:tcPr>
            <w:tcW w:w="5962" w:type="dxa"/>
          </w:tcPr>
          <w:p w14:paraId="6FE9244C" w14:textId="77777777" w:rsidR="00D14BF9" w:rsidRPr="00FE412E" w:rsidRDefault="00606728" w:rsidP="00C46E12">
            <w:pPr>
              <w:jc w:val="both"/>
              <w:rPr>
                <w:rFonts w:cs="Arial"/>
                <w:color w:val="000000"/>
                <w:szCs w:val="22"/>
              </w:rPr>
            </w:pPr>
            <w:r w:rsidRPr="00FE412E">
              <w:rPr>
                <w:rFonts w:cs="Arial"/>
                <w:color w:val="000000"/>
                <w:szCs w:val="22"/>
              </w:rPr>
              <w:t>1</w:t>
            </w:r>
            <w:r w:rsidR="009A2197" w:rsidRPr="00FE412E">
              <w:rPr>
                <w:rFonts w:cs="Arial"/>
                <w:color w:val="000000"/>
                <w:szCs w:val="22"/>
              </w:rPr>
              <w:t xml:space="preserve"> year </w:t>
            </w:r>
          </w:p>
        </w:tc>
      </w:tr>
    </w:tbl>
    <w:p w14:paraId="5396D5B0" w14:textId="77777777" w:rsidR="00D14BF9" w:rsidRPr="00C46E12" w:rsidRDefault="00BE38B8" w:rsidP="00D9607C">
      <w:pPr>
        <w:pStyle w:val="Heading1"/>
        <w:jc w:val="both"/>
        <w:rPr>
          <w:rFonts w:cs="Arial"/>
        </w:rPr>
      </w:pPr>
      <w:bookmarkStart w:id="17" w:name="_Toc5734773"/>
      <w:bookmarkStart w:id="18" w:name="_Toc5734884"/>
      <w:bookmarkStart w:id="19" w:name="_Toc5735009"/>
      <w:bookmarkStart w:id="20" w:name="_Toc51588801"/>
      <w:r w:rsidRPr="00C46E12">
        <w:rPr>
          <w:rFonts w:cs="Arial"/>
        </w:rPr>
        <w:t>Definitions</w:t>
      </w:r>
      <w:bookmarkEnd w:id="17"/>
      <w:bookmarkEnd w:id="18"/>
      <w:bookmarkEnd w:id="19"/>
      <w:bookmarkEnd w:id="20"/>
      <w:r w:rsidRPr="00C46E12">
        <w:rPr>
          <w:rFonts w:cs="Arial"/>
        </w:rPr>
        <w:t xml:space="preserve"> </w:t>
      </w:r>
    </w:p>
    <w:tbl>
      <w:tblPr>
        <w:tblW w:w="86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6070"/>
      </w:tblGrid>
      <w:tr w:rsidR="00D14BF9" w:rsidRPr="00C46E12" w14:paraId="780D41A5" w14:textId="77777777" w:rsidTr="00D9607C">
        <w:trPr>
          <w:trHeight w:val="269"/>
        </w:trPr>
        <w:tc>
          <w:tcPr>
            <w:tcW w:w="2578" w:type="dxa"/>
          </w:tcPr>
          <w:p w14:paraId="5C909023" w14:textId="77777777" w:rsidR="00D14BF9" w:rsidRPr="00C46E12" w:rsidRDefault="00D14BF9" w:rsidP="00C46E12">
            <w:pPr>
              <w:jc w:val="both"/>
              <w:rPr>
                <w:rFonts w:cs="Arial"/>
                <w:b/>
                <w:color w:val="000000"/>
                <w:sz w:val="20"/>
                <w:szCs w:val="22"/>
              </w:rPr>
            </w:pPr>
            <w:r w:rsidRPr="00C46E12">
              <w:rPr>
                <w:rFonts w:cs="Arial"/>
                <w:b/>
                <w:color w:val="000000"/>
                <w:sz w:val="20"/>
                <w:szCs w:val="22"/>
              </w:rPr>
              <w:t xml:space="preserve">TERM </w:t>
            </w:r>
          </w:p>
        </w:tc>
        <w:tc>
          <w:tcPr>
            <w:tcW w:w="6070" w:type="dxa"/>
          </w:tcPr>
          <w:p w14:paraId="30F66855" w14:textId="77777777" w:rsidR="00D14BF9" w:rsidRPr="00C46E12" w:rsidRDefault="00D14BF9" w:rsidP="00C46E12">
            <w:pPr>
              <w:jc w:val="both"/>
              <w:rPr>
                <w:rFonts w:cs="Arial"/>
                <w:b/>
                <w:color w:val="000000"/>
                <w:sz w:val="20"/>
                <w:szCs w:val="22"/>
              </w:rPr>
            </w:pPr>
            <w:r w:rsidRPr="00C46E12">
              <w:rPr>
                <w:rFonts w:cs="Arial"/>
                <w:b/>
                <w:color w:val="000000"/>
                <w:sz w:val="20"/>
                <w:szCs w:val="22"/>
              </w:rPr>
              <w:t>Definition</w:t>
            </w:r>
          </w:p>
        </w:tc>
      </w:tr>
      <w:tr w:rsidR="00D14BF9" w:rsidRPr="00C46E12" w14:paraId="48211387" w14:textId="77777777" w:rsidTr="00D9607C">
        <w:trPr>
          <w:trHeight w:val="269"/>
        </w:trPr>
        <w:tc>
          <w:tcPr>
            <w:tcW w:w="2578" w:type="dxa"/>
          </w:tcPr>
          <w:p w14:paraId="2F9C3CB2" w14:textId="77777777" w:rsidR="00D14BF9" w:rsidRPr="00C46E12" w:rsidRDefault="007D28BE" w:rsidP="002C155D">
            <w:pPr>
              <w:rPr>
                <w:rFonts w:cs="Arial"/>
                <w:sz w:val="20"/>
                <w:szCs w:val="22"/>
              </w:rPr>
            </w:pPr>
            <w:r w:rsidRPr="00C46E12">
              <w:rPr>
                <w:rFonts w:cs="Arial"/>
                <w:sz w:val="20"/>
                <w:szCs w:val="22"/>
              </w:rPr>
              <w:t xml:space="preserve">Radiation </w:t>
            </w:r>
            <w:r w:rsidR="00556E53" w:rsidRPr="00C46E12">
              <w:rPr>
                <w:rFonts w:cs="Arial"/>
                <w:sz w:val="20"/>
                <w:szCs w:val="22"/>
              </w:rPr>
              <w:t>o</w:t>
            </w:r>
            <w:r w:rsidRPr="00C46E12">
              <w:rPr>
                <w:rFonts w:cs="Arial"/>
                <w:sz w:val="20"/>
                <w:szCs w:val="22"/>
              </w:rPr>
              <w:t xml:space="preserve">ncology / Radiotherapy </w:t>
            </w:r>
          </w:p>
        </w:tc>
        <w:tc>
          <w:tcPr>
            <w:tcW w:w="6070" w:type="dxa"/>
          </w:tcPr>
          <w:p w14:paraId="17D145EB" w14:textId="77777777" w:rsidR="00D14BF9" w:rsidRPr="00C46E12" w:rsidRDefault="007D28BE" w:rsidP="00027646">
            <w:pPr>
              <w:rPr>
                <w:rFonts w:cs="Arial"/>
              </w:rPr>
            </w:pPr>
            <w:r w:rsidRPr="00C46E12">
              <w:rPr>
                <w:rFonts w:cs="Arial"/>
              </w:rPr>
              <w:t>Radiation oncology, also know</w:t>
            </w:r>
            <w:r w:rsidR="00A124B5">
              <w:rPr>
                <w:rFonts w:cs="Arial"/>
              </w:rPr>
              <w:t>n</w:t>
            </w:r>
            <w:r w:rsidRPr="00C46E12">
              <w:rPr>
                <w:rFonts w:cs="Arial"/>
              </w:rPr>
              <w:t xml:space="preserve"> as radiotherapy, uses x-ray beams to kill cancer cells. A machine called a linear accelerator delivers radiation only to the specific area that is being treated. </w:t>
            </w:r>
          </w:p>
          <w:p w14:paraId="52740643" w14:textId="77777777" w:rsidR="007D28BE" w:rsidRPr="00C46E12" w:rsidRDefault="007D28BE" w:rsidP="00027646">
            <w:pPr>
              <w:rPr>
                <w:rFonts w:cs="Arial"/>
                <w:szCs w:val="22"/>
              </w:rPr>
            </w:pPr>
            <w:r w:rsidRPr="00C46E12">
              <w:rPr>
                <w:rFonts w:cs="Arial"/>
              </w:rPr>
              <w:t xml:space="preserve">Sometimes radiotherapy is used in conjunction with chemotherapy. </w:t>
            </w:r>
          </w:p>
        </w:tc>
      </w:tr>
      <w:tr w:rsidR="00D14BF9" w:rsidRPr="00C46E12" w14:paraId="57319176" w14:textId="77777777" w:rsidTr="00D9607C">
        <w:trPr>
          <w:trHeight w:val="269"/>
        </w:trPr>
        <w:tc>
          <w:tcPr>
            <w:tcW w:w="2578" w:type="dxa"/>
          </w:tcPr>
          <w:p w14:paraId="37F6FE0E" w14:textId="77777777" w:rsidR="00D14BF9" w:rsidRPr="00C46E12" w:rsidRDefault="007D28BE" w:rsidP="002C155D">
            <w:pPr>
              <w:rPr>
                <w:rFonts w:cs="Arial"/>
                <w:sz w:val="20"/>
                <w:szCs w:val="22"/>
              </w:rPr>
            </w:pPr>
            <w:r w:rsidRPr="00C46E12">
              <w:rPr>
                <w:rFonts w:cs="Arial"/>
                <w:sz w:val="20"/>
                <w:szCs w:val="22"/>
              </w:rPr>
              <w:t xml:space="preserve">Radiation oncologist </w:t>
            </w:r>
          </w:p>
        </w:tc>
        <w:tc>
          <w:tcPr>
            <w:tcW w:w="6070" w:type="dxa"/>
          </w:tcPr>
          <w:p w14:paraId="197D3B07" w14:textId="77777777" w:rsidR="007D28BE" w:rsidRPr="00C46E12" w:rsidRDefault="00A124B5" w:rsidP="00027646">
            <w:pPr>
              <w:rPr>
                <w:rFonts w:cs="Arial"/>
              </w:rPr>
            </w:pPr>
            <w:r>
              <w:rPr>
                <w:rFonts w:cs="Arial"/>
              </w:rPr>
              <w:t>A radiation oncologist is</w:t>
            </w:r>
            <w:r w:rsidR="007D28BE" w:rsidRPr="00C46E12">
              <w:rPr>
                <w:rFonts w:cs="Arial"/>
              </w:rPr>
              <w:t xml:space="preserve"> a specialist doctor who prescribes radiotherapy and organises treatment.</w:t>
            </w:r>
          </w:p>
          <w:p w14:paraId="744E2A25" w14:textId="77777777" w:rsidR="007D28BE" w:rsidRPr="00C46E12" w:rsidRDefault="007D28BE" w:rsidP="00027646">
            <w:pPr>
              <w:rPr>
                <w:rFonts w:cs="Arial"/>
              </w:rPr>
            </w:pPr>
          </w:p>
          <w:p w14:paraId="75B3CCE4" w14:textId="77777777" w:rsidR="00D14BF9" w:rsidRPr="00C46E12" w:rsidRDefault="007D28BE" w:rsidP="00027646">
            <w:pPr>
              <w:rPr>
                <w:rFonts w:cs="Arial"/>
              </w:rPr>
            </w:pPr>
            <w:r w:rsidRPr="00C46E12">
              <w:rPr>
                <w:rFonts w:cs="Arial"/>
              </w:rPr>
              <w:t xml:space="preserve">A radiation oncologist will decide how much radiation is given and how many times (the prescription). </w:t>
            </w:r>
          </w:p>
          <w:p w14:paraId="0DC845FC" w14:textId="77777777" w:rsidR="007D28BE" w:rsidRPr="00C46E12" w:rsidRDefault="007D28BE" w:rsidP="00027646">
            <w:pPr>
              <w:rPr>
                <w:rFonts w:cs="Arial"/>
                <w:szCs w:val="22"/>
              </w:rPr>
            </w:pPr>
          </w:p>
        </w:tc>
      </w:tr>
    </w:tbl>
    <w:p w14:paraId="23A64F8F" w14:textId="77777777" w:rsidR="00D14BF9" w:rsidRPr="00C46E12" w:rsidRDefault="00D14BF9" w:rsidP="00C46E12">
      <w:pPr>
        <w:jc w:val="both"/>
        <w:rPr>
          <w:rFonts w:cs="Arial"/>
          <w:b/>
          <w:szCs w:val="22"/>
        </w:rPr>
      </w:pPr>
    </w:p>
    <w:p w14:paraId="3E46E5CF" w14:textId="77777777" w:rsidR="00D14BF9" w:rsidRPr="00C46E12" w:rsidRDefault="00D14BF9" w:rsidP="00C46E12">
      <w:pPr>
        <w:jc w:val="both"/>
        <w:rPr>
          <w:rFonts w:cs="Arial"/>
          <w:b/>
          <w:color w:val="1F4E79"/>
          <w:szCs w:val="22"/>
        </w:rPr>
        <w:sectPr w:rsidR="00D14BF9" w:rsidRPr="00C46E12" w:rsidSect="002C7A13">
          <w:footerReference w:type="default" r:id="rId11"/>
          <w:pgSz w:w="11906" w:h="16838"/>
          <w:pgMar w:top="1440" w:right="1800" w:bottom="1134" w:left="1800" w:header="708" w:footer="708" w:gutter="0"/>
          <w:cols w:space="708"/>
          <w:docGrid w:linePitch="360"/>
        </w:sectPr>
      </w:pPr>
    </w:p>
    <w:p w14:paraId="40EB0D44" w14:textId="77777777" w:rsidR="00352B1A" w:rsidRPr="00C46E12" w:rsidRDefault="00FD1B7E" w:rsidP="00C46E12">
      <w:pPr>
        <w:pStyle w:val="Heading1"/>
        <w:jc w:val="both"/>
        <w:rPr>
          <w:rFonts w:cs="Arial"/>
        </w:rPr>
      </w:pPr>
      <w:bookmarkStart w:id="21" w:name="_Toc5734774"/>
      <w:bookmarkStart w:id="22" w:name="_Toc5734885"/>
      <w:bookmarkStart w:id="23" w:name="_Toc5735010"/>
      <w:bookmarkStart w:id="24" w:name="_Toc51588802"/>
      <w:r w:rsidRPr="00C46E12">
        <w:rPr>
          <w:rFonts w:cs="Arial"/>
        </w:rPr>
        <w:lastRenderedPageBreak/>
        <w:t>1. I</w:t>
      </w:r>
      <w:r w:rsidR="00BE38B8" w:rsidRPr="00C46E12">
        <w:rPr>
          <w:rFonts w:cs="Arial"/>
        </w:rPr>
        <w:t>nvestigators</w:t>
      </w:r>
      <w:bookmarkEnd w:id="21"/>
      <w:bookmarkEnd w:id="22"/>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096"/>
      </w:tblGrid>
      <w:tr w:rsidR="001E59DC" w:rsidRPr="009F2770" w14:paraId="7582C44A" w14:textId="77777777" w:rsidTr="009F2770">
        <w:trPr>
          <w:trHeight w:val="904"/>
        </w:trPr>
        <w:tc>
          <w:tcPr>
            <w:tcW w:w="2376" w:type="dxa"/>
            <w:shd w:val="clear" w:color="auto" w:fill="auto"/>
            <w:vAlign w:val="center"/>
          </w:tcPr>
          <w:p w14:paraId="1468C618" w14:textId="77777777" w:rsidR="001E59DC" w:rsidRPr="009F2770" w:rsidRDefault="001E59DC" w:rsidP="00027646">
            <w:pPr>
              <w:rPr>
                <w:rFonts w:cs="Arial"/>
                <w:b/>
              </w:rPr>
            </w:pPr>
            <w:r w:rsidRPr="009F2770">
              <w:rPr>
                <w:rFonts w:cs="Arial"/>
                <w:b/>
              </w:rPr>
              <w:t>Investigator Name</w:t>
            </w:r>
          </w:p>
        </w:tc>
        <w:tc>
          <w:tcPr>
            <w:tcW w:w="6096" w:type="dxa"/>
            <w:shd w:val="clear" w:color="auto" w:fill="auto"/>
            <w:vAlign w:val="center"/>
          </w:tcPr>
          <w:p w14:paraId="128438C6" w14:textId="77777777" w:rsidR="001E59DC" w:rsidRPr="009F2770" w:rsidRDefault="001E59DC" w:rsidP="00027646">
            <w:pPr>
              <w:rPr>
                <w:rFonts w:cs="Arial"/>
                <w:b/>
                <w:color w:val="000000"/>
                <w:szCs w:val="22"/>
              </w:rPr>
            </w:pPr>
            <w:r w:rsidRPr="009F2770">
              <w:rPr>
                <w:rFonts w:cs="Arial"/>
                <w:szCs w:val="22"/>
              </w:rPr>
              <w:t xml:space="preserve">Dr Heike </w:t>
            </w:r>
            <w:r w:rsidRPr="009F2770">
              <w:rPr>
                <w:rFonts w:cs="Arial"/>
                <w:color w:val="000000"/>
                <w:szCs w:val="22"/>
              </w:rPr>
              <w:t xml:space="preserve">Schütze </w:t>
            </w:r>
          </w:p>
        </w:tc>
      </w:tr>
      <w:tr w:rsidR="001E59DC" w:rsidRPr="009F2770" w14:paraId="597469DA" w14:textId="77777777" w:rsidTr="009F2770">
        <w:trPr>
          <w:trHeight w:val="780"/>
        </w:trPr>
        <w:tc>
          <w:tcPr>
            <w:tcW w:w="2376" w:type="dxa"/>
            <w:shd w:val="clear" w:color="auto" w:fill="auto"/>
            <w:vAlign w:val="center"/>
          </w:tcPr>
          <w:p w14:paraId="34B14C36" w14:textId="77777777" w:rsidR="001E59DC" w:rsidRPr="009F2770" w:rsidRDefault="001E59DC" w:rsidP="00027646">
            <w:pPr>
              <w:rPr>
                <w:rFonts w:cs="Arial"/>
                <w:b/>
              </w:rPr>
            </w:pPr>
            <w:r w:rsidRPr="009F2770">
              <w:rPr>
                <w:rFonts w:cs="Arial"/>
                <w:b/>
              </w:rPr>
              <w:t>Contact Details</w:t>
            </w:r>
          </w:p>
        </w:tc>
        <w:tc>
          <w:tcPr>
            <w:tcW w:w="6096" w:type="dxa"/>
            <w:shd w:val="clear" w:color="auto" w:fill="auto"/>
            <w:vAlign w:val="center"/>
          </w:tcPr>
          <w:p w14:paraId="10C57AE1" w14:textId="77777777" w:rsidR="001E59DC" w:rsidRPr="009F2770" w:rsidRDefault="001E59DC" w:rsidP="00027646">
            <w:pPr>
              <w:rPr>
                <w:rFonts w:cs="Arial"/>
                <w:color w:val="000000"/>
                <w:szCs w:val="22"/>
              </w:rPr>
            </w:pPr>
            <w:r w:rsidRPr="009F2770">
              <w:rPr>
                <w:rFonts w:cs="Arial"/>
                <w:color w:val="000000"/>
              </w:rPr>
              <w:t>4221 4582</w:t>
            </w:r>
          </w:p>
          <w:p w14:paraId="0307B341" w14:textId="77777777" w:rsidR="001E59DC" w:rsidRPr="009F2770" w:rsidRDefault="00DF5E52" w:rsidP="00027646">
            <w:pPr>
              <w:rPr>
                <w:rFonts w:cs="Arial"/>
              </w:rPr>
            </w:pPr>
            <w:hyperlink r:id="rId12" w:history="1">
              <w:r w:rsidR="001E59DC" w:rsidRPr="009F2770">
                <w:rPr>
                  <w:rStyle w:val="Hyperlink"/>
                  <w:rFonts w:cs="Arial"/>
                  <w:szCs w:val="22"/>
                </w:rPr>
                <w:t>hschutze@uow.edu.au</w:t>
              </w:r>
            </w:hyperlink>
          </w:p>
        </w:tc>
      </w:tr>
      <w:tr w:rsidR="001E59DC" w:rsidRPr="009F2770" w14:paraId="0E2CBECE" w14:textId="77777777" w:rsidTr="009F2770">
        <w:trPr>
          <w:trHeight w:val="780"/>
        </w:trPr>
        <w:tc>
          <w:tcPr>
            <w:tcW w:w="2376" w:type="dxa"/>
            <w:shd w:val="clear" w:color="auto" w:fill="auto"/>
            <w:vAlign w:val="center"/>
          </w:tcPr>
          <w:p w14:paraId="620DB49A" w14:textId="77777777" w:rsidR="001E59DC" w:rsidRPr="009F2770" w:rsidRDefault="001E59DC" w:rsidP="00027646">
            <w:pPr>
              <w:rPr>
                <w:rFonts w:cs="Arial"/>
                <w:b/>
              </w:rPr>
            </w:pPr>
            <w:r w:rsidRPr="009F2770">
              <w:rPr>
                <w:rFonts w:cs="Arial"/>
                <w:b/>
              </w:rPr>
              <w:t>Role</w:t>
            </w:r>
          </w:p>
        </w:tc>
        <w:tc>
          <w:tcPr>
            <w:tcW w:w="6096" w:type="dxa"/>
            <w:shd w:val="clear" w:color="auto" w:fill="auto"/>
            <w:vAlign w:val="center"/>
          </w:tcPr>
          <w:p w14:paraId="42D651B6" w14:textId="77777777" w:rsidR="00CE4DBB" w:rsidRDefault="00027646" w:rsidP="00CE4DBB">
            <w:pPr>
              <w:rPr>
                <w:rFonts w:cs="Arial"/>
              </w:rPr>
            </w:pPr>
            <w:r>
              <w:rPr>
                <w:rFonts w:cs="Arial"/>
              </w:rPr>
              <w:t xml:space="preserve">Coordinating principal </w:t>
            </w:r>
            <w:r w:rsidR="00CE4DBB">
              <w:rPr>
                <w:rFonts w:cs="Arial"/>
              </w:rPr>
              <w:t xml:space="preserve">investigator </w:t>
            </w:r>
          </w:p>
          <w:p w14:paraId="33097DD2" w14:textId="77777777" w:rsidR="001E59DC" w:rsidRPr="009F2770" w:rsidRDefault="00CE4DBB" w:rsidP="00CE4DBB">
            <w:pPr>
              <w:rPr>
                <w:rFonts w:cs="Arial"/>
              </w:rPr>
            </w:pPr>
            <w:r>
              <w:rPr>
                <w:rFonts w:cs="Arial"/>
              </w:rPr>
              <w:t xml:space="preserve">Supervisor to PhD Candidate </w:t>
            </w:r>
            <w:r w:rsidR="001E59DC" w:rsidRPr="009F2770">
              <w:rPr>
                <w:rFonts w:cs="Arial"/>
              </w:rPr>
              <w:t xml:space="preserve">Tiffany </w:t>
            </w:r>
            <w:r>
              <w:rPr>
                <w:rFonts w:cs="Arial"/>
              </w:rPr>
              <w:t>Sandell</w:t>
            </w:r>
          </w:p>
        </w:tc>
      </w:tr>
      <w:tr w:rsidR="001E59DC" w:rsidRPr="009F2770" w14:paraId="790D052D" w14:textId="77777777" w:rsidTr="009F2770">
        <w:trPr>
          <w:trHeight w:val="522"/>
        </w:trPr>
        <w:tc>
          <w:tcPr>
            <w:tcW w:w="2376" w:type="dxa"/>
            <w:shd w:val="clear" w:color="auto" w:fill="auto"/>
            <w:vAlign w:val="center"/>
          </w:tcPr>
          <w:p w14:paraId="65A08C52" w14:textId="77777777" w:rsidR="001E59DC" w:rsidRPr="009F2770" w:rsidRDefault="001E59DC" w:rsidP="00027646">
            <w:pPr>
              <w:rPr>
                <w:rFonts w:cs="Arial"/>
                <w:b/>
              </w:rPr>
            </w:pPr>
            <w:r w:rsidRPr="009F2770">
              <w:rPr>
                <w:rFonts w:cs="Arial"/>
                <w:b/>
              </w:rPr>
              <w:t>Responsibilities &amp; tasks in this research project</w:t>
            </w:r>
          </w:p>
        </w:tc>
        <w:tc>
          <w:tcPr>
            <w:tcW w:w="6096" w:type="dxa"/>
            <w:shd w:val="clear" w:color="auto" w:fill="auto"/>
            <w:vAlign w:val="center"/>
          </w:tcPr>
          <w:p w14:paraId="5B341B6D" w14:textId="0311B5D2" w:rsidR="001E59DC" w:rsidRPr="009F2770" w:rsidRDefault="001E59DC" w:rsidP="00906F83">
            <w:pPr>
              <w:rPr>
                <w:rFonts w:cs="Arial"/>
              </w:rPr>
            </w:pPr>
            <w:r w:rsidRPr="009F2770">
              <w:rPr>
                <w:rFonts w:cs="Arial"/>
              </w:rPr>
              <w:t xml:space="preserve">Dr Heike </w:t>
            </w:r>
            <w:r w:rsidRPr="009F2770">
              <w:rPr>
                <w:rFonts w:cs="Arial"/>
                <w:color w:val="000000"/>
                <w:szCs w:val="22"/>
              </w:rPr>
              <w:t xml:space="preserve">Schütze </w:t>
            </w:r>
            <w:r w:rsidRPr="009F2770">
              <w:rPr>
                <w:rFonts w:cs="Arial"/>
              </w:rPr>
              <w:t xml:space="preserve">will </w:t>
            </w:r>
            <w:r w:rsidR="00906F83">
              <w:rPr>
                <w:rFonts w:cs="Arial"/>
              </w:rPr>
              <w:t xml:space="preserve">oversee and assist all </w:t>
            </w:r>
            <w:r w:rsidRPr="009F2770">
              <w:rPr>
                <w:rFonts w:cs="Arial"/>
              </w:rPr>
              <w:t>research activities</w:t>
            </w:r>
            <w:r w:rsidR="00906F83">
              <w:rPr>
                <w:rFonts w:cs="Arial"/>
              </w:rPr>
              <w:t xml:space="preserve"> of the PhD candidate</w:t>
            </w:r>
            <w:r w:rsidRPr="009F2770">
              <w:rPr>
                <w:rFonts w:cs="Arial"/>
                <w:color w:val="000000"/>
                <w:szCs w:val="22"/>
              </w:rPr>
              <w:t>.</w:t>
            </w:r>
          </w:p>
        </w:tc>
      </w:tr>
      <w:tr w:rsidR="001E59DC" w:rsidRPr="009F2770" w14:paraId="7959E609" w14:textId="77777777" w:rsidTr="009F2770">
        <w:trPr>
          <w:trHeight w:val="920"/>
        </w:trPr>
        <w:tc>
          <w:tcPr>
            <w:tcW w:w="2376" w:type="dxa"/>
            <w:shd w:val="clear" w:color="auto" w:fill="auto"/>
            <w:vAlign w:val="center"/>
          </w:tcPr>
          <w:p w14:paraId="038C94B9" w14:textId="77777777" w:rsidR="001E59DC" w:rsidRPr="009F2770" w:rsidRDefault="001E59DC" w:rsidP="00027646">
            <w:pPr>
              <w:rPr>
                <w:rFonts w:cs="Arial"/>
                <w:b/>
              </w:rPr>
            </w:pPr>
            <w:r w:rsidRPr="009F2770">
              <w:rPr>
                <w:rFonts w:cs="Arial"/>
                <w:b/>
              </w:rPr>
              <w:t>Relevant Qualifications</w:t>
            </w:r>
          </w:p>
        </w:tc>
        <w:tc>
          <w:tcPr>
            <w:tcW w:w="6096" w:type="dxa"/>
            <w:shd w:val="clear" w:color="auto" w:fill="auto"/>
            <w:vAlign w:val="center"/>
          </w:tcPr>
          <w:p w14:paraId="43323CF9" w14:textId="77777777" w:rsidR="001E59DC" w:rsidRPr="009F2770" w:rsidRDefault="001E59DC" w:rsidP="00027646">
            <w:pPr>
              <w:rPr>
                <w:rFonts w:cs="Arial"/>
              </w:rPr>
            </w:pPr>
            <w:r w:rsidRPr="009F2770">
              <w:rPr>
                <w:rFonts w:cs="Arial"/>
              </w:rPr>
              <w:t>PhD</w:t>
            </w:r>
            <w:r w:rsidR="00C82358">
              <w:rPr>
                <w:rFonts w:cs="Arial"/>
              </w:rPr>
              <w:t>, MPH, BSc (Biomed)</w:t>
            </w:r>
          </w:p>
        </w:tc>
      </w:tr>
      <w:tr w:rsidR="001E59DC" w:rsidRPr="009F2770" w14:paraId="444ED190" w14:textId="77777777" w:rsidTr="009F2770">
        <w:trPr>
          <w:trHeight w:val="382"/>
        </w:trPr>
        <w:tc>
          <w:tcPr>
            <w:tcW w:w="2376" w:type="dxa"/>
            <w:shd w:val="clear" w:color="auto" w:fill="auto"/>
            <w:vAlign w:val="center"/>
          </w:tcPr>
          <w:p w14:paraId="08DACF59" w14:textId="77777777" w:rsidR="001E59DC" w:rsidRPr="009F2770" w:rsidRDefault="001E59DC" w:rsidP="00027646">
            <w:pPr>
              <w:rPr>
                <w:rFonts w:cs="Arial"/>
                <w:b/>
              </w:rPr>
            </w:pPr>
            <w:r w:rsidRPr="009F2770">
              <w:rPr>
                <w:rFonts w:cs="Arial"/>
                <w:b/>
              </w:rPr>
              <w:t>Experience relevant to this project</w:t>
            </w:r>
          </w:p>
        </w:tc>
        <w:tc>
          <w:tcPr>
            <w:tcW w:w="6096" w:type="dxa"/>
            <w:shd w:val="clear" w:color="auto" w:fill="auto"/>
            <w:vAlign w:val="center"/>
          </w:tcPr>
          <w:p w14:paraId="42514EF4" w14:textId="02A6618C" w:rsidR="001E59DC" w:rsidRPr="009F2770" w:rsidRDefault="00C82358" w:rsidP="00027646">
            <w:pPr>
              <w:rPr>
                <w:rFonts w:cs="Arial"/>
              </w:rPr>
            </w:pPr>
            <w:r>
              <w:rPr>
                <w:rFonts w:cs="Arial"/>
              </w:rPr>
              <w:t xml:space="preserve">Experienced in research with a focus on general practice and </w:t>
            </w:r>
            <w:r w:rsidR="001E59DC" w:rsidRPr="009F2770">
              <w:rPr>
                <w:rFonts w:cs="Arial"/>
              </w:rPr>
              <w:t xml:space="preserve">cancer follow-up shared-care. </w:t>
            </w:r>
          </w:p>
        </w:tc>
      </w:tr>
    </w:tbl>
    <w:p w14:paraId="1ECA62DF" w14:textId="77777777" w:rsidR="001E59DC" w:rsidRPr="00C46E12" w:rsidRDefault="001E59DC" w:rsidP="00C46E12">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096"/>
      </w:tblGrid>
      <w:tr w:rsidR="001E59DC" w:rsidRPr="009F2770" w14:paraId="5030C03F" w14:textId="77777777" w:rsidTr="009F2770">
        <w:trPr>
          <w:trHeight w:val="904"/>
        </w:trPr>
        <w:tc>
          <w:tcPr>
            <w:tcW w:w="2376" w:type="dxa"/>
            <w:shd w:val="clear" w:color="auto" w:fill="auto"/>
            <w:vAlign w:val="center"/>
          </w:tcPr>
          <w:p w14:paraId="553FCB85" w14:textId="77777777" w:rsidR="001E59DC" w:rsidRPr="009F2770" w:rsidRDefault="001E59DC" w:rsidP="00027646">
            <w:pPr>
              <w:rPr>
                <w:rFonts w:cs="Arial"/>
                <w:b/>
              </w:rPr>
            </w:pPr>
            <w:r w:rsidRPr="009F2770">
              <w:rPr>
                <w:rFonts w:cs="Arial"/>
                <w:b/>
              </w:rPr>
              <w:t>Investigator Name</w:t>
            </w:r>
          </w:p>
        </w:tc>
        <w:tc>
          <w:tcPr>
            <w:tcW w:w="6096" w:type="dxa"/>
            <w:shd w:val="clear" w:color="auto" w:fill="auto"/>
            <w:vAlign w:val="center"/>
          </w:tcPr>
          <w:p w14:paraId="0B6F843D" w14:textId="77777777" w:rsidR="001E59DC" w:rsidRPr="009F2770" w:rsidRDefault="001E59DC" w:rsidP="00027646">
            <w:pPr>
              <w:rPr>
                <w:rFonts w:cs="Arial"/>
              </w:rPr>
            </w:pPr>
            <w:r w:rsidRPr="009F2770">
              <w:rPr>
                <w:rFonts w:cs="Arial"/>
              </w:rPr>
              <w:t xml:space="preserve">Tiffany Sandell </w:t>
            </w:r>
          </w:p>
        </w:tc>
      </w:tr>
      <w:tr w:rsidR="001E59DC" w:rsidRPr="009F2770" w14:paraId="2D6FBEE4" w14:textId="77777777" w:rsidTr="009F2770">
        <w:trPr>
          <w:trHeight w:val="780"/>
        </w:trPr>
        <w:tc>
          <w:tcPr>
            <w:tcW w:w="2376" w:type="dxa"/>
            <w:shd w:val="clear" w:color="auto" w:fill="auto"/>
            <w:vAlign w:val="center"/>
          </w:tcPr>
          <w:p w14:paraId="794C118B" w14:textId="77777777" w:rsidR="001E59DC" w:rsidRPr="009F2770" w:rsidRDefault="001E59DC" w:rsidP="00027646">
            <w:pPr>
              <w:rPr>
                <w:rFonts w:cs="Arial"/>
                <w:b/>
              </w:rPr>
            </w:pPr>
            <w:r w:rsidRPr="009F2770">
              <w:rPr>
                <w:rFonts w:cs="Arial"/>
                <w:b/>
              </w:rPr>
              <w:t>Contact Details</w:t>
            </w:r>
          </w:p>
        </w:tc>
        <w:tc>
          <w:tcPr>
            <w:tcW w:w="6096" w:type="dxa"/>
            <w:shd w:val="clear" w:color="auto" w:fill="auto"/>
            <w:vAlign w:val="center"/>
          </w:tcPr>
          <w:p w14:paraId="7649E778" w14:textId="77777777" w:rsidR="001E59DC" w:rsidRPr="009F2770" w:rsidRDefault="001E59DC" w:rsidP="00027646">
            <w:pPr>
              <w:rPr>
                <w:rFonts w:cs="Arial"/>
              </w:rPr>
            </w:pPr>
            <w:r w:rsidRPr="009F2770">
              <w:rPr>
                <w:rFonts w:cs="Arial"/>
              </w:rPr>
              <w:t>0479136404</w:t>
            </w:r>
          </w:p>
          <w:p w14:paraId="0C41EF0B" w14:textId="77777777" w:rsidR="001E59DC" w:rsidRPr="009F2770" w:rsidRDefault="00DF5E52" w:rsidP="00027646">
            <w:pPr>
              <w:rPr>
                <w:rFonts w:cs="Arial"/>
              </w:rPr>
            </w:pPr>
            <w:hyperlink r:id="rId13" w:history="1">
              <w:r w:rsidR="00D44F1E" w:rsidRPr="004E3B24">
                <w:rPr>
                  <w:rStyle w:val="Hyperlink"/>
                  <w:rFonts w:cs="Arial"/>
                </w:rPr>
                <w:t>tem785@uowmail.edu.au</w:t>
              </w:r>
            </w:hyperlink>
          </w:p>
          <w:p w14:paraId="587C23A1" w14:textId="77777777" w:rsidR="001E59DC" w:rsidRPr="009F2770" w:rsidRDefault="00DF5E52" w:rsidP="00027646">
            <w:pPr>
              <w:rPr>
                <w:rFonts w:cs="Arial"/>
              </w:rPr>
            </w:pPr>
            <w:hyperlink r:id="rId14" w:history="1">
              <w:r w:rsidR="00D44F1E" w:rsidRPr="004E3B24">
                <w:rPr>
                  <w:rStyle w:val="Hyperlink"/>
                  <w:rFonts w:cs="Arial"/>
                </w:rPr>
                <w:t>tiffany.sandell@health.nsw.gov.au</w:t>
              </w:r>
            </w:hyperlink>
            <w:r w:rsidR="001E59DC" w:rsidRPr="009F2770">
              <w:rPr>
                <w:rFonts w:cs="Arial"/>
              </w:rPr>
              <w:t xml:space="preserve"> </w:t>
            </w:r>
          </w:p>
        </w:tc>
      </w:tr>
      <w:tr w:rsidR="001E59DC" w:rsidRPr="009F2770" w14:paraId="7F621DD5" w14:textId="77777777" w:rsidTr="009F2770">
        <w:trPr>
          <w:trHeight w:val="780"/>
        </w:trPr>
        <w:tc>
          <w:tcPr>
            <w:tcW w:w="2376" w:type="dxa"/>
            <w:shd w:val="clear" w:color="auto" w:fill="auto"/>
            <w:vAlign w:val="center"/>
          </w:tcPr>
          <w:p w14:paraId="32FAFDC8" w14:textId="77777777" w:rsidR="001E59DC" w:rsidRPr="009F2770" w:rsidRDefault="001E59DC" w:rsidP="00027646">
            <w:pPr>
              <w:rPr>
                <w:rFonts w:cs="Arial"/>
                <w:b/>
              </w:rPr>
            </w:pPr>
            <w:r w:rsidRPr="009F2770">
              <w:rPr>
                <w:rFonts w:cs="Arial"/>
                <w:b/>
              </w:rPr>
              <w:t>Role</w:t>
            </w:r>
          </w:p>
        </w:tc>
        <w:tc>
          <w:tcPr>
            <w:tcW w:w="6096" w:type="dxa"/>
            <w:shd w:val="clear" w:color="auto" w:fill="auto"/>
            <w:vAlign w:val="center"/>
          </w:tcPr>
          <w:p w14:paraId="61E6AA09" w14:textId="77777777" w:rsidR="005E6033" w:rsidRPr="009F2770" w:rsidRDefault="005E6033" w:rsidP="00027646">
            <w:pPr>
              <w:rPr>
                <w:rFonts w:cs="Arial"/>
              </w:rPr>
            </w:pPr>
          </w:p>
          <w:p w14:paraId="691606F0" w14:textId="77777777" w:rsidR="005E6033" w:rsidRPr="009F2770" w:rsidRDefault="00027646" w:rsidP="00027646">
            <w:pPr>
              <w:rPr>
                <w:rFonts w:cs="Arial"/>
              </w:rPr>
            </w:pPr>
            <w:r>
              <w:rPr>
                <w:rFonts w:cs="Arial"/>
              </w:rPr>
              <w:t xml:space="preserve">Principal investigator and </w:t>
            </w:r>
            <w:r w:rsidR="005E6033" w:rsidRPr="009F2770">
              <w:rPr>
                <w:rFonts w:cs="Arial"/>
              </w:rPr>
              <w:t>PhD Candidate</w:t>
            </w:r>
          </w:p>
          <w:p w14:paraId="0D152611" w14:textId="77777777" w:rsidR="005E6033" w:rsidRPr="009F2770" w:rsidRDefault="005E6033" w:rsidP="00027646">
            <w:pPr>
              <w:rPr>
                <w:rFonts w:cs="Arial"/>
              </w:rPr>
            </w:pPr>
          </w:p>
        </w:tc>
      </w:tr>
      <w:tr w:rsidR="001E59DC" w:rsidRPr="009F2770" w14:paraId="37851065" w14:textId="77777777" w:rsidTr="009F2770">
        <w:trPr>
          <w:trHeight w:val="522"/>
        </w:trPr>
        <w:tc>
          <w:tcPr>
            <w:tcW w:w="2376" w:type="dxa"/>
            <w:shd w:val="clear" w:color="auto" w:fill="auto"/>
            <w:vAlign w:val="center"/>
          </w:tcPr>
          <w:p w14:paraId="721F7567" w14:textId="77777777" w:rsidR="001E59DC" w:rsidRPr="009F2770" w:rsidRDefault="001E59DC" w:rsidP="00027646">
            <w:pPr>
              <w:rPr>
                <w:rFonts w:cs="Arial"/>
                <w:b/>
              </w:rPr>
            </w:pPr>
            <w:r w:rsidRPr="009F2770">
              <w:rPr>
                <w:rFonts w:cs="Arial"/>
                <w:b/>
              </w:rPr>
              <w:t>Responsibilities &amp; tasks in this research project</w:t>
            </w:r>
          </w:p>
        </w:tc>
        <w:tc>
          <w:tcPr>
            <w:tcW w:w="6096" w:type="dxa"/>
            <w:shd w:val="clear" w:color="auto" w:fill="auto"/>
            <w:vAlign w:val="center"/>
          </w:tcPr>
          <w:p w14:paraId="3BE7E887" w14:textId="77777777" w:rsidR="005E6033" w:rsidRPr="009F2770" w:rsidRDefault="005E6033" w:rsidP="00027646">
            <w:pPr>
              <w:rPr>
                <w:rFonts w:cs="Arial"/>
                <w:szCs w:val="22"/>
              </w:rPr>
            </w:pPr>
            <w:r w:rsidRPr="009F2770">
              <w:rPr>
                <w:rFonts w:cs="Arial"/>
              </w:rPr>
              <w:t xml:space="preserve">Responsible for all research activities: ethics, managing recruitment, data collection, coding and analyses. </w:t>
            </w:r>
            <w:r w:rsidR="00A124B5">
              <w:rPr>
                <w:rFonts w:cs="Arial"/>
              </w:rPr>
              <w:t>Compiling</w:t>
            </w:r>
            <w:r w:rsidRPr="009F2770">
              <w:rPr>
                <w:rFonts w:cs="Arial"/>
              </w:rPr>
              <w:t xml:space="preserve"> findings for publication.</w:t>
            </w:r>
          </w:p>
          <w:p w14:paraId="4AD0637A" w14:textId="77777777" w:rsidR="001E59DC" w:rsidRPr="009F2770" w:rsidRDefault="005E6033" w:rsidP="00027646">
            <w:pPr>
              <w:rPr>
                <w:rFonts w:cs="Arial"/>
              </w:rPr>
            </w:pPr>
            <w:r w:rsidRPr="009F2770">
              <w:rPr>
                <w:rFonts w:cs="Arial"/>
                <w:szCs w:val="22"/>
              </w:rPr>
              <w:t xml:space="preserve">Site principal investigator for ISLHD. </w:t>
            </w:r>
          </w:p>
        </w:tc>
      </w:tr>
      <w:tr w:rsidR="001E59DC" w:rsidRPr="009F2770" w14:paraId="6E2FC7E8" w14:textId="77777777" w:rsidTr="009F2770">
        <w:trPr>
          <w:trHeight w:val="920"/>
        </w:trPr>
        <w:tc>
          <w:tcPr>
            <w:tcW w:w="2376" w:type="dxa"/>
            <w:shd w:val="clear" w:color="auto" w:fill="auto"/>
            <w:vAlign w:val="center"/>
          </w:tcPr>
          <w:p w14:paraId="06D2BAB4" w14:textId="77777777" w:rsidR="001E59DC" w:rsidRPr="009F2770" w:rsidRDefault="001E59DC" w:rsidP="00027646">
            <w:pPr>
              <w:rPr>
                <w:rFonts w:cs="Arial"/>
                <w:b/>
              </w:rPr>
            </w:pPr>
            <w:r w:rsidRPr="009F2770">
              <w:rPr>
                <w:rFonts w:cs="Arial"/>
                <w:b/>
              </w:rPr>
              <w:t>Relevant Qualifications</w:t>
            </w:r>
          </w:p>
        </w:tc>
        <w:tc>
          <w:tcPr>
            <w:tcW w:w="6096" w:type="dxa"/>
            <w:shd w:val="clear" w:color="auto" w:fill="auto"/>
            <w:vAlign w:val="center"/>
          </w:tcPr>
          <w:p w14:paraId="0B3AEA00" w14:textId="0DBB7CEB" w:rsidR="001E59DC" w:rsidRPr="009F2770" w:rsidRDefault="005E6033" w:rsidP="00AE4DF5">
            <w:pPr>
              <w:rPr>
                <w:rFonts w:cs="Arial"/>
              </w:rPr>
            </w:pPr>
            <w:r w:rsidRPr="009F2770">
              <w:rPr>
                <w:rFonts w:cs="Arial"/>
              </w:rPr>
              <w:t>M</w:t>
            </w:r>
            <w:r w:rsidR="00C82358">
              <w:rPr>
                <w:rFonts w:cs="Arial"/>
              </w:rPr>
              <w:t>HSM</w:t>
            </w:r>
            <w:r w:rsidR="00906F83">
              <w:rPr>
                <w:rFonts w:cs="Arial"/>
              </w:rPr>
              <w:t xml:space="preserve">, </w:t>
            </w:r>
            <w:r w:rsidR="00C82358">
              <w:rPr>
                <w:rFonts w:cs="Arial"/>
              </w:rPr>
              <w:t>MPH</w:t>
            </w:r>
            <w:r w:rsidR="00906F83">
              <w:rPr>
                <w:rFonts w:cs="Arial"/>
              </w:rPr>
              <w:t xml:space="preserve">, </w:t>
            </w:r>
            <w:r w:rsidR="00C82358">
              <w:rPr>
                <w:rFonts w:cs="Arial"/>
              </w:rPr>
              <w:t>BA (</w:t>
            </w:r>
            <w:r w:rsidRPr="009F2770">
              <w:rPr>
                <w:rFonts w:cs="Arial"/>
              </w:rPr>
              <w:t>Pop</w:t>
            </w:r>
            <w:r w:rsidR="00C82358">
              <w:rPr>
                <w:rFonts w:cs="Arial"/>
              </w:rPr>
              <w:t xml:space="preserve"> Hlth) </w:t>
            </w:r>
          </w:p>
        </w:tc>
      </w:tr>
      <w:tr w:rsidR="001E59DC" w:rsidRPr="009F2770" w14:paraId="39C628DD" w14:textId="77777777" w:rsidTr="009F2770">
        <w:trPr>
          <w:trHeight w:val="382"/>
        </w:trPr>
        <w:tc>
          <w:tcPr>
            <w:tcW w:w="2376" w:type="dxa"/>
            <w:shd w:val="clear" w:color="auto" w:fill="auto"/>
            <w:vAlign w:val="center"/>
          </w:tcPr>
          <w:p w14:paraId="3A14FB2E" w14:textId="77777777" w:rsidR="001E59DC" w:rsidRPr="009F2770" w:rsidRDefault="001E59DC" w:rsidP="00027646">
            <w:pPr>
              <w:rPr>
                <w:rFonts w:cs="Arial"/>
                <w:b/>
              </w:rPr>
            </w:pPr>
            <w:r w:rsidRPr="009F2770">
              <w:rPr>
                <w:rFonts w:cs="Arial"/>
                <w:b/>
              </w:rPr>
              <w:t>Experience relevant to this project</w:t>
            </w:r>
          </w:p>
        </w:tc>
        <w:tc>
          <w:tcPr>
            <w:tcW w:w="6096" w:type="dxa"/>
            <w:shd w:val="clear" w:color="auto" w:fill="auto"/>
            <w:vAlign w:val="center"/>
          </w:tcPr>
          <w:p w14:paraId="51F4DCC4" w14:textId="553CF57B" w:rsidR="001E59DC" w:rsidRPr="009F2770" w:rsidRDefault="00C82358" w:rsidP="00C82358">
            <w:pPr>
              <w:rPr>
                <w:rFonts w:cs="Arial"/>
              </w:rPr>
            </w:pPr>
            <w:r>
              <w:rPr>
                <w:rFonts w:cs="Arial"/>
              </w:rPr>
              <w:t xml:space="preserve">Project Manager, </w:t>
            </w:r>
            <w:r w:rsidRPr="009F2770">
              <w:rPr>
                <w:rFonts w:cs="Arial"/>
              </w:rPr>
              <w:t>quality improvement initiatives</w:t>
            </w:r>
            <w:r w:rsidRPr="009F2770" w:rsidDel="00C82358">
              <w:rPr>
                <w:rFonts w:cs="Arial"/>
              </w:rPr>
              <w:t xml:space="preserve"> </w:t>
            </w:r>
            <w:r w:rsidR="005E6033" w:rsidRPr="009F2770">
              <w:rPr>
                <w:rFonts w:cs="Arial"/>
              </w:rPr>
              <w:t xml:space="preserve">Radiation Oncology, ISLHD, as project manager on. </w:t>
            </w:r>
          </w:p>
        </w:tc>
      </w:tr>
      <w:tr w:rsidR="001E59DC" w:rsidRPr="009F2770" w14:paraId="78418728" w14:textId="77777777" w:rsidTr="009F2770">
        <w:trPr>
          <w:trHeight w:val="1048"/>
        </w:trPr>
        <w:tc>
          <w:tcPr>
            <w:tcW w:w="2376" w:type="dxa"/>
            <w:shd w:val="clear" w:color="auto" w:fill="auto"/>
            <w:vAlign w:val="center"/>
          </w:tcPr>
          <w:p w14:paraId="021A8214" w14:textId="77777777" w:rsidR="001E59DC" w:rsidRPr="009F2770" w:rsidRDefault="001E59DC" w:rsidP="00027646">
            <w:pPr>
              <w:rPr>
                <w:rFonts w:cs="Arial"/>
                <w:b/>
              </w:rPr>
            </w:pPr>
            <w:r w:rsidRPr="009F2770">
              <w:rPr>
                <w:rFonts w:cs="Arial"/>
                <w:b/>
              </w:rPr>
              <w:t>Expertise relevant to this project</w:t>
            </w:r>
          </w:p>
        </w:tc>
        <w:tc>
          <w:tcPr>
            <w:tcW w:w="6096" w:type="dxa"/>
            <w:shd w:val="clear" w:color="auto" w:fill="auto"/>
            <w:vAlign w:val="center"/>
          </w:tcPr>
          <w:p w14:paraId="4DFCD9EF" w14:textId="77777777" w:rsidR="001E59DC" w:rsidRPr="009F2770" w:rsidRDefault="00AA08FD" w:rsidP="00027646">
            <w:pPr>
              <w:rPr>
                <w:rFonts w:cs="Arial"/>
              </w:rPr>
            </w:pPr>
            <w:r>
              <w:rPr>
                <w:rFonts w:cs="Arial"/>
              </w:rPr>
              <w:t>Project management in radiation oncology</w:t>
            </w:r>
            <w:r w:rsidR="00C82358">
              <w:rPr>
                <w:rFonts w:cs="Arial"/>
              </w:rPr>
              <w:t>, previous experience on research in shared care</w:t>
            </w:r>
          </w:p>
        </w:tc>
      </w:tr>
    </w:tbl>
    <w:p w14:paraId="04EAF881" w14:textId="77777777" w:rsidR="001E59DC" w:rsidRDefault="001E59DC" w:rsidP="00C46E12">
      <w:pPr>
        <w:jc w:val="both"/>
        <w:rPr>
          <w:rFonts w:cs="Arial"/>
        </w:rPr>
      </w:pPr>
    </w:p>
    <w:p w14:paraId="454C20CA" w14:textId="77777777" w:rsidR="00AA08FD" w:rsidRDefault="00AA08FD" w:rsidP="00C46E12">
      <w:pPr>
        <w:jc w:val="both"/>
        <w:rPr>
          <w:rFonts w:cs="Arial"/>
        </w:rPr>
      </w:pPr>
    </w:p>
    <w:p w14:paraId="1492BA81" w14:textId="77777777" w:rsidR="00AA08FD" w:rsidRDefault="00AA08FD" w:rsidP="00C46E12">
      <w:pPr>
        <w:jc w:val="both"/>
        <w:rPr>
          <w:rFonts w:cs="Arial"/>
        </w:rPr>
      </w:pPr>
    </w:p>
    <w:p w14:paraId="1EA24B40" w14:textId="77777777" w:rsidR="00380DFE" w:rsidRDefault="00380DFE" w:rsidP="00C46E12">
      <w:pPr>
        <w:jc w:val="both"/>
        <w:rPr>
          <w:rFonts w:cs="Arial"/>
        </w:rPr>
      </w:pPr>
    </w:p>
    <w:p w14:paraId="532D8860" w14:textId="77777777" w:rsidR="00380DFE" w:rsidRDefault="00380DFE" w:rsidP="00C46E12">
      <w:pPr>
        <w:jc w:val="both"/>
        <w:rPr>
          <w:rFonts w:cs="Arial"/>
        </w:rPr>
      </w:pPr>
    </w:p>
    <w:p w14:paraId="14D5B893" w14:textId="77777777" w:rsidR="00380DFE" w:rsidRDefault="00380DFE" w:rsidP="00C46E12">
      <w:pPr>
        <w:jc w:val="both"/>
        <w:rPr>
          <w:rFonts w:cs="Arial"/>
        </w:rPr>
      </w:pPr>
    </w:p>
    <w:p w14:paraId="5C09A786" w14:textId="5EA99A9D" w:rsidR="00906F83" w:rsidRDefault="00906F83">
      <w:pPr>
        <w:rPr>
          <w:rFonts w:cs="Arial"/>
        </w:rPr>
      </w:pPr>
      <w:r>
        <w:rPr>
          <w:rFonts w:cs="Arial"/>
        </w:rPr>
        <w:br w:type="page"/>
      </w:r>
    </w:p>
    <w:p w14:paraId="2B9D56D9" w14:textId="77777777" w:rsidR="00AA08FD" w:rsidRPr="00C46E12" w:rsidRDefault="00AA08FD" w:rsidP="00C46E12">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096"/>
      </w:tblGrid>
      <w:tr w:rsidR="00185360" w:rsidRPr="009F2770" w14:paraId="311D5B10" w14:textId="77777777" w:rsidTr="009F2770">
        <w:trPr>
          <w:trHeight w:val="904"/>
        </w:trPr>
        <w:tc>
          <w:tcPr>
            <w:tcW w:w="2376" w:type="dxa"/>
            <w:shd w:val="clear" w:color="auto" w:fill="auto"/>
            <w:vAlign w:val="center"/>
          </w:tcPr>
          <w:p w14:paraId="796CB683" w14:textId="77777777" w:rsidR="00185360" w:rsidRPr="009F2770" w:rsidRDefault="00185360" w:rsidP="00185360">
            <w:pPr>
              <w:rPr>
                <w:rFonts w:cs="Arial"/>
                <w:b/>
              </w:rPr>
            </w:pPr>
            <w:r w:rsidRPr="009F2770">
              <w:rPr>
                <w:rFonts w:cs="Arial"/>
                <w:b/>
              </w:rPr>
              <w:t>Investigator Name</w:t>
            </w:r>
          </w:p>
        </w:tc>
        <w:tc>
          <w:tcPr>
            <w:tcW w:w="6096" w:type="dxa"/>
            <w:shd w:val="clear" w:color="auto" w:fill="auto"/>
            <w:vAlign w:val="center"/>
          </w:tcPr>
          <w:p w14:paraId="5AA2C2F0" w14:textId="77777777" w:rsidR="00185360" w:rsidRPr="00185360" w:rsidRDefault="00185360" w:rsidP="00185360">
            <w:pPr>
              <w:spacing w:before="100" w:beforeAutospacing="1" w:after="100" w:afterAutospacing="1"/>
              <w:rPr>
                <w:rFonts w:cs="Arial"/>
                <w:sz w:val="24"/>
                <w:lang w:eastAsia="en-US"/>
              </w:rPr>
            </w:pPr>
            <w:r w:rsidRPr="00185360">
              <w:rPr>
                <w:rFonts w:cs="Arial"/>
                <w:lang w:eastAsia="en-US"/>
              </w:rPr>
              <w:t>Prof Andrew Miller</w:t>
            </w:r>
          </w:p>
        </w:tc>
      </w:tr>
      <w:tr w:rsidR="00185360" w:rsidRPr="009F2770" w14:paraId="19426961" w14:textId="77777777" w:rsidTr="009F2770">
        <w:trPr>
          <w:trHeight w:val="780"/>
        </w:trPr>
        <w:tc>
          <w:tcPr>
            <w:tcW w:w="2376" w:type="dxa"/>
            <w:shd w:val="clear" w:color="auto" w:fill="auto"/>
            <w:vAlign w:val="center"/>
          </w:tcPr>
          <w:p w14:paraId="4E3B418A" w14:textId="77777777" w:rsidR="00185360" w:rsidRPr="009F2770" w:rsidRDefault="00185360" w:rsidP="00185360">
            <w:pPr>
              <w:rPr>
                <w:rFonts w:cs="Arial"/>
                <w:b/>
              </w:rPr>
            </w:pPr>
            <w:r w:rsidRPr="009F2770">
              <w:rPr>
                <w:rFonts w:cs="Arial"/>
                <w:b/>
              </w:rPr>
              <w:t>Contact Details</w:t>
            </w:r>
          </w:p>
        </w:tc>
        <w:tc>
          <w:tcPr>
            <w:tcW w:w="6096" w:type="dxa"/>
            <w:shd w:val="clear" w:color="auto" w:fill="auto"/>
            <w:vAlign w:val="center"/>
          </w:tcPr>
          <w:p w14:paraId="524E24F9" w14:textId="77777777" w:rsidR="00185360" w:rsidRPr="00185360" w:rsidRDefault="00DF5E52" w:rsidP="00185360">
            <w:pPr>
              <w:rPr>
                <w:rStyle w:val="gmaildefault"/>
                <w:rFonts w:cs="Arial"/>
                <w:lang w:eastAsia="en-US"/>
              </w:rPr>
            </w:pPr>
            <w:hyperlink r:id="rId15" w:tgtFrame="_blank" w:history="1">
              <w:r w:rsidR="00185360" w:rsidRPr="00185360">
                <w:rPr>
                  <w:rStyle w:val="Hyperlink"/>
                  <w:rFonts w:cs="Arial"/>
                  <w:color w:val="auto"/>
                  <w:u w:val="none"/>
                  <w:lang w:eastAsia="en-US"/>
                </w:rPr>
                <w:t>andrew.miller@health.nsw.gov.au</w:t>
              </w:r>
            </w:hyperlink>
          </w:p>
          <w:p w14:paraId="1AED3622" w14:textId="77777777" w:rsidR="00185360" w:rsidRPr="00185360" w:rsidRDefault="00DF5E52" w:rsidP="00185360">
            <w:pPr>
              <w:rPr>
                <w:rFonts w:cs="Arial"/>
                <w:sz w:val="24"/>
                <w:lang w:eastAsia="en-US"/>
              </w:rPr>
            </w:pPr>
            <w:hyperlink r:id="rId16" w:history="1">
              <w:r w:rsidR="00185360" w:rsidRPr="00185360">
                <w:rPr>
                  <w:rStyle w:val="Hyperlink"/>
                  <w:rFonts w:cs="Arial"/>
                  <w:color w:val="auto"/>
                  <w:u w:val="none"/>
                  <w:lang w:eastAsia="en-US"/>
                </w:rPr>
                <w:t>amiller@uow.edu.au</w:t>
              </w:r>
            </w:hyperlink>
            <w:r w:rsidR="00185360" w:rsidRPr="00185360">
              <w:rPr>
                <w:rFonts w:cs="Arial"/>
                <w:lang w:eastAsia="en-US"/>
              </w:rPr>
              <w:t xml:space="preserve"> </w:t>
            </w:r>
          </w:p>
        </w:tc>
      </w:tr>
      <w:tr w:rsidR="00185360" w:rsidRPr="009F2770" w14:paraId="54DBF490" w14:textId="77777777" w:rsidTr="009F2770">
        <w:trPr>
          <w:trHeight w:val="780"/>
        </w:trPr>
        <w:tc>
          <w:tcPr>
            <w:tcW w:w="2376" w:type="dxa"/>
            <w:shd w:val="clear" w:color="auto" w:fill="auto"/>
            <w:vAlign w:val="center"/>
          </w:tcPr>
          <w:p w14:paraId="23D17C77" w14:textId="77777777" w:rsidR="00185360" w:rsidRPr="009F2770" w:rsidRDefault="00185360" w:rsidP="00185360">
            <w:pPr>
              <w:rPr>
                <w:rFonts w:cs="Arial"/>
                <w:b/>
              </w:rPr>
            </w:pPr>
            <w:r w:rsidRPr="009F2770">
              <w:rPr>
                <w:rFonts w:cs="Arial"/>
                <w:b/>
              </w:rPr>
              <w:t>Role</w:t>
            </w:r>
          </w:p>
        </w:tc>
        <w:tc>
          <w:tcPr>
            <w:tcW w:w="6096" w:type="dxa"/>
            <w:shd w:val="clear" w:color="auto" w:fill="auto"/>
            <w:vAlign w:val="center"/>
          </w:tcPr>
          <w:p w14:paraId="36A0ACFC" w14:textId="77777777" w:rsidR="00CE4DBB" w:rsidRDefault="00185360" w:rsidP="00CE4DBB">
            <w:pPr>
              <w:rPr>
                <w:rFonts w:cs="Arial"/>
                <w:lang w:eastAsia="en-US"/>
              </w:rPr>
            </w:pPr>
            <w:r w:rsidRPr="00185360">
              <w:rPr>
                <w:rFonts w:cs="Arial"/>
                <w:lang w:eastAsia="en-US"/>
              </w:rPr>
              <w:t xml:space="preserve">Co-investigator </w:t>
            </w:r>
          </w:p>
          <w:p w14:paraId="4D190B86" w14:textId="77777777" w:rsidR="00185360" w:rsidRPr="00CE4DBB" w:rsidRDefault="00CE4DBB" w:rsidP="00CE4DBB">
            <w:pPr>
              <w:rPr>
                <w:rFonts w:cs="Arial"/>
                <w:lang w:eastAsia="en-US"/>
              </w:rPr>
            </w:pPr>
            <w:r>
              <w:rPr>
                <w:rFonts w:cs="Arial"/>
                <w:lang w:eastAsia="en-US"/>
              </w:rPr>
              <w:t>C</w:t>
            </w:r>
            <w:r w:rsidR="00185360" w:rsidRPr="00185360">
              <w:rPr>
                <w:rFonts w:cs="Arial"/>
                <w:lang w:eastAsia="en-US"/>
              </w:rPr>
              <w:t xml:space="preserve">o-supervisor (Tiffany Sandell) </w:t>
            </w:r>
          </w:p>
        </w:tc>
      </w:tr>
      <w:tr w:rsidR="00185360" w:rsidRPr="009F2770" w14:paraId="06AD3A43" w14:textId="77777777" w:rsidTr="009F2770">
        <w:trPr>
          <w:trHeight w:val="522"/>
        </w:trPr>
        <w:tc>
          <w:tcPr>
            <w:tcW w:w="2376" w:type="dxa"/>
            <w:shd w:val="clear" w:color="auto" w:fill="auto"/>
            <w:vAlign w:val="center"/>
          </w:tcPr>
          <w:p w14:paraId="15420CD6" w14:textId="77777777" w:rsidR="00185360" w:rsidRPr="009F2770" w:rsidRDefault="00185360" w:rsidP="00185360">
            <w:pPr>
              <w:rPr>
                <w:rFonts w:cs="Arial"/>
                <w:b/>
              </w:rPr>
            </w:pPr>
            <w:r w:rsidRPr="009F2770">
              <w:rPr>
                <w:rFonts w:cs="Arial"/>
                <w:b/>
              </w:rPr>
              <w:t>Responsibilities &amp; tasks in this research project</w:t>
            </w:r>
          </w:p>
        </w:tc>
        <w:tc>
          <w:tcPr>
            <w:tcW w:w="6096" w:type="dxa"/>
            <w:shd w:val="clear" w:color="auto" w:fill="auto"/>
            <w:vAlign w:val="center"/>
          </w:tcPr>
          <w:p w14:paraId="21F31D06" w14:textId="77777777" w:rsidR="00185360" w:rsidRPr="00185360" w:rsidRDefault="00185360" w:rsidP="00185360">
            <w:pPr>
              <w:spacing w:before="100" w:beforeAutospacing="1" w:after="100" w:afterAutospacing="1"/>
              <w:rPr>
                <w:rFonts w:cs="Arial"/>
                <w:sz w:val="24"/>
                <w:lang w:eastAsia="en-US"/>
              </w:rPr>
            </w:pPr>
            <w:r w:rsidRPr="00185360">
              <w:rPr>
                <w:rFonts w:cs="Arial"/>
                <w:lang w:eastAsia="en-US"/>
              </w:rPr>
              <w:t>Prof Andrew Miller will co-supervise and oversee the research, assist in data extraction of patient lists, technological management issues, collaboration for study publications.</w:t>
            </w:r>
          </w:p>
        </w:tc>
      </w:tr>
      <w:tr w:rsidR="00185360" w:rsidRPr="009F2770" w14:paraId="3A00D8C1" w14:textId="77777777" w:rsidTr="009F2770">
        <w:trPr>
          <w:trHeight w:val="920"/>
        </w:trPr>
        <w:tc>
          <w:tcPr>
            <w:tcW w:w="2376" w:type="dxa"/>
            <w:shd w:val="clear" w:color="auto" w:fill="auto"/>
            <w:vAlign w:val="center"/>
          </w:tcPr>
          <w:p w14:paraId="3EA0CFF7" w14:textId="77777777" w:rsidR="00185360" w:rsidRPr="009F2770" w:rsidRDefault="00185360" w:rsidP="00185360">
            <w:pPr>
              <w:rPr>
                <w:rFonts w:cs="Arial"/>
                <w:b/>
              </w:rPr>
            </w:pPr>
            <w:r w:rsidRPr="009F2770">
              <w:rPr>
                <w:rFonts w:cs="Arial"/>
                <w:b/>
              </w:rPr>
              <w:t>Relevant Qualifications</w:t>
            </w:r>
          </w:p>
        </w:tc>
        <w:tc>
          <w:tcPr>
            <w:tcW w:w="6096" w:type="dxa"/>
            <w:shd w:val="clear" w:color="auto" w:fill="auto"/>
            <w:vAlign w:val="center"/>
          </w:tcPr>
          <w:p w14:paraId="3A571657" w14:textId="67DC70E8" w:rsidR="00185360" w:rsidRPr="00185360" w:rsidRDefault="00185360" w:rsidP="00C82358">
            <w:pPr>
              <w:spacing w:before="100" w:beforeAutospacing="1" w:after="100" w:afterAutospacing="1"/>
              <w:rPr>
                <w:rFonts w:cs="Arial"/>
                <w:sz w:val="24"/>
                <w:lang w:eastAsia="en-US"/>
              </w:rPr>
            </w:pPr>
            <w:r w:rsidRPr="00185360">
              <w:rPr>
                <w:rStyle w:val="gmaildefault"/>
                <w:rFonts w:cs="Arial"/>
                <w:lang w:eastAsia="en-US"/>
              </w:rPr>
              <w:t>BSc, GradDipEd(CCAE), BMed  MInfCommTech[Res], FRANZCR, FACHI</w:t>
            </w:r>
            <w:r w:rsidRPr="00185360">
              <w:rPr>
                <w:rFonts w:cs="Arial"/>
                <w:lang w:eastAsia="en-US"/>
              </w:rPr>
              <w:t> </w:t>
            </w:r>
          </w:p>
        </w:tc>
      </w:tr>
      <w:tr w:rsidR="00185360" w:rsidRPr="009F2770" w14:paraId="52B45B4E" w14:textId="77777777" w:rsidTr="009F2770">
        <w:trPr>
          <w:trHeight w:val="382"/>
        </w:trPr>
        <w:tc>
          <w:tcPr>
            <w:tcW w:w="2376" w:type="dxa"/>
            <w:shd w:val="clear" w:color="auto" w:fill="auto"/>
            <w:vAlign w:val="center"/>
          </w:tcPr>
          <w:p w14:paraId="4D883316" w14:textId="77777777" w:rsidR="00185360" w:rsidRPr="009F2770" w:rsidRDefault="00185360" w:rsidP="00185360">
            <w:pPr>
              <w:rPr>
                <w:rFonts w:cs="Arial"/>
                <w:b/>
              </w:rPr>
            </w:pPr>
            <w:r w:rsidRPr="009F2770">
              <w:rPr>
                <w:rFonts w:cs="Arial"/>
                <w:b/>
              </w:rPr>
              <w:t>Experience relevant to this project</w:t>
            </w:r>
          </w:p>
        </w:tc>
        <w:tc>
          <w:tcPr>
            <w:tcW w:w="6096" w:type="dxa"/>
            <w:shd w:val="clear" w:color="auto" w:fill="auto"/>
            <w:vAlign w:val="center"/>
          </w:tcPr>
          <w:p w14:paraId="7D1CBE10" w14:textId="77777777" w:rsidR="00185360" w:rsidRPr="00185360" w:rsidRDefault="00185360" w:rsidP="00185360">
            <w:pPr>
              <w:spacing w:before="100" w:beforeAutospacing="1" w:after="100" w:afterAutospacing="1"/>
              <w:rPr>
                <w:rFonts w:cs="Arial"/>
                <w:sz w:val="24"/>
                <w:lang w:eastAsia="en-US"/>
              </w:rPr>
            </w:pPr>
            <w:r w:rsidRPr="00185360">
              <w:rPr>
                <w:rFonts w:cs="Arial"/>
                <w:lang w:eastAsia="en-US"/>
              </w:rPr>
              <w:t>Radiation Oncologist, ISLHD</w:t>
            </w:r>
          </w:p>
        </w:tc>
      </w:tr>
      <w:tr w:rsidR="00185360" w:rsidRPr="009F2770" w14:paraId="3FE89A9D" w14:textId="77777777" w:rsidTr="009F2770">
        <w:trPr>
          <w:trHeight w:val="1048"/>
        </w:trPr>
        <w:tc>
          <w:tcPr>
            <w:tcW w:w="2376" w:type="dxa"/>
            <w:shd w:val="clear" w:color="auto" w:fill="auto"/>
            <w:vAlign w:val="center"/>
          </w:tcPr>
          <w:p w14:paraId="6C1FA3F6" w14:textId="77777777" w:rsidR="00185360" w:rsidRPr="009F2770" w:rsidRDefault="00185360" w:rsidP="00185360">
            <w:pPr>
              <w:rPr>
                <w:rFonts w:cs="Arial"/>
                <w:b/>
              </w:rPr>
            </w:pPr>
            <w:r w:rsidRPr="009F2770">
              <w:rPr>
                <w:rFonts w:cs="Arial"/>
                <w:b/>
              </w:rPr>
              <w:t>Expertise relevant to this project</w:t>
            </w:r>
          </w:p>
        </w:tc>
        <w:tc>
          <w:tcPr>
            <w:tcW w:w="6096" w:type="dxa"/>
            <w:shd w:val="clear" w:color="auto" w:fill="auto"/>
            <w:vAlign w:val="center"/>
          </w:tcPr>
          <w:p w14:paraId="14E21266" w14:textId="0EE459E3" w:rsidR="00185360" w:rsidRPr="00185360" w:rsidRDefault="00185360" w:rsidP="00C82358">
            <w:pPr>
              <w:spacing w:before="100" w:beforeAutospacing="1" w:after="100" w:afterAutospacing="1"/>
              <w:rPr>
                <w:rFonts w:cs="Arial"/>
                <w:sz w:val="24"/>
                <w:lang w:eastAsia="en-US"/>
              </w:rPr>
            </w:pPr>
            <w:r w:rsidRPr="00185360">
              <w:rPr>
                <w:rStyle w:val="gmaildefault"/>
                <w:rFonts w:cs="Arial"/>
                <w:lang w:eastAsia="en-US"/>
              </w:rPr>
              <w:t>Honorary Professional Fellow, School of EIS</w:t>
            </w:r>
          </w:p>
        </w:tc>
      </w:tr>
    </w:tbl>
    <w:p w14:paraId="59803E6B" w14:textId="77777777" w:rsidR="001E59DC" w:rsidRPr="00C46E12" w:rsidRDefault="001E59DC" w:rsidP="00C46E12">
      <w:pPr>
        <w:jc w:val="both"/>
        <w:rPr>
          <w:rFonts w:cs="Arial"/>
        </w:rPr>
      </w:pPr>
    </w:p>
    <w:p w14:paraId="27E7705B" w14:textId="77777777" w:rsidR="001E59DC" w:rsidRPr="00C46E12" w:rsidRDefault="001E59DC" w:rsidP="00C46E12">
      <w:pPr>
        <w:jc w:val="both"/>
        <w:rPr>
          <w:rFonts w:cs="Arial"/>
        </w:rPr>
      </w:pPr>
    </w:p>
    <w:p w14:paraId="74CE1298" w14:textId="77777777" w:rsidR="001E59DC" w:rsidRPr="00C46E12" w:rsidRDefault="001E59DC" w:rsidP="00C46E12">
      <w:pPr>
        <w:jc w:val="both"/>
        <w:rPr>
          <w:rFonts w:cs="Arial"/>
        </w:rPr>
      </w:pPr>
    </w:p>
    <w:p w14:paraId="20AC529F" w14:textId="77777777" w:rsidR="00DA4BB6" w:rsidRPr="00C46E12" w:rsidRDefault="00DA4BB6" w:rsidP="00C46E12">
      <w:pPr>
        <w:jc w:val="both"/>
        <w:rPr>
          <w:rFonts w:cs="Arial"/>
          <w:b/>
          <w:szCs w:val="22"/>
        </w:rPr>
      </w:pPr>
    </w:p>
    <w:p w14:paraId="0DEA6BEA" w14:textId="77777777" w:rsidR="00606728" w:rsidRPr="00C46E12" w:rsidRDefault="00606728" w:rsidP="00C46E12">
      <w:pPr>
        <w:jc w:val="both"/>
        <w:rPr>
          <w:rFonts w:cs="Arial"/>
          <w:color w:val="000000"/>
          <w:szCs w:val="22"/>
        </w:rPr>
      </w:pPr>
    </w:p>
    <w:p w14:paraId="753AB4CA" w14:textId="77777777" w:rsidR="001D1813" w:rsidRPr="00C46E12" w:rsidRDefault="001D1813" w:rsidP="00C46E12">
      <w:pPr>
        <w:jc w:val="both"/>
        <w:rPr>
          <w:rFonts w:cs="Arial"/>
          <w:color w:val="000000"/>
          <w:szCs w:val="22"/>
        </w:rPr>
      </w:pPr>
    </w:p>
    <w:p w14:paraId="68369FD8" w14:textId="77777777" w:rsidR="001D1813" w:rsidRPr="00C46E12" w:rsidRDefault="001D1813" w:rsidP="00C46E12">
      <w:pPr>
        <w:jc w:val="both"/>
        <w:rPr>
          <w:rFonts w:cs="Arial"/>
          <w:color w:val="000000"/>
          <w:szCs w:val="22"/>
        </w:rPr>
      </w:pPr>
    </w:p>
    <w:p w14:paraId="129F020E" w14:textId="77777777" w:rsidR="001D1813" w:rsidRPr="00C46E12" w:rsidRDefault="001D1813" w:rsidP="00C46E12">
      <w:pPr>
        <w:jc w:val="both"/>
        <w:rPr>
          <w:rFonts w:cs="Arial"/>
          <w:szCs w:val="22"/>
        </w:rPr>
      </w:pPr>
    </w:p>
    <w:p w14:paraId="668F0E77" w14:textId="77777777" w:rsidR="003E4C02" w:rsidRPr="00C46E12" w:rsidRDefault="003E4C02" w:rsidP="00C46E12">
      <w:pPr>
        <w:jc w:val="both"/>
        <w:outlineLvl w:val="0"/>
        <w:rPr>
          <w:rFonts w:cs="Arial"/>
          <w:b/>
          <w:color w:val="1F4E79"/>
          <w:szCs w:val="22"/>
        </w:rPr>
        <w:sectPr w:rsidR="003E4C02" w:rsidRPr="00C46E12" w:rsidSect="002C7A13">
          <w:pgSz w:w="11906" w:h="16838"/>
          <w:pgMar w:top="1440" w:right="1800" w:bottom="1134" w:left="1800" w:header="708" w:footer="708" w:gutter="0"/>
          <w:cols w:space="708"/>
          <w:docGrid w:linePitch="360"/>
        </w:sectPr>
      </w:pPr>
      <w:bookmarkStart w:id="25" w:name="_Toc224114238"/>
      <w:bookmarkStart w:id="26" w:name="_Toc224114363"/>
      <w:bookmarkStart w:id="27" w:name="_Toc229297233"/>
      <w:bookmarkStart w:id="28" w:name="_Toc229297340"/>
      <w:bookmarkStart w:id="29" w:name="_Toc229298363"/>
      <w:bookmarkStart w:id="30" w:name="_Toc229307330"/>
      <w:bookmarkStart w:id="31" w:name="_Toc229308150"/>
      <w:bookmarkStart w:id="32" w:name="_Toc235338624"/>
      <w:bookmarkStart w:id="33" w:name="_Toc236472623"/>
      <w:bookmarkStart w:id="34" w:name="_Toc236473743"/>
      <w:bookmarkStart w:id="35" w:name="_Toc237834106"/>
      <w:bookmarkStart w:id="36" w:name="_Toc5365089"/>
    </w:p>
    <w:p w14:paraId="192ADA47" w14:textId="77777777" w:rsidR="006F340C" w:rsidRPr="00C46E12" w:rsidRDefault="00F413D5" w:rsidP="00CE4DBB">
      <w:pPr>
        <w:pStyle w:val="Heading1"/>
        <w:spacing w:after="0"/>
        <w:jc w:val="both"/>
        <w:rPr>
          <w:rFonts w:cs="Arial"/>
        </w:rPr>
      </w:pPr>
      <w:bookmarkStart w:id="37" w:name="_Toc5734775"/>
      <w:bookmarkStart w:id="38" w:name="_Toc5734886"/>
      <w:bookmarkStart w:id="39" w:name="_Toc5735011"/>
      <w:bookmarkStart w:id="40" w:name="_Toc51588803"/>
      <w:r w:rsidRPr="00C46E12">
        <w:rPr>
          <w:rFonts w:cs="Arial"/>
        </w:rPr>
        <w:lastRenderedPageBreak/>
        <w:t>2</w:t>
      </w:r>
      <w:r w:rsidR="002B0F54" w:rsidRPr="00C46E12">
        <w:rPr>
          <w:rFonts w:cs="Arial"/>
        </w:rPr>
        <w:t xml:space="preserve">.  </w:t>
      </w:r>
      <w:bookmarkEnd w:id="25"/>
      <w:bookmarkEnd w:id="26"/>
      <w:bookmarkEnd w:id="27"/>
      <w:bookmarkEnd w:id="28"/>
      <w:bookmarkEnd w:id="29"/>
      <w:bookmarkEnd w:id="30"/>
      <w:bookmarkEnd w:id="31"/>
      <w:bookmarkEnd w:id="32"/>
      <w:bookmarkEnd w:id="33"/>
      <w:bookmarkEnd w:id="34"/>
      <w:bookmarkEnd w:id="35"/>
      <w:bookmarkEnd w:id="36"/>
      <w:r w:rsidR="00FD1B7E" w:rsidRPr="00C46E12">
        <w:rPr>
          <w:rFonts w:cs="Arial"/>
        </w:rPr>
        <w:t>R</w:t>
      </w:r>
      <w:r w:rsidR="00BE38B8" w:rsidRPr="00C46E12">
        <w:rPr>
          <w:rFonts w:cs="Arial"/>
        </w:rPr>
        <w:t>ational</w:t>
      </w:r>
      <w:r w:rsidR="00DE39B4" w:rsidRPr="00C46E12">
        <w:rPr>
          <w:rFonts w:cs="Arial"/>
        </w:rPr>
        <w:t>e</w:t>
      </w:r>
      <w:r w:rsidR="00BE38B8" w:rsidRPr="00C46E12">
        <w:rPr>
          <w:rFonts w:cs="Arial"/>
        </w:rPr>
        <w:t xml:space="preserve"> </w:t>
      </w:r>
      <w:bookmarkEnd w:id="37"/>
      <w:bookmarkEnd w:id="38"/>
      <w:bookmarkEnd w:id="39"/>
      <w:r w:rsidR="00482597" w:rsidRPr="00C46E12">
        <w:rPr>
          <w:rFonts w:cs="Arial"/>
        </w:rPr>
        <w:t>for the research</w:t>
      </w:r>
      <w:bookmarkEnd w:id="40"/>
    </w:p>
    <w:p w14:paraId="1C04909D" w14:textId="0AC90DFB" w:rsidR="000D1DDB" w:rsidRPr="00C46E12" w:rsidRDefault="002E14BA" w:rsidP="00CE4DBB">
      <w:pPr>
        <w:jc w:val="both"/>
        <w:rPr>
          <w:rFonts w:cs="Arial"/>
          <w:lang w:val="sv-SE"/>
        </w:rPr>
      </w:pPr>
      <w:bookmarkStart w:id="41" w:name="_Toc224114239"/>
      <w:bookmarkStart w:id="42" w:name="_Toc224114364"/>
      <w:bookmarkStart w:id="43" w:name="_Toc229297234"/>
      <w:bookmarkStart w:id="44" w:name="_Toc229297341"/>
      <w:bookmarkStart w:id="45" w:name="_Toc229298364"/>
      <w:bookmarkStart w:id="46" w:name="_Toc229307331"/>
      <w:bookmarkStart w:id="47" w:name="_Toc229308151"/>
      <w:bookmarkStart w:id="48" w:name="_Toc235338625"/>
      <w:bookmarkStart w:id="49" w:name="_Toc236472625"/>
      <w:bookmarkStart w:id="50" w:name="_Toc236473745"/>
      <w:bookmarkStart w:id="51" w:name="_Toc237834107"/>
      <w:bookmarkStart w:id="52" w:name="_Toc5365090"/>
      <w:r w:rsidRPr="00C46E12">
        <w:rPr>
          <w:rFonts w:eastAsia="Calibri" w:cs="Arial"/>
          <w:spacing w:val="1"/>
          <w:szCs w:val="22"/>
        </w:rPr>
        <w:t xml:space="preserve">The </w:t>
      </w:r>
      <w:r w:rsidR="00CF203B" w:rsidRPr="00C46E12">
        <w:rPr>
          <w:rFonts w:eastAsia="Calibri" w:cs="Arial"/>
          <w:spacing w:val="1"/>
          <w:szCs w:val="22"/>
        </w:rPr>
        <w:t xml:space="preserve">increasing </w:t>
      </w:r>
      <w:r w:rsidRPr="00C46E12">
        <w:rPr>
          <w:rFonts w:eastAsia="Calibri" w:cs="Arial"/>
          <w:spacing w:val="1"/>
          <w:szCs w:val="22"/>
        </w:rPr>
        <w:t>incidence of cancer</w:t>
      </w:r>
      <w:r w:rsidR="00CF203B" w:rsidRPr="00C46E12">
        <w:rPr>
          <w:rFonts w:eastAsia="Calibri" w:cs="Arial"/>
          <w:spacing w:val="1"/>
          <w:szCs w:val="22"/>
        </w:rPr>
        <w:t>,</w:t>
      </w:r>
      <w:r w:rsidRPr="00C46E12">
        <w:rPr>
          <w:rFonts w:eastAsia="Calibri" w:cs="Arial"/>
          <w:spacing w:val="1"/>
          <w:szCs w:val="22"/>
        </w:rPr>
        <w:t xml:space="preserve"> </w:t>
      </w:r>
      <w:r w:rsidR="00CF203B" w:rsidRPr="00C46E12">
        <w:rPr>
          <w:rFonts w:eastAsia="Calibri" w:cs="Arial"/>
          <w:spacing w:val="1"/>
          <w:szCs w:val="22"/>
        </w:rPr>
        <w:t>coupled with</w:t>
      </w:r>
      <w:r w:rsidRPr="00C46E12">
        <w:rPr>
          <w:rFonts w:eastAsia="Calibri" w:cs="Arial"/>
          <w:spacing w:val="1"/>
          <w:szCs w:val="22"/>
        </w:rPr>
        <w:t xml:space="preserve"> the </w:t>
      </w:r>
      <w:r w:rsidR="00CF203B" w:rsidRPr="00C46E12">
        <w:rPr>
          <w:rFonts w:eastAsia="Calibri" w:cs="Arial"/>
          <w:spacing w:val="1"/>
          <w:szCs w:val="22"/>
        </w:rPr>
        <w:t xml:space="preserve">decreasing </w:t>
      </w:r>
      <w:r w:rsidRPr="00C46E12">
        <w:rPr>
          <w:rFonts w:eastAsia="Calibri" w:cs="Arial"/>
          <w:spacing w:val="1"/>
          <w:szCs w:val="22"/>
        </w:rPr>
        <w:t>mortality</w:t>
      </w:r>
      <w:r w:rsidR="00E52B63" w:rsidRPr="00C46E12">
        <w:rPr>
          <w:rFonts w:eastAsia="Calibri" w:cs="Arial"/>
          <w:spacing w:val="1"/>
          <w:szCs w:val="22"/>
        </w:rPr>
        <w:t xml:space="preserve"> rate</w:t>
      </w:r>
      <w:r w:rsidR="009A2197" w:rsidRPr="00C46E12">
        <w:rPr>
          <w:rFonts w:eastAsia="Calibri" w:cs="Arial"/>
          <w:spacing w:val="1"/>
          <w:szCs w:val="22"/>
        </w:rPr>
        <w:t>,</w:t>
      </w:r>
      <w:r w:rsidRPr="00C46E12">
        <w:rPr>
          <w:rFonts w:eastAsia="Calibri" w:cs="Arial"/>
          <w:spacing w:val="1"/>
          <w:szCs w:val="22"/>
        </w:rPr>
        <w:t xml:space="preserve"> </w:t>
      </w:r>
      <w:r w:rsidR="00E22234" w:rsidRPr="00C46E12">
        <w:rPr>
          <w:rFonts w:eastAsia="Calibri" w:cs="Arial"/>
          <w:spacing w:val="1"/>
          <w:szCs w:val="22"/>
        </w:rPr>
        <w:t xml:space="preserve">has </w:t>
      </w:r>
      <w:r w:rsidR="009173EC" w:rsidRPr="00C46E12">
        <w:rPr>
          <w:rFonts w:eastAsia="Calibri" w:cs="Arial"/>
          <w:spacing w:val="1"/>
          <w:szCs w:val="22"/>
        </w:rPr>
        <w:t xml:space="preserve">resulted in </w:t>
      </w:r>
      <w:r w:rsidR="001C4A7C" w:rsidRPr="00C46E12">
        <w:rPr>
          <w:rFonts w:eastAsia="Calibri" w:cs="Arial"/>
          <w:spacing w:val="1"/>
          <w:szCs w:val="22"/>
        </w:rPr>
        <w:t>higher</w:t>
      </w:r>
      <w:r w:rsidR="009173EC" w:rsidRPr="00C46E12">
        <w:rPr>
          <w:rFonts w:eastAsia="Calibri" w:cs="Arial"/>
          <w:spacing w:val="1"/>
          <w:szCs w:val="22"/>
        </w:rPr>
        <w:t xml:space="preserve"> </w:t>
      </w:r>
      <w:r w:rsidR="00CF203B" w:rsidRPr="00C46E12">
        <w:rPr>
          <w:rFonts w:eastAsia="Calibri" w:cs="Arial"/>
          <w:spacing w:val="1"/>
          <w:szCs w:val="22"/>
        </w:rPr>
        <w:t>demand for</w:t>
      </w:r>
      <w:r w:rsidRPr="00C46E12">
        <w:rPr>
          <w:rFonts w:eastAsia="Calibri" w:cs="Arial"/>
          <w:spacing w:val="1"/>
          <w:szCs w:val="22"/>
        </w:rPr>
        <w:t xml:space="preserve"> cancer follow-up care</w:t>
      </w:r>
      <w:r w:rsidR="00F75ECE">
        <w:rPr>
          <w:rFonts w:eastAsia="Calibri" w:cs="Arial"/>
          <w:spacing w:val="1"/>
          <w:szCs w:val="22"/>
        </w:rPr>
        <w:t xml:space="preserve"> </w:t>
      </w:r>
      <w:r w:rsidR="000963A0" w:rsidRPr="00C46E12">
        <w:rPr>
          <w:rFonts w:eastAsia="Calibri" w:cs="Arial"/>
          <w:color w:val="000000"/>
          <w:spacing w:val="1"/>
          <w:szCs w:val="22"/>
        </w:rPr>
        <w:fldChar w:fldCharType="begin"/>
      </w:r>
      <w:r w:rsidR="003513CC">
        <w:rPr>
          <w:rFonts w:eastAsia="Calibri" w:cs="Arial"/>
          <w:color w:val="000000"/>
          <w:spacing w:val="1"/>
          <w:szCs w:val="22"/>
        </w:rPr>
        <w:instrText xml:space="preserve"> ADDIN ZOTERO_ITEM CSL_CITATION {"citationID":"wg06Mycu","properties":{"formattedCitation":"\\super 1\\uc0\\u8211{}3\\nosupersub{}","plainCitation":"1–3","noteIndex":0},"citationItems":[{"id":784,"uris":["http://zotero.org/users/5346176/items/4KNYZ9ZH"],"uri":["http://zotero.org/users/5346176/items/4KNYZ9ZH"],"itemData":{"id":784,"type":"article-journal","title":"Global cancer statistics, 2012","container-title":"CA: A Cancer Journal for Clinicians","page":"87-108","volume":"65","issue":"2","source":"Wiley Online Library","abstract":"Cancer constitutes an enormous burden on society in more and less economically developed countries alike. The occurrence of cancer is increasing because of the growth and aging of the population, as well as an increasing prevalence of established risk factors such as smoking, overweight, physical inactivity, and changing reproductive patterns associated with urbanization and economic development. Based on GLOBOCAN estimates, about 14.1 million new cancer cases and 8.2 million deaths occurred in 2012 worldwide. Over the years, the burden has shifted to less developed countries, which currently account for about 57% of cases and 65% of cancer deaths worldwide. Lung cancer is the leading cause of cancer death among males in both more and less developed countries, and has surpassed breast cancer as the leading cause of cancer death among females in more developed countries; breast cancer remains the leading cause of cancer death among females in less developed countries. Other leading causes of cancer death in more developed countries include colorectal cancer among males and females and prostate cancer among males. In less developed countries, liver and stomach cancer among males and cervical cancer among females are also leading causes of cancer death. Although incidence rates for all cancers combined are nearly twice as high in more developed than in less developed countries in both males and females, mortality rates are only 8% to 15% higher in more developed countries. This disparity reflects regional differences in the mix of cancers, which is affected by risk factors and detection practices, and/or the availability of treatment. Risk factors associated with the leading causes of cancer death include tobacco use (lung, colorectal, stomach, and liver cancer), overweight/obesity and physical inactivity (breast and colorectal cancer), and infection (liver, stomach, and cervical cancer). A substantial portion of cancer cases and deaths could be prevented by broadly applying effective prevention measures, such as tobacco control, vaccination, and the use of early detection tests. CA Cancer J Clin 2015;65: 87–108. © 2015 American Cancer Society.","DOI":"10.3322/caac.21262","ISSN":"1542-4863","language":"en","author":[{"family":"Torre","given":"Lindsey A."},{"family":"Bray","given":"Freddie"},{"family":"Siegel","given":"Rebecca L."},{"family":"Ferlay","given":"Jacques"},{"family":"Lortet</w:instrText>
      </w:r>
      <w:r w:rsidR="003513CC">
        <w:rPr>
          <w:rFonts w:ascii="Cambria Math" w:eastAsia="Calibri" w:hAnsi="Cambria Math" w:cs="Cambria Math"/>
          <w:color w:val="000000"/>
          <w:spacing w:val="1"/>
          <w:szCs w:val="22"/>
        </w:rPr>
        <w:instrText>‐</w:instrText>
      </w:r>
      <w:r w:rsidR="003513CC">
        <w:rPr>
          <w:rFonts w:eastAsia="Calibri" w:cs="Arial"/>
          <w:color w:val="000000"/>
          <w:spacing w:val="1"/>
          <w:szCs w:val="22"/>
        </w:rPr>
        <w:instrText xml:space="preserve">Tieulent","given":"Joannie"},{"family":"Jemal","given":"Ahmedin"}],"issued":{"date-parts":[["2015"]]}}},{"id":632,"uris":["http://zotero.org/users/5346176/items/TFLVI52Q"],"uri":["http://zotero.org/users/5346176/items/TFLVI52Q"],"itemData":{"id":632,"type":"article-journal","title":"The role of primary care in supporting patients living with and beyond cancer:","container-title":"Supportive Cancer Care,  Oxford OX3 0FL, UK.","page":"1","source":"Crossref","abstract":"The four pillars of primary care – contact, comprehensiveness, continuity and coordination – are recurring themes in the cancer survivorship literature and emphasize that the traditional core values of general practice lend themselves to innovative interventions to improve the efficiency and efficacy of survivorship care.","DOI":"10.1097/SPC.0000000000000369","ISSN":"1751-4258","title-short":"The role of primary care in supporting patients living with and beyond cancer","language":"en","author":[{"family":"Adam","given":"Rosalind"},{"family":"Watson","given":"Eila"}],"issued":{"date-parts":[["2018",7]]}}},{"id":6,"uris":["http://zotero.org/users/5346176/items/RY3Q3RMW"],"uri":["http://zotero.org/users/5346176/items/RY3Q3RMW"],"itemData":{"id":6,"type":"article-journal","title":"Global cancer statistics 2018: GLOBOCAN estimates of incidence and mortality worldwide for 36 cancers in 185 countries","container-title":"CA: A Cancer Journal for Clinicians","page":"394-424","volume":"68","issue":"6","source":"Crossref","DOI":"10.3322/caac.21492","ISSN":"00079235","title-short":"Global cancer statistics 2018","language":"en","author":[{"family":"Bray","given":"Freddie"},{"family":"Ferlay","given":"Jacques"},{"family":"Soerjomataram","given":"Isabelle"},{"family":"Siegel","given":"Rebecca L."},{"family":"Torre","given":"Lindsey A."},{"family":"Jemal","given":"Ahmedin"}],"issued":{"date-parts":[["2018",11]]}}}],"schema":"https://github.com/citation-style-language/schema/raw/master/csl-citation.json"} </w:instrText>
      </w:r>
      <w:r w:rsidR="000963A0" w:rsidRPr="00C46E12">
        <w:rPr>
          <w:rFonts w:eastAsia="Calibri" w:cs="Arial"/>
          <w:color w:val="000000"/>
          <w:spacing w:val="1"/>
          <w:szCs w:val="22"/>
        </w:rPr>
        <w:fldChar w:fldCharType="separate"/>
      </w:r>
      <w:r w:rsidR="00B03D42" w:rsidRPr="00C46E12">
        <w:rPr>
          <w:rFonts w:cs="Arial"/>
          <w:vertAlign w:val="superscript"/>
        </w:rPr>
        <w:t>1–3</w:t>
      </w:r>
      <w:r w:rsidR="000963A0" w:rsidRPr="00C46E12">
        <w:rPr>
          <w:rFonts w:eastAsia="Calibri" w:cs="Arial"/>
          <w:color w:val="000000"/>
          <w:spacing w:val="1"/>
          <w:szCs w:val="22"/>
        </w:rPr>
        <w:fldChar w:fldCharType="end"/>
      </w:r>
      <w:r w:rsidRPr="00C46E12">
        <w:rPr>
          <w:rFonts w:eastAsia="Calibri" w:cs="Arial"/>
          <w:spacing w:val="1"/>
          <w:szCs w:val="22"/>
        </w:rPr>
        <w:t xml:space="preserve">. </w:t>
      </w:r>
      <w:r w:rsidR="00DE39B4" w:rsidRPr="00C46E12">
        <w:rPr>
          <w:rFonts w:cs="Arial"/>
        </w:rPr>
        <w:t>This has led</w:t>
      </w:r>
      <w:r w:rsidR="002C155D">
        <w:rPr>
          <w:rFonts w:cs="Arial"/>
        </w:rPr>
        <w:t xml:space="preserve"> researchers and health services to question</w:t>
      </w:r>
      <w:r w:rsidR="00DE39B4" w:rsidRPr="00C46E12">
        <w:rPr>
          <w:rFonts w:cs="Arial"/>
        </w:rPr>
        <w:t xml:space="preserve"> the </w:t>
      </w:r>
      <w:r w:rsidR="00DE39B4" w:rsidRPr="00C46E12">
        <w:rPr>
          <w:rFonts w:eastAsia="Calibri" w:cs="Arial"/>
          <w:spacing w:val="1"/>
          <w:szCs w:val="22"/>
        </w:rPr>
        <w:t xml:space="preserve">sustainability of oncologist-led cancer follow-up care </w:t>
      </w:r>
      <w:r w:rsidR="00CE4DBB">
        <w:rPr>
          <w:rFonts w:eastAsia="Calibri" w:cs="Arial"/>
          <w:spacing w:val="1"/>
          <w:szCs w:val="22"/>
        </w:rPr>
        <w:t>in hospitals</w:t>
      </w:r>
      <w:r w:rsidR="00F75ECE">
        <w:rPr>
          <w:rFonts w:eastAsia="Calibri" w:cs="Arial"/>
          <w:spacing w:val="1"/>
          <w:szCs w:val="22"/>
        </w:rPr>
        <w:t xml:space="preserve"> </w:t>
      </w:r>
      <w:r w:rsidR="00DE39B4" w:rsidRPr="00C46E12">
        <w:rPr>
          <w:rFonts w:eastAsia="Calibri" w:cs="Arial"/>
          <w:spacing w:val="1"/>
          <w:szCs w:val="22"/>
        </w:rPr>
        <w:fldChar w:fldCharType="begin"/>
      </w:r>
      <w:r w:rsidR="003513CC">
        <w:rPr>
          <w:rFonts w:eastAsia="Calibri" w:cs="Arial"/>
          <w:spacing w:val="1"/>
          <w:szCs w:val="22"/>
        </w:rPr>
        <w:instrText xml:space="preserve"> ADDIN ZOTERO_ITEM CSL_CITATION {"citationID":"GyEIj8rc","properties":{"formattedCitation":"\\super 4,5\\nosupersub{}","plainCitation":"4,5","noteIndex":0},"citationItems":[{"id":25,"uris":["http://zotero.org/users/5346176/items/EAVGKUFN"],"uri":["http://zotero.org/users/5346176/items/EAVGKUFN"],"itemData":{"id":25,"type":"article-journal","title":"Patients’ beliefs about the aims of breast cancer follow-up: A qualitative study","container-title":"Maturitas","page":"140-144","volume":"91","source":"Crossref","abstract":"Objective: To explore patients’ beliefs about the aims of breast cancer follow-up, and to compare these with the current literature on best practice for survivor care. Study design: We reviewed the literature on breast cancer and interviewed 61 women with a history of early-stage breast cancer. By means of descriptive content analysis with qualitative and quantitative elements, the patients’ verbatim responses were thematically and independently analysed by two researchers. Results were compared with current literature and breast cancer guidelines.\nResults: When patients were asked to comment on what they thought the aims of breast cancer follow-up were, they most frequently mentioned ‘detection of recurrence’ and ‘receiving reassurance’, followed by ‘receiving psychological support’, and ‘collecting data to evaluate care’. Some patients explicitly mentioned ‘surveillance for metastatic disease’ as an aim of follow-up. However, some patients believed that breast cancer could not recur after 2–5 years of follow-up, and that recurrences could not develop directly after or between follow-up appointments. In relation to follow-up appointments, some patients experienced anxiety, while others felt it made them confront their breast cancer history.\nConclusions: Patients’ beliefs are often not in line with guidelines. Educating patients about the aims of follow-up, and the evidence underlying it, might be important, in part to make patients’ expectations more realistic.","DOI":"10.1016/j.maturitas.2016.06.014","ISSN":"03785122","title-short":"Patients’ beliefs about the aims of breast cancer follow-up","language":"en","author":[{"family":"Berendsen","given":"Annette J."},{"family":"Roorda","given":"Carriene"},{"family":"Jansen","given":"Liesbeth"},{"family":"Bock","given":"Geertruida H.","non-dropping-particle":"de"}],"issued":{"date-parts":[["2016",9]]}}},{"id":18,"uris":["http://zotero.org/users/5346176/items/MEPNKXD7"],"uri":["http://zotero.org/users/5346176/items/MEPNKXD7"],"itemData":{"id":18,"type":"article-journal","title":"Patients' preferences for post-treatment breast cancer follow-up in primary care vs. secondary care: a qualitative study","container-title":"Health Expectations","page":"2192-2201","volume":"18","issue":"6","source":"Crossref","abstract":"Objective To explore patients’ preferences for follow-up in primary care vs. secondary care.\nMethods A cross-sectional design was employed, involving semistructured interviews with 70 female patients with a history of early-stage breast cancer. Using descriptive content analysis, interview transcripts were analysed independently and thematically by two researchers. Findings Patients expressed the strongest preference for annual visits (31/68), a schedule with a decreasing frequency over time (27/ 68), and follow-up &gt; 10 years, including lifelong follow-up (20/64). The majority (56/61) preferred to receive follow-up care from the same care provider over time, for reasons related to a personal doctor–patient relationship and the physician’s knowledge of the patient’s history. About 75% (43/56) preferred specialist follow-up to other follow-up models. However, primary care-based follow-up would be accepted by 57% (39/68) provided that there is good communication between GPs and specialists, and suﬃcient knowledge among GPs about follow-up. Perceived beneﬁts of primary care-based follow-up referred to the personal nature of the GP–patient relationship and the easy access to primary care. Perceived barriers included limited oncology knowledge and skills, time available, motivation among GPs to provide follow-up care and patients’ conﬁdence with the present specialist follow-up.\nConclusions More than half of the patients were open to primary care-based follow-up. Patients’ conﬁdence with this follow-up model may increase by using survivorship care plans to facilitate communication across the primary/secondary interface and with patients. Training GPs to improve their oncology knowledge and skills might also increase patients’ conﬁdence.","DOI":"10.1111/hex.12189","ISSN":"13696513","title-short":"Patients' preferences for post-treatment breast cancer follow-up in primary care vs. secondary care","language":"en","author":[{"family":"Roorda","given":"Carriene"},{"family":"Bock","given":"Geertruida H.","non-dropping-particle":"de"},{"family":"Scholing","given":"Christian"},{"family":"Meer","given":"Klaas","non-dropping-particle":"van der"},{"family":"Berger","given":"Marjolein Y."},{"family":"Fouw","given":"Marlieke","non-dropping-particle":"de"},{"family":"Berendsen","given":"Annette J."}],"issued":{"date-parts":[["2015",12]]}}}],"schema":"https://github.com/citation-style-language/schema/raw/master/csl-citation.json"} </w:instrText>
      </w:r>
      <w:r w:rsidR="00DE39B4" w:rsidRPr="00C46E12">
        <w:rPr>
          <w:rFonts w:eastAsia="Calibri" w:cs="Arial"/>
          <w:spacing w:val="1"/>
          <w:szCs w:val="22"/>
        </w:rPr>
        <w:fldChar w:fldCharType="separate"/>
      </w:r>
      <w:r w:rsidR="00B03D42" w:rsidRPr="00C46E12">
        <w:rPr>
          <w:rFonts w:cs="Arial"/>
          <w:vertAlign w:val="superscript"/>
        </w:rPr>
        <w:t>4,5</w:t>
      </w:r>
      <w:r w:rsidR="00DE39B4" w:rsidRPr="00C46E12">
        <w:rPr>
          <w:rFonts w:eastAsia="Calibri" w:cs="Arial"/>
          <w:spacing w:val="1"/>
          <w:szCs w:val="22"/>
        </w:rPr>
        <w:fldChar w:fldCharType="end"/>
      </w:r>
      <w:r w:rsidR="00164507">
        <w:rPr>
          <w:rFonts w:eastAsia="Calibri" w:cs="Arial"/>
          <w:spacing w:val="1"/>
          <w:szCs w:val="22"/>
        </w:rPr>
        <w:t xml:space="preserve"> and driven the need to find alternative models of care</w:t>
      </w:r>
      <w:r w:rsidR="00DE39B4" w:rsidRPr="00C46E12">
        <w:rPr>
          <w:rFonts w:eastAsia="Calibri" w:cs="Arial"/>
          <w:spacing w:val="1"/>
          <w:szCs w:val="22"/>
        </w:rPr>
        <w:t>.</w:t>
      </w:r>
      <w:r w:rsidR="00DE39B4" w:rsidRPr="00C46E12">
        <w:rPr>
          <w:rFonts w:cs="Arial"/>
          <w:lang w:val="sv-SE"/>
        </w:rPr>
        <w:t xml:space="preserve"> </w:t>
      </w:r>
      <w:r w:rsidR="00164507">
        <w:rPr>
          <w:rFonts w:cs="Arial"/>
          <w:lang w:val="sv-SE"/>
        </w:rPr>
        <w:t>T</w:t>
      </w:r>
      <w:r w:rsidR="000D1DDB" w:rsidRPr="00C46E12">
        <w:rPr>
          <w:rFonts w:eastAsia="Calibri" w:cs="Arial"/>
          <w:spacing w:val="1"/>
          <w:szCs w:val="22"/>
        </w:rPr>
        <w:t>he number of follow-up consultations at the Radiation Oncology Department</w:t>
      </w:r>
      <w:r w:rsidR="00AA75CB" w:rsidRPr="00C46E12">
        <w:rPr>
          <w:rFonts w:eastAsia="Calibri" w:cs="Arial"/>
          <w:spacing w:val="1"/>
          <w:szCs w:val="22"/>
        </w:rPr>
        <w:t xml:space="preserve">, </w:t>
      </w:r>
      <w:r w:rsidR="000D1DDB" w:rsidRPr="00C46E12">
        <w:rPr>
          <w:rFonts w:eastAsia="Calibri" w:cs="Arial"/>
          <w:spacing w:val="1"/>
          <w:szCs w:val="22"/>
        </w:rPr>
        <w:t xml:space="preserve">Illawarra Shoalhaven Local Health District has increased 20% over the past </w:t>
      </w:r>
      <w:r w:rsidR="00185360">
        <w:rPr>
          <w:rFonts w:eastAsia="Calibri" w:cs="Arial"/>
          <w:spacing w:val="1"/>
          <w:szCs w:val="22"/>
        </w:rPr>
        <w:t>five</w:t>
      </w:r>
      <w:r w:rsidR="000D1DDB" w:rsidRPr="00C46E12">
        <w:rPr>
          <w:rFonts w:eastAsia="Calibri" w:cs="Arial"/>
          <w:spacing w:val="1"/>
          <w:szCs w:val="22"/>
        </w:rPr>
        <w:t xml:space="preserve"> years</w:t>
      </w:r>
      <w:r w:rsidR="00164507">
        <w:rPr>
          <w:rFonts w:eastAsia="Calibri" w:cs="Arial"/>
          <w:spacing w:val="1"/>
          <w:szCs w:val="22"/>
        </w:rPr>
        <w:t xml:space="preserve">. This </w:t>
      </w:r>
      <w:r w:rsidR="000D1DDB" w:rsidRPr="00C46E12">
        <w:rPr>
          <w:rFonts w:eastAsia="Calibri" w:cs="Arial"/>
          <w:spacing w:val="1"/>
          <w:szCs w:val="22"/>
        </w:rPr>
        <w:t xml:space="preserve">is expected to </w:t>
      </w:r>
      <w:r w:rsidR="00164507">
        <w:rPr>
          <w:rFonts w:eastAsia="Calibri" w:cs="Arial"/>
          <w:spacing w:val="1"/>
          <w:szCs w:val="22"/>
        </w:rPr>
        <w:t xml:space="preserve">continue to </w:t>
      </w:r>
      <w:r w:rsidR="000D1DDB" w:rsidRPr="00C46E12">
        <w:rPr>
          <w:rFonts w:eastAsia="Calibri" w:cs="Arial"/>
          <w:spacing w:val="1"/>
          <w:szCs w:val="22"/>
        </w:rPr>
        <w:t xml:space="preserve">rise with no planned </w:t>
      </w:r>
      <w:r w:rsidR="00164507">
        <w:rPr>
          <w:rFonts w:eastAsia="Calibri" w:cs="Arial"/>
          <w:spacing w:val="1"/>
          <w:szCs w:val="22"/>
        </w:rPr>
        <w:t xml:space="preserve">increase in </w:t>
      </w:r>
      <w:r w:rsidR="000D1DDB" w:rsidRPr="00C46E12">
        <w:rPr>
          <w:rFonts w:eastAsia="Calibri" w:cs="Arial"/>
          <w:spacing w:val="1"/>
          <w:szCs w:val="22"/>
        </w:rPr>
        <w:t>resource</w:t>
      </w:r>
      <w:r w:rsidR="00164507">
        <w:rPr>
          <w:rFonts w:eastAsia="Calibri" w:cs="Arial"/>
          <w:spacing w:val="1"/>
          <w:szCs w:val="22"/>
        </w:rPr>
        <w:t>s</w:t>
      </w:r>
      <w:r w:rsidR="000D1DDB" w:rsidRPr="00C46E12">
        <w:rPr>
          <w:rFonts w:eastAsia="Calibri" w:cs="Arial"/>
          <w:spacing w:val="1"/>
          <w:szCs w:val="22"/>
        </w:rPr>
        <w:t>.</w:t>
      </w:r>
      <w:r w:rsidR="00AA75CB" w:rsidRPr="00C46E12">
        <w:rPr>
          <w:rFonts w:eastAsia="Calibri" w:cs="Arial"/>
          <w:spacing w:val="1"/>
          <w:szCs w:val="22"/>
        </w:rPr>
        <w:t xml:space="preserve"> Additionally, p</w:t>
      </w:r>
      <w:r w:rsidR="000D1DDB" w:rsidRPr="00C46E12">
        <w:rPr>
          <w:rFonts w:eastAsia="Calibri" w:cs="Arial"/>
          <w:spacing w:val="1"/>
          <w:szCs w:val="22"/>
        </w:rPr>
        <w:t xml:space="preserve">atients that live south of Nowra, have long distances </w:t>
      </w:r>
      <w:r w:rsidR="00164507" w:rsidRPr="00C46E12">
        <w:rPr>
          <w:rFonts w:eastAsia="Calibri" w:cs="Arial"/>
          <w:spacing w:val="1"/>
          <w:szCs w:val="22"/>
        </w:rPr>
        <w:t>(six-hour round trips)</w:t>
      </w:r>
      <w:r w:rsidR="00164507">
        <w:rPr>
          <w:rFonts w:eastAsia="Calibri" w:cs="Arial"/>
          <w:spacing w:val="1"/>
          <w:szCs w:val="22"/>
        </w:rPr>
        <w:t xml:space="preserve"> </w:t>
      </w:r>
      <w:r w:rsidR="000D1DDB" w:rsidRPr="00C46E12">
        <w:rPr>
          <w:rFonts w:eastAsia="Calibri" w:cs="Arial"/>
          <w:spacing w:val="1"/>
          <w:szCs w:val="22"/>
        </w:rPr>
        <w:t>to travel to attend follow-up appointments</w:t>
      </w:r>
      <w:r w:rsidR="002C155D">
        <w:rPr>
          <w:rFonts w:eastAsia="Calibri" w:cs="Arial"/>
          <w:spacing w:val="1"/>
          <w:szCs w:val="22"/>
        </w:rPr>
        <w:t xml:space="preserve"> at the hospital outpatient cancer centre</w:t>
      </w:r>
      <w:r w:rsidR="000D1DDB" w:rsidRPr="00C46E12">
        <w:rPr>
          <w:rFonts w:eastAsia="Calibri" w:cs="Arial"/>
          <w:spacing w:val="1"/>
          <w:szCs w:val="22"/>
        </w:rPr>
        <w:t xml:space="preserve">. </w:t>
      </w:r>
    </w:p>
    <w:p w14:paraId="762CA110" w14:textId="77777777" w:rsidR="000D1DDB" w:rsidRPr="00C46E12" w:rsidRDefault="000D1DDB" w:rsidP="00C46E12">
      <w:pPr>
        <w:spacing w:after="200"/>
        <w:contextualSpacing/>
        <w:jc w:val="both"/>
        <w:rPr>
          <w:rFonts w:eastAsia="Calibri" w:cs="Arial"/>
          <w:spacing w:val="1"/>
          <w:szCs w:val="22"/>
        </w:rPr>
      </w:pPr>
    </w:p>
    <w:p w14:paraId="292BCE56" w14:textId="625472A0" w:rsidR="002C155D" w:rsidRDefault="003513CC" w:rsidP="00C46E12">
      <w:pPr>
        <w:spacing w:after="200"/>
        <w:contextualSpacing/>
        <w:jc w:val="both"/>
        <w:rPr>
          <w:rFonts w:eastAsia="Calibri" w:cs="Arial"/>
          <w:spacing w:val="1"/>
          <w:szCs w:val="22"/>
        </w:rPr>
      </w:pPr>
      <w:r w:rsidRPr="00C46E12">
        <w:rPr>
          <w:rFonts w:eastAsia="Calibri" w:cs="Arial"/>
          <w:spacing w:val="1"/>
          <w:szCs w:val="22"/>
        </w:rPr>
        <w:t>The purpose of cancer follow-up care is to monitor and treat late side effects</w:t>
      </w:r>
      <w:r w:rsidR="00906F83">
        <w:rPr>
          <w:rFonts w:eastAsia="Calibri" w:cs="Arial"/>
          <w:spacing w:val="1"/>
          <w:szCs w:val="22"/>
        </w:rPr>
        <w:t xml:space="preserve"> of treatment</w:t>
      </w:r>
      <w:r w:rsidRPr="00C46E12">
        <w:rPr>
          <w:rFonts w:eastAsia="Calibri" w:cs="Arial"/>
          <w:spacing w:val="1"/>
          <w:szCs w:val="22"/>
        </w:rPr>
        <w:t>, monitor for recurrence</w:t>
      </w:r>
      <w:r w:rsidR="00906F83">
        <w:rPr>
          <w:rFonts w:eastAsia="Calibri" w:cs="Arial"/>
          <w:spacing w:val="1"/>
          <w:szCs w:val="22"/>
        </w:rPr>
        <w:t>,</w:t>
      </w:r>
      <w:r w:rsidRPr="00C46E12">
        <w:rPr>
          <w:rFonts w:eastAsia="Calibri" w:cs="Arial"/>
          <w:spacing w:val="1"/>
          <w:szCs w:val="22"/>
        </w:rPr>
        <w:t xml:space="preserve"> and </w:t>
      </w:r>
      <w:r w:rsidR="0005269E">
        <w:rPr>
          <w:rFonts w:eastAsia="Calibri" w:cs="Arial"/>
          <w:spacing w:val="1"/>
          <w:szCs w:val="22"/>
        </w:rPr>
        <w:t xml:space="preserve">to </w:t>
      </w:r>
      <w:r w:rsidRPr="00C46E12">
        <w:rPr>
          <w:rFonts w:eastAsia="Calibri" w:cs="Arial"/>
          <w:spacing w:val="1"/>
          <w:szCs w:val="22"/>
        </w:rPr>
        <w:t>support psychosocial care</w:t>
      </w:r>
      <w:r w:rsidR="00F75ECE">
        <w:rPr>
          <w:rFonts w:eastAsia="Calibri" w:cs="Arial"/>
          <w:spacing w:val="1"/>
          <w:szCs w:val="22"/>
        </w:rPr>
        <w:t xml:space="preserve"> </w:t>
      </w:r>
      <w:r w:rsidRPr="00C46E12">
        <w:rPr>
          <w:rFonts w:eastAsia="Calibri" w:cs="Arial"/>
          <w:spacing w:val="1"/>
          <w:szCs w:val="22"/>
        </w:rPr>
        <w:fldChar w:fldCharType="begin"/>
      </w:r>
      <w:r>
        <w:rPr>
          <w:rFonts w:eastAsia="Calibri" w:cs="Arial"/>
          <w:spacing w:val="1"/>
          <w:szCs w:val="22"/>
        </w:rPr>
        <w:instrText xml:space="preserve"> ADDIN ZOTERO_ITEM CSL_CITATION {"citationID":"M4h6ZAzz","properties":{"formattedCitation":"\\super 6\\uc0\\u8211{}8\\nosupersub{}","plainCitation":"6–8","noteIndex":0},"citationItems":[{"id":88,"uris":["http://zotero.org/users/5346176/items/N7LJ68Z2"],"uri":["http://zotero.org/users/5346176/items/N7LJ68Z2"],"itemData":{"id":88,"type":"article-journal","title":"Symptom burden and information needs in prostate cancer survivors: a case for tailored long-term survivorship care","container-title":"BJU international","page":"372-378","volume":"118","issue":"3","source":"PubMed","abstract":"OBJECTIVES: To determine the relationship between long-term prostate cancer survivors' symptom burden and information needs.\nPATIENTS AND METHODS: We used population-based data from the Michigan Prostate Cancer Survivor Study (2499 men). We examined unadjusted differences in long-term information needs according to symptom burden and performed multivariable logistic regression to examine symptom burden and information needs adjusting for patient characteristics.\nRESULTS: High symptom burden was reported across all domains (sexual 44.4%, urinary 14.4%, vitality 12.7%, bowel 8.4%, emotional 7.6%) with over half of respondents (56%) reporting they needed more information. Top information needs involved recurrence, relationships, and long-term effects. Prostate cancer survivors with high symptom burden more often searched for information regardless of domain (P &lt; 0.05). High sexual burden was associated with greater need for information about relationships [odds ratio (OR) 2.05, 95% confidence interval (CI) 1.54-2.72] and long-term effects (OR 1.60, 95% CI 1.23-2.07). High bowel burden was associated with greater information need for long-term effects (OR 2.28, 95% CI 1.43-3.63).\nCONCLUSIONS: Long-term prostate cancer survivors with high symptom burden need more supportive information. Tailoring information to these needs may be an efficient approach to support the growing population of long-term prostate cancer survivors.","DOI":"10.1111/bju.13329","ISSN":"1464-410X","note":"PMID: 26389529\nPMCID: PMC4835263","title-short":"Symptom burden and information needs in prostate cancer survivors","journalAbbreviation":"BJU Int.","language":"eng","author":[{"family":"Bernat","given":"Jennifer K."},{"family":"Wittman","given":"Daniela A."},{"family":"Hawley","given":"Sarah T."},{"family":"Hamstra","given":"Daniel A."},{"family":"Helfand","given":"Alexander M."},{"family":"Haggstrom","given":"David A."},{"family":"Darwish-Yassine","given":"May"},{"family":"Skolarus","given":"Ted A."}],"issued":{"date-parts":[["2016"]]}}},{"id":688,"uris":["http://zotero.org/users/5346176/items/NSQU4QSW"],"uri":["http://zotero.org/users/5346176/items/NSQU4QSW"],"itemData":{"id":688,"type":"article-journal","title":"Models of care for early-stage breast cancer in Canada","container-title":"Current Oncology","page":"S10","volume":"18","issue":"Suppl 1","source":"www.ncbi.nlm.nih.gov","abstract":"There is growing evidence that follow-up for patients with early breast cancer () can be effectively carried out by the primary health care provider if a plan is in place. Here, we present data from a recent survey conducted in Ontario indicating that ...","note":"PMID: 21698058","language":"en","author":[{"family":"Madarnas","given":"Y."},{"family":"Joy","given":"A. A."},{"family":"Verma","given":"S."},{"family":"Sehdev","given":"S."},{"family":"Lam","given":"W."},{"family":"Sideris","given":"L."}],"issued":{"date-parts":[["2011",5]]}}},{"id":577,"uris":["http://zotero.org/users/5346176/items/23TGULRE"],"uri":["http://zotero.org/users/5346176/items/23TGULRE"],"itemData":{"id":577,"type":"article-journal","title":"Risk-Based Health Care, the Cancer Survivor, the Oncologist, and the Primary Care Physician","container-title":"Seminars in Oncology","page":"804-812","volume":"40","issue":"6","source":"Crossref","abstract":"Cancer survivors face substantial risks for morbidity, reduced quality of life, and premature mortality related to the cancer itself and/or the interventions undertaken to control cancer. Riskbased care that involves a personalized systematic plan of periodic screening, surveillance, and prevention relevant to the cancer experience is recommended to address the comprehensive health needs of the growing population of cancer survivors. Risk-based care and coordination between oncology and primary care providers have been identified as important metrics of quality cancer survivorship care. Various models of survivorship care, treatment summaries and survivorship care plans have been promoted as methods to facilitate communication among providers across care transitions and improve survivor access to quality survivorship care. However, research supporting the feasibility of implementing these practices and their effectiveness in enhancing health outcomes is limited. This article reviews key concepts underpinning clinical and research initiatives endeavoring to improve access to quality care among long-term survivors and summarizes results of intervention studies implementing these elements in transitioning survivors from oncology to primary care providers for long-term follow-up care.","DOI":"10.1053/j.seminoncol.2013.09.004","ISSN":"00937754","language":"en","author":[{"family":"McCabe","given":"Mary S."},{"family":"Partridge","given":"Ann H."},{"family":"Grunfeld","given":"Eva"},{"family":"Hudson","given":"Melissa M."}],"issued":{"date-parts":[["2013",12]]}}}],"schema":"https://github.com/citation-style-language/schema/raw/master/csl-citation.json"} </w:instrText>
      </w:r>
      <w:r w:rsidRPr="00C46E12">
        <w:rPr>
          <w:rFonts w:eastAsia="Calibri" w:cs="Arial"/>
          <w:spacing w:val="1"/>
          <w:szCs w:val="22"/>
        </w:rPr>
        <w:fldChar w:fldCharType="separate"/>
      </w:r>
      <w:r w:rsidRPr="003513CC">
        <w:rPr>
          <w:rFonts w:cs="Arial"/>
          <w:vertAlign w:val="superscript"/>
        </w:rPr>
        <w:t>6–8</w:t>
      </w:r>
      <w:r w:rsidRPr="00C46E12">
        <w:rPr>
          <w:rFonts w:eastAsia="Calibri" w:cs="Arial"/>
          <w:spacing w:val="1"/>
          <w:szCs w:val="22"/>
        </w:rPr>
        <w:fldChar w:fldCharType="end"/>
      </w:r>
      <w:r w:rsidRPr="00C46E12">
        <w:rPr>
          <w:rFonts w:cs="Arial"/>
        </w:rPr>
        <w:t>.</w:t>
      </w:r>
      <w:r w:rsidRPr="00C46E12">
        <w:rPr>
          <w:rFonts w:eastAsia="Calibri" w:cs="Arial"/>
          <w:spacing w:val="1"/>
          <w:szCs w:val="22"/>
        </w:rPr>
        <w:t xml:space="preserve"> </w:t>
      </w:r>
      <w:r w:rsidR="00482597" w:rsidRPr="00C46E12">
        <w:rPr>
          <w:rFonts w:eastAsia="Calibri" w:cs="Arial"/>
          <w:spacing w:val="1"/>
          <w:szCs w:val="22"/>
        </w:rPr>
        <w:t>Dur</w:t>
      </w:r>
      <w:r w:rsidR="00DE39B4" w:rsidRPr="00C46E12">
        <w:rPr>
          <w:rFonts w:eastAsia="Calibri" w:cs="Arial"/>
          <w:spacing w:val="1"/>
          <w:szCs w:val="22"/>
        </w:rPr>
        <w:t>ing the cancer follow-up period</w:t>
      </w:r>
      <w:r w:rsidR="002C155D">
        <w:rPr>
          <w:rFonts w:eastAsia="Calibri" w:cs="Arial"/>
          <w:spacing w:val="1"/>
          <w:szCs w:val="22"/>
        </w:rPr>
        <w:t>,</w:t>
      </w:r>
      <w:r w:rsidR="00482597" w:rsidRPr="00C46E12">
        <w:rPr>
          <w:rFonts w:eastAsia="Calibri" w:cs="Arial"/>
          <w:spacing w:val="1"/>
          <w:szCs w:val="22"/>
        </w:rPr>
        <w:t xml:space="preserve"> patients receive follow-up care from medical oncologists, radiation oncologists, surgeons and other allied health professionals at different appointments</w:t>
      </w:r>
      <w:r w:rsidR="00F75ECE">
        <w:rPr>
          <w:rFonts w:eastAsia="Calibri" w:cs="Arial"/>
          <w:spacing w:val="1"/>
          <w:szCs w:val="22"/>
        </w:rPr>
        <w:t xml:space="preserve"> </w:t>
      </w:r>
      <w:r w:rsidR="000963A0" w:rsidRPr="00C46E12">
        <w:rPr>
          <w:rFonts w:cs="Arial"/>
        </w:rPr>
        <w:fldChar w:fldCharType="begin"/>
      </w:r>
      <w:r>
        <w:rPr>
          <w:rFonts w:cs="Arial"/>
        </w:rPr>
        <w:instrText xml:space="preserve"> ADDIN ZOTERO_ITEM CSL_CITATION {"citationID":"EK2aQF1E","properties":{"formattedCitation":"\\super 9\\nosupersub{}","plainCitation":"9","noteIndex":0},"citationItems":[{"id":530,"uris":["http://zotero.org/users/5346176/items/G7BEMEYC"],"uri":["http://zotero.org/users/5346176/items/G7BEMEYC"],"itemData":{"id":530,"type":"article-journal","title":"Primary Care Physicians' Views of Routine Follow-Up Care of Cancer Survivors","container-title":"Journal of Clinical Oncology","page":"3338-3345","volume":"27","issue":"20","source":"Crossref","abstract":"Purpose Routine follow-up of adult cancer survivors is an important clinical and health service issue. Because of a lack of evidence supporting advantages of long-term follow-up care in oncology clinics, there is increasing interest for the locus of this care to be provided by primary care physicians (PCPs). However, current Canadian PCP views on this issue have been largely unknown.\nMethods A mail survey of a random sample of PCPs across Canada, stratiﬁed by region and proximity to urban centers, was conducted. Views on routine follow-up of adult cancer survivors and modalities to facilitate PCPs in providing this care were determined.\nResults A total of 330 PCPs responded (adjusted response rate, 51.7%). After completion of active treatment, PCPs were willing to assume exclusive responsibility for routine follow-up care after 2.4 Ϯ 2.3 years had elapsed for prostate cancer, 2.6 Ϯ 2.6 years for colorectal cancer, 2.8 Ϯ 2.5 years for breast cancer, and 3.2 Ϯ 2.7 years for lymphoma. PCPs already providing this care were willing to provide exclusive care sooner. The most useful modalities PCPs felt would assist them in assuming exclusive responsibility for follow-up cancer care were (1) a patient-speciﬁc letter from the specialist, (2) printed guidelines, (3) expedited routes of rereferral, and (4) expedited access to investigations for suspected recurrence.\nConclusion With appropriate information and support in place, PCPs reported being willing to assume exclusive responsibility for the follow-up care of adult cancer survivors. Insights gained from this survey may ultimately help guide strategies in providing optimal care to these patients.","DOI":"10.1200/JCO.2008.20.4883","ISSN":"0732-183X, 1527-7755","language":"en","author":[{"family":"Del Giudice","given":"M. Elisabeth"},{"family":"Grunfeld","given":"Eva"},{"family":"Harvey","given":"Bart J."},{"family":"Piliotis","given":"Eugenia"},{"family":"Verma","given":"Sunil"}],"issued":{"date-parts":[["2009",7,10]]}}}],"schema":"https://github.com/citation-style-language/schema/raw/master/csl-citation.json"} </w:instrText>
      </w:r>
      <w:r w:rsidR="000963A0" w:rsidRPr="00C46E12">
        <w:rPr>
          <w:rFonts w:cs="Arial"/>
        </w:rPr>
        <w:fldChar w:fldCharType="separate"/>
      </w:r>
      <w:r w:rsidRPr="003513CC">
        <w:rPr>
          <w:rFonts w:cs="Arial"/>
          <w:vertAlign w:val="superscript"/>
        </w:rPr>
        <w:t>9</w:t>
      </w:r>
      <w:r w:rsidR="000963A0" w:rsidRPr="00C46E12">
        <w:rPr>
          <w:rFonts w:cs="Arial"/>
        </w:rPr>
        <w:fldChar w:fldCharType="end"/>
      </w:r>
      <w:r w:rsidR="00482597" w:rsidRPr="00C46E12">
        <w:rPr>
          <w:rFonts w:eastAsia="Calibri" w:cs="Arial"/>
          <w:spacing w:val="1"/>
          <w:szCs w:val="22"/>
        </w:rPr>
        <w:t xml:space="preserve">. </w:t>
      </w:r>
      <w:r w:rsidR="0005269E">
        <w:rPr>
          <w:rFonts w:eastAsia="Calibri" w:cs="Arial"/>
          <w:spacing w:val="1"/>
          <w:szCs w:val="22"/>
        </w:rPr>
        <w:t>The</w:t>
      </w:r>
      <w:r w:rsidR="002C155D" w:rsidRPr="00C46E12">
        <w:rPr>
          <w:rFonts w:eastAsia="Calibri" w:cs="Arial"/>
          <w:spacing w:val="1"/>
          <w:szCs w:val="22"/>
        </w:rPr>
        <w:t xml:space="preserve"> follow-up care period is generally five years; however, this varies depending on the type and stage of cancer, and the treatment</w:t>
      </w:r>
      <w:r w:rsidR="0005269E">
        <w:rPr>
          <w:rFonts w:eastAsia="Calibri" w:cs="Arial"/>
          <w:spacing w:val="1"/>
          <w:szCs w:val="22"/>
        </w:rPr>
        <w:t xml:space="preserve"> required</w:t>
      </w:r>
      <w:r w:rsidR="002C155D" w:rsidRPr="00C46E12">
        <w:rPr>
          <w:rFonts w:eastAsia="Calibri" w:cs="Arial"/>
          <w:spacing w:val="1"/>
          <w:szCs w:val="22"/>
        </w:rPr>
        <w:t>.</w:t>
      </w:r>
    </w:p>
    <w:p w14:paraId="109785E6" w14:textId="77777777" w:rsidR="002C155D" w:rsidRDefault="002C155D" w:rsidP="00C46E12">
      <w:pPr>
        <w:spacing w:after="200"/>
        <w:contextualSpacing/>
        <w:jc w:val="both"/>
        <w:rPr>
          <w:rFonts w:eastAsia="Calibri" w:cs="Arial"/>
          <w:spacing w:val="1"/>
          <w:szCs w:val="22"/>
        </w:rPr>
      </w:pPr>
    </w:p>
    <w:p w14:paraId="05E35F54" w14:textId="436A6BFE" w:rsidR="009173EC" w:rsidRPr="00C46E12" w:rsidRDefault="0005269E" w:rsidP="00C46E12">
      <w:pPr>
        <w:spacing w:after="200"/>
        <w:contextualSpacing/>
        <w:jc w:val="both"/>
        <w:rPr>
          <w:rFonts w:eastAsia="Calibri" w:cs="Arial"/>
          <w:spacing w:val="1"/>
          <w:szCs w:val="22"/>
        </w:rPr>
      </w:pPr>
      <w:r>
        <w:rPr>
          <w:rFonts w:eastAsia="Calibri" w:cs="Arial"/>
          <w:spacing w:val="1"/>
          <w:szCs w:val="22"/>
        </w:rPr>
        <w:t>A</w:t>
      </w:r>
      <w:r w:rsidRPr="00C46E12">
        <w:rPr>
          <w:rFonts w:eastAsia="Calibri" w:cs="Arial"/>
          <w:spacing w:val="1"/>
          <w:szCs w:val="22"/>
        </w:rPr>
        <w:t>ccording to literature</w:t>
      </w:r>
      <w:r>
        <w:rPr>
          <w:rFonts w:eastAsia="Calibri" w:cs="Arial"/>
          <w:spacing w:val="1"/>
          <w:szCs w:val="22"/>
        </w:rPr>
        <w:t xml:space="preserve">, </w:t>
      </w:r>
      <w:r w:rsidRPr="00C46E12">
        <w:rPr>
          <w:rFonts w:eastAsia="Calibri" w:cs="Arial"/>
          <w:spacing w:val="1"/>
          <w:szCs w:val="22"/>
        </w:rPr>
        <w:t>hospital-based</w:t>
      </w:r>
      <w:r>
        <w:rPr>
          <w:rFonts w:eastAsia="Calibri" w:cs="Arial"/>
          <w:spacing w:val="1"/>
          <w:szCs w:val="22"/>
        </w:rPr>
        <w:t xml:space="preserve"> c</w:t>
      </w:r>
      <w:r w:rsidR="009173EC" w:rsidRPr="00C46E12">
        <w:rPr>
          <w:rFonts w:eastAsia="Calibri" w:cs="Arial"/>
          <w:spacing w:val="1"/>
          <w:szCs w:val="22"/>
        </w:rPr>
        <w:t>ancer follow-up care</w:t>
      </w:r>
      <w:r w:rsidR="000D1DDB" w:rsidRPr="00C46E12">
        <w:rPr>
          <w:rFonts w:eastAsia="Calibri" w:cs="Arial"/>
          <w:spacing w:val="1"/>
          <w:szCs w:val="22"/>
        </w:rPr>
        <w:t xml:space="preserve"> by a</w:t>
      </w:r>
      <w:r w:rsidR="00F75ECE">
        <w:rPr>
          <w:rFonts w:eastAsia="Calibri" w:cs="Arial"/>
          <w:spacing w:val="1"/>
          <w:szCs w:val="22"/>
        </w:rPr>
        <w:t>n</w:t>
      </w:r>
      <w:r w:rsidR="000D1DDB" w:rsidRPr="00C46E12">
        <w:rPr>
          <w:rFonts w:eastAsia="Calibri" w:cs="Arial"/>
          <w:spacing w:val="1"/>
          <w:szCs w:val="22"/>
        </w:rPr>
        <w:t xml:space="preserve"> </w:t>
      </w:r>
      <w:r w:rsidR="009173EC" w:rsidRPr="00C46E12">
        <w:rPr>
          <w:rFonts w:eastAsia="Calibri" w:cs="Arial"/>
          <w:spacing w:val="1"/>
          <w:szCs w:val="22"/>
        </w:rPr>
        <w:t xml:space="preserve">oncologist is the preferred </w:t>
      </w:r>
      <w:r w:rsidR="00D9607C">
        <w:rPr>
          <w:rFonts w:eastAsia="Calibri" w:cs="Arial"/>
          <w:spacing w:val="1"/>
          <w:szCs w:val="22"/>
        </w:rPr>
        <w:t xml:space="preserve">model </w:t>
      </w:r>
      <w:r>
        <w:rPr>
          <w:rFonts w:eastAsia="Calibri" w:cs="Arial"/>
          <w:spacing w:val="1"/>
          <w:szCs w:val="22"/>
        </w:rPr>
        <w:t>of care</w:t>
      </w:r>
      <w:r w:rsidR="00F75ECE">
        <w:rPr>
          <w:rFonts w:eastAsia="Calibri" w:cs="Arial"/>
          <w:spacing w:val="1"/>
          <w:szCs w:val="22"/>
        </w:rPr>
        <w:t xml:space="preserve"> </w:t>
      </w:r>
      <w:r w:rsidR="00B03D42" w:rsidRPr="00C46E12">
        <w:rPr>
          <w:rFonts w:cs="Arial"/>
        </w:rPr>
        <w:fldChar w:fldCharType="begin"/>
      </w:r>
      <w:r w:rsidR="003513CC">
        <w:rPr>
          <w:rFonts w:cs="Arial"/>
        </w:rPr>
        <w:instrText xml:space="preserve"> ADDIN ZOTERO_ITEM CSL_CITATION {"citationID":"eqUJVH95","properties":{"formattedCitation":"\\super 10\\uc0\\u8211{}19\\nosupersub{}","plainCitation":"10–19","noteIndex":0},"citationItems":[{"id":27,"uris":["http://zotero.org/users/5346176/items/6JUTL5AP"],"uri":["http://zotero.org/users/5346176/items/6JUTL5AP"],"itemData":{"id":27,"type":"article-journal","title":"Patients’ expectations and preferences regarding cancer follow-up care","container-title":"Maturitas","page":"58-63","volume":"105","source":"Crossref","abstract":"Introduction: Most survivors of cancer enter a follow-up routine after their treatment, the aim of which is to detect recurrence, provide psychological support, monitor treatment-related side-eﬀects, and to evaluate care. Due to rising numbers of people with cancer and better survival of these patients, current follow-up routines are under pressure. We reviewed the literature on patients’ expectations and preferences regarding this care.","DOI":"10.1016/j.maturitas.2017.07.001","ISSN":"03785122","language":"en","author":[{"family":"Brandenbarg","given":"D."},{"family":"Berendsen","given":"A.J."},{"family":"Bock","given":"G.H.","non-dropping-particle":"de"}],"issued":{"date-parts":[["2017",11]]}}},{"id":602,"uris":["http://zotero.org/users/5346176/items/4A7R6C79"],"uri":["http://zotero.org/users/5346176/items/4A7R6C79"],"itemData":{"id":602,"type":"article-journal","title":"Survivorship care after breast cancer: Follow-up practices of Australian health professionals and attitudes to a survivorship care plan: Breast cancer survivorship care survey","container-title":"Asia-Pacific Journal of Clinical Oncology","page":"116-125","volume":"6","issue":"2","source":"Crossref","abstract":"Objective: The increasing number of breast cancer survivors and the complexity of follow-up care make the provision of high-quality survivorship care a challenge. This study explored the follow-up practices of health professionals and their attitudes to alternative models such as shared care and the use of a survivorship care plan.\nMethods: Specialist oncologists (surgeons, medical and radiation oncologists) breast physicians and breastcare nurses completed an online survey.\nResults: A total of 217 practitioners completed the survey, which was estimated to include 42.8% of oncologists treating breast cancer in Australia. One-third of responding specialists reported spending more than 25% of their clinical time providing follow-up care. They reported many positive aspects to follow-up consultations and viewed follow-up care as an important part of their clinical role but expressed concern about the sustainability of follow-up care in their practices. The follow-up intervals and recommendations were in line with national guidelines. The specialists were supportive of sharing follow-up care with primary-care physicians, breast physicians and breast-care nurses. Most professionals felt that a survivorship care plan would improve care and said they would use a proforma.\nConclusion: The oncologists felt that follow-up care was an important part of their role and they were supportive of the concepts of shared care programs and a survivorship care plan. Input from consumers is required to evaluate the acceptability of these alternative models and to assess ways of implementing these changes to work towards a more comprehensive and sustainable method of delivering survivorship care.","DOI":"10.1111/j.1743-7563.2010.01286.x","ISSN":"17437555, 17437563","title-short":"Survivorship care after breast cancer","language":"en","author":[{"family":"Brennan","given":"Meagan E"},{"family":"Butow","given":"Phyllis"},{"family":"Spillane","given":"Andrew J"},{"family":"Boyle","given":"Frances M"}],"issued":{"date-parts":[["2010",6,11]]}}},{"id":330,"uris":["http://zotero.org/users/5346176/items/EQMV4MBR"],"uri":["http://zotero.org/users/5346176/items/EQMV4MBR"],"itemData":{"id":330,"type":"article-journal","title":"Comparisons of Patient and Physician Expectations for Cancer Survivorship Care","container-title":"Journal of Clinical Oncology","page":"2489-2495","volume":"27","issue":"15","source":"Crossref","abstract":"Purpose To compare expectations for cancer survivorship care between patients and their physicians and between primary care providers (PCPs) and oncologists.\nMethods Survivors and their physicians were surveyed to evaluate for expectations regarding physician participation in primary cancer follow-up, screening for other cancers, general preventive health, and management of comorbidities.\nResults Of 992 eligible survivors and 607 physicians surveyed, 535 (54%) and 378 (62%) were assessable, respectively. Among physician respondents, 255 (67%) were PCPs and 123 (33%) were oncologists. Comparing patients with their oncologists, expectations were highly discrepant for screening for cancers other than the index one (agreement rate, 29%), with patients anticipating signiﬁcantly more oncologist involvement. Between patients and their PCPs, expectations were most incongruent for primary cancer follow-up (agreement rate, 35%), with PCPs indicating they should contribute a much greater part to this aspect of care. Expectations between patients and their PCPs were generally more concordant than between patients and their oncologists. PCPs and oncologists showed high discordances in perceptions of their own roles for primary cancer follow-up, cancer screening, and general preventive health (agreement rates of 3%, 44%, and 51%, respectively). In the case of primary cancer follow-up, both PCPs and oncologists indicated they should carry substantial responsibility for this task.\nConclusion Patients and physicians have discordant expectations with respect to the roles of PCPs and oncologists in cancer survivorship care. Uncertainties around physician roles and responsibilities can lead to deﬁciencies in care, supporting the need to make survivorship care planning a standard component in cancer management.","DOI":"10.1200/JCO.2008.20.3232","ISSN":"0732-183X, 1527-7755","language":"en","author":[{"family":"Cheung","given":"Winson Y."},{"family":"Neville","given":"Bridget A."},{"family":"Cameron","given":"Danielle B."},{"family":"Cook","given":"E. Francis"},{"family":"Earle","given":"Craig C."}],"issued":{"date-parts":[["2009",5,20]]}}},{"id":369,"uris":["http://zotero.org/users/5346176/items/LY3E4846"],"uri":["http://zotero.org/users/5346176/items/LY3E4846"],"itemData":{"id":369,"type":"article-journal","title":"Follow-up Care Delivery Among Colorectal Cancer Survivors Most Often Seen by Primary and Subspecialty Care Physicians","container-title":"Journal of General Internal Medicine","page":"472-479","volume":"24","issue":"S2","source":"Crossref","abstract":"BACKGROUND: The Institute of Medicine has identified patients as a key source of information for assessing the quality of care.\nOBJECTIVE: To evaluate the association of physician specialty with the content and quality of follow-up cancer care. DESIGN AND PARTICIPANTS: Three hundred three colorectal cancer (CRC) survivors in Northern California were surveyed 2–5 years post-diagnosis.\nMEASUREMENTS: Specialty of physician seen most often [primary care physician (PCP), oncologist, surgeon, or gastroenterologist]; other physician specialties seen, patient characteristics; content of visits; patientcentered quality of follow-up care (communication, coordination, nursing, and staff interactions). MAIN RESULTS: A minority (16%) of CRC survivors reported that the doctor they most often saw for followup cancer care was a PCP, while 60% saw an oncologist. Many CRC survivors (40%) saw &gt;1 physician for followup cancer care. Survivors most often seen by PCPs were more likely to have three or more medical comorbidities (70% vs. 51%, p=0.012) than survivors seen by subspecialty physicians. Survivors seen by PCPs were less likely to report seeing a doctor for medical tests and more likely to report discussing disease prevention (82% vs. 64%, p=0.012) or diet (70% vs. 48%, p=0.005) with their doctor. There were no significant specialty differences in patient-centered quality of follow-up cancer care.\nCONCLUSIONS: Cancer survivors’ assessment of the quality of care was similar across specialties, while the content of follow-up cancer care varied by physician specialty. These findings provide important information about the potential value of primary care and the need for coordination when delivering care to CRC survivors.","DOI":"10.1007/s11606-009-1017-6","ISSN":"0884-8734, 1525-1497","language":"en","author":[{"family":"Haggstrom","given":"David A."},{"family":"Arora","given":"Neeraj K."},{"family":"Helft","given":"Paul"},{"family":"Clayman","given":"Marla L."},{"family":"Oakley-Girvan","given":"Ingrid"}],"issued":{"date-parts":[["2009",11]]}}},{"id":715,"uris":["http://zotero.org/users/5346176/items/MF4SZXNG"],"uri":["http://zotero.org/users/5346176/items/MF4SZXNG"],"itemData":{"id":715,"type":"article-journal","title":"Follow-up after treatment for breast cancer: one strategy fits all? An investigation of patient preferences using a discrete choice experiment","container-title":"Acta Oncologica (Stockholm, Sweden)","page":"328-337","volume":"49","issue":"3","source":"EBSCOhost","archive_location":"20148645","abstract":"Clinical guidelines for the follow-up after breast cancer recommend frequent outpatient clinic visits to be examined for a possible recurrence or a second primary breast tumour, and to receive information and psychosocial support. However, needs and preferences for follow-up may differ between patients, raising the question whether the current 'one size fits all' approach is appropriate. This study explored patients' preferences for follow-up. Patients and methods. A discrete choice experiment survey with 16 choice tasks was filled out by 331 breast cancer patients. Each choice task consisted of two hypothetical follow-up scenarios for the first year after treatment, described by levels of the following characteristics; attendance at an educational group programme, frequency of visits, waiting time, contact mode, and type of healthcare provider. Results. The healthcare provider and contact mode were the most important characteristics of follow-up to patients. The medical specialist was the most preferred to perform the follow-up, but a combination of the medical specialist and breast care nurse alternating was also acceptable to patients. Face-to-face contact was strongly preferred to telephone contact. Follow-up visits every three months were preferred over visits every four, six, or 12 months. Heterogeneity in preference between patients was strong, especially for the healthcare provider and attendance at an educational group programme. Age, education, and previous experience with follow-up characteristics influenced preferences, but treatment modality did not. Conclusion. The results of this study show that overall patient satisfaction would not differ significantly if patients have follow-up by medical specialist and breast care nurse alternating compared to follow-up by a medical specialist only. Furthermore, we found heterogeneity in preferences for most attributes, indicating that one strategy does not fit all. Individualised follow-up seems to offer the potential for significant increases in patient satisfaction.;","DOI":"10.3109/02841860903536002","ISSN":"1651-226X","title-short":"Follow-up after treatment for breast cancer","journalAbbreviation":"Acta Oncologica (Stockholm, Sweden)","author":[{"family":"Kimman","given":"Merel L"},{"family":"Dellaert","given":"Benedict G C"},{"family":"Boersma","given":"Liesbeth J"},{"family":"Lambin","given":"Philippe"},{"family":"Dirksen","given":"Carmen D"}],"issued":{"date-parts":[["2010",4]]}}},{"id":496,"uris":["http://zotero.org/users/5346176/items/EXCPSH6Y"],"uri":["http://zotero.org/users/5346176/items/EXCPSH6Y"],"itemData":{"id":496,"type":"article-journal","title":"Patients' views on follow up of colorectal cancer: implications for risk communication and decision making","container-title":"Postgraduate Medical Journal","page":"403-407","volume":"79","issue":"933","source":"Crossref","DOI":"10.1136/pmj.79.933.403","ISSN":"0032-5473","title-short":"Patients' views on follow up of colorectal cancer","language":"en","author":[{"family":"Papagrigoriadis","given":"S"}],"issued":{"date-parts":[["2003",7,1]]}}},{"id":403,"uris":["http://zotero.org/users/5346176/items/GFQ4V5P6"],"uri":["http://zotero.org/users/5346176/items/GFQ4V5P6"],"itemData":{"id":403,"type":"article-journal","title":"Gynaecological cancer follow-up: national survey of current practice in the UK","container-title":"BMJ Open","page":"e002859","volume":"3","issue":"7","source":"Crossref","abstract":"Objective: To establish a baseline of national practice for follow-up after treatment for gynaecological cancer. Design: Questionnaire survey. Setting: Gynaecological cancer centres and units. Geographical location: UK. Participants: Members of the British Gynaecological Cancer Society and the National Forum of Gynaecological Oncology Nurses. Interventions: A questionnaire survey. Outcome measures: To determine schedules of follow-up, who provides it and what routine testing is used for patients who have had previous gynaecological cancer.\nResults: A total of 117 responses were obtained; 115 (98%) reported hospital scheduled regular followup appointments. Two involved general practitioners. Follow-up was augmented or replaced by telephone follow-up in 29 responses (25%) and patient-initiated appointments in 38 responses (32%). A total of 80 (68%) cancer specialists also offered combined follow-up clinics with other specialties. Clinical examinations for hospital-based follow-up were mainly performed by doctors (67% for scheduled regular appointments and 63% for patient-initiated appointments) while telephone follow-up was provided in the majority by nurses (76%). Most respondents (76/ 117 (65%)) provided routine tests, of which 66/76 (87%) reported carrying out surveillance tests for ovarian cancer, 35/76 (46%) for cervical cancer, 8/76 (11%) for vulval cancer and 7/76 (9%) for endometrial cancer. Patients were usually discharged after 5 years (82/117 (70%)), whereas three (3%) were discharged after 4 years, nine (8%) after three years and one (1%) after 2 years.\nConclusions: Practice varied but most used a standard hospital-based protocol of appointments for 5 years and routine tests were performed usually for women with ovarian cancer. A minority utilised nurse-led or telephone follow-up. General practitioners were rarely involved in routine care. A randomised study comparing various models of follow-up could be considered.","DOI":"10.1136/bmjopen-2013-002859","ISSN":"2044-6055, 2044-6055","title-short":"Gynaecological cancer follow-up","language":"en","author":[{"family":"Leeson","given":"Simon"},{"family":"Stuart","given":"Nick"},{"family":"Sylvestre","given":"Yvonne"},{"family":"Hall","given":"Liz"},{"family":"Whitaker","given":"Rhiannon"}],"issued":{"date-parts":[["2013",7]]}}},{"id":333,"uris":["http://zotero.org/users/5346176/items/E3QGBWL7"],"uri":["http://zotero.org/users/5346176/items/E3QGBWL7"],"itemData":{"id":333,"type":"article-journal","title":"Delivery of Survivorship Care by Primary Care Physicians: The Perspective of Breast Cancer Patients","container-title":"Journal of Clinical Oncology","page":"933-938","volume":"27","issue":"6","source":"Crossref","abstract":"Purpose Most of the 182,460 women diagnosed with breast cancer in the United States this year will become long-term survivors. Helping these women transition from active treatment to survivorship is a challenge that involves both oncologists and primary care physicians (PCPs). This study aims to describe postmenopausal breast cancer survivors’ (BCS) perceptions of PCP-related survivorship care. Patients and Methods We conducted a cross-sectional survey of 300 BCSs seen in an outpatient breast oncology clinic at a large university hospital. The primary outcome measure was a seven-item self-reported measure on perceived survivorship care (Cronbach’s </w:instrText>
      </w:r>
      <w:r w:rsidR="003513CC">
        <w:rPr>
          <w:rFonts w:ascii="MS Gothic" w:hAnsi="MS Gothic" w:cs="MS Gothic"/>
        </w:rPr>
        <w:instrText>␣</w:instrText>
      </w:r>
      <w:r w:rsidR="003513CC">
        <w:rPr>
          <w:rFonts w:cs="Arial"/>
        </w:rPr>
        <w:instrText xml:space="preserve"> ϭ .89). Multivariate regression analyses were used to identify factors associated with perceived care delivery.\nResults Overall, BCSs rated PCP-related survivorship care as 65 out of 100 (standard deviation ϭ 17). The areas of PCP-related care most strongly endorsed were general care (78%), psychosocial support (73%), and health promotion (73%). Fewer BCSs perceived their PCPs as knowledgeable about cancer follow-up (50%), late effects of cancer therapies (59%), or treating symptoms related to cancer or cancer therapies (41%). Only 28% felt that their PCPs and oncologists communicated well. In a multivariate regression analysis, nonwhite race and level of trust in the PCP were signiﬁcantly associated with higher perceived level of PCP-related survivorship care (P ϭ .001 for both).\nConclusion Although BCSs perceived high quality of general care provided by their PCPs, they were not as conﬁdent with their PCPs’ ability to deliver cancer-speciﬁc survivorship care. Interventions need to be tested to improve oncology-primary care communication and PCP knowledge of cancer-speciﬁc survivorship care.","DOI":"10.1200/JCO.2008.18.0679","ISSN":"0732-183X, 1527-7755","title-short":"Delivery of Survivorship Care by Primary Care Physicians","language":"en","author":[{"family":"Mao","given":"Jun J."},{"family":"Bowman","given":"Marjorie A."},{"family":"Stricker","given":"Carrie T."},{"family":"DeMichele","given":"Angela"},{"family":"Jacobs","given":"Linda"},{"family":"Chan","given":"Dingyun"},{"family":"Armstrong","given":"Katrina"}],"issued":{"date-parts":[["2009",2,20]]}}},{"id":291,"uris":["http://zotero.org/users/5346176/items/HCVZRECS"],"uri":["http://zotero.org/users/5346176/items/HCVZRECS"],"itemData":{"id":291,"type":"article-journal","title":"Breast Cancer Survivors' Perceptions of Survivorship Care Options","container-title":"Journal of Clinical Oncology","page":"158-163","volume":"30","issue":"2","source":"Crossref","abstract":"Purpose As the number of breast cancer survivors increases, a durable model of comprehensive survivor care is needed, incorporating providers and/or visit types both within and outside of oncology. The objective of this study was to explore survivors’ comfort with different clinician types or with a telephone/Internet-based virtual visit as components of survivorship care.\nMethods Breast cancer survivors participating in a general survivorship survey completed an additional breast cancer–speciﬁc questionnaire evaluating the self-perceived impact of follow-up visits to various clinician types, or follow-up by a virtual visit, on survival, worrying, and stress related to cancer.\nResults A total of 218 breast cancer survivors completed the questionnaire. Most favored medical oncologist follow-up visits over those with primary care physicians (PCPs) or nurse practitioners (NPs) in terms of reduced worrying about cancer (odds ratio [OR], 2.21; P Ͻ .001), reduced stress around the visit (OR, 1.40; P ϭ .002), and improved effect on cancer survival (OR, 2.38; P Ͻ .001). However, the majority also displayed substantial comfort with both PCPs and NPs in the same domains. Patients rated a virtual visit as having a less favorable impact on cancer survival and cancer-related worrying compared with in-person visits with clinicians.\nConclusion Breast cancer survivors are comfortable with both PCPs and NPs providing follow-up care, although they indicate a preference for medical oncologists. Given patients’ negative impressions of a virtual visit, increased familiarity with and research investigating this emerging concept are needed. The NP-led survivorship clinic model, with increased guidance for PCPs, offers a promising route for improving quality of and satisfaction with survivor care.","DOI":"10.1200/JCO.2011.36.9264","ISSN":"0732-183X, 1527-7755","language":"en","author":[{"family":"Mayer","given":"Erica L."},{"family":"Gropper","given":"Adrienne B."},{"family":"Neville","given":"Bridget A."},{"family":"Partridge","given":"Ann H."},{"family":"Cameron","given":"Danielle B."},{"family":"Winer","given":"Eric P."},{"family":"Earle","given":"Craig C."}],"issued":{"date-parts":[["2012",1,10]]}}},{"id":709,"uris":["http://zotero.org/users/5346176/items/NBAHZ5TD"],"uri":["http://zotero.org/users/5346176/items/NBAHZ5TD"],"itemData":{"id":709,"type":"article-journal","title":"Cancer follow-up care. Patients' perspectives.","container-title":"Canadian Family Physician","page":"890-895","volume":"49","source":"PubMed Central","abstract":"OBJECTIVE: To assess family physicians' and specialists' involvement in cancer follow-up care and how this involvement is perceived by cancer patients. DESIGN: Self-administered survey. SETTING: A health region in New Brunswick. PARTICIPANTS: A nonprobability cluster sample of 183 participants. MAIN OUTCOME MEASURES: Patients' perceptions of cancer follow-up care. RESULTS: More than a third of participants (36%) were not sure which physician was in charge of their cancer follow-up care. As part of follow-up care, 80% of participants wanted counseling from their family physicians, but only 20% received it. About a third of participants (32%) were not satisfied with the follow-up care provided by their family physicians. In contrast, only 18% of participants were dissatisfied with the follow-up care provided by specialists. Older participants were more satisfied with cancer follow-up care than younger participants. CONCLUSION: Cancer follow-up care is increasingly becoming part of family physicians' practices. Family physicians need to develop an approach that addresses patients' needs, particularly in the area of emotional support.","ISSN":"0008-350X","note":"PMID: 12901486\nPMCID: PMC2214255","journalAbbreviation":"Can Fam Physician","author":[{"family":"Miedema","given":"Baukje"},{"family":"MacDonald","given":"Ian"},{"family":"Tatemichi","given":"Sue"}],"issued":{"date-parts":[["2003",7]]}}}],"schema":"https://github.com/citation-style-language/schema/raw/master/csl-citation.json"} </w:instrText>
      </w:r>
      <w:r w:rsidR="00B03D42" w:rsidRPr="00C46E12">
        <w:rPr>
          <w:rFonts w:cs="Arial"/>
        </w:rPr>
        <w:fldChar w:fldCharType="separate"/>
      </w:r>
      <w:bookmarkStart w:id="53" w:name="__Fieldmark__812_1249686335"/>
      <w:bookmarkStart w:id="54" w:name="__Fieldmark__1220_801305196"/>
      <w:r w:rsidR="00B03D42" w:rsidRPr="00C46E12">
        <w:rPr>
          <w:rFonts w:cs="Arial"/>
          <w:vertAlign w:val="superscript"/>
        </w:rPr>
        <w:t>10–19</w:t>
      </w:r>
      <w:r w:rsidR="00B03D42" w:rsidRPr="00C46E12">
        <w:rPr>
          <w:rFonts w:cs="Arial"/>
        </w:rPr>
        <w:fldChar w:fldCharType="end"/>
      </w:r>
      <w:bookmarkEnd w:id="53"/>
      <w:bookmarkEnd w:id="54"/>
      <w:r w:rsidR="00CE4DBB">
        <w:rPr>
          <w:rFonts w:eastAsia="Calibri" w:cs="Arial"/>
          <w:spacing w:val="1"/>
          <w:szCs w:val="22"/>
        </w:rPr>
        <w:t xml:space="preserve">, </w:t>
      </w:r>
      <w:r w:rsidR="001C4A7C" w:rsidRPr="00C46E12">
        <w:rPr>
          <w:rFonts w:eastAsia="Calibri" w:cs="Arial"/>
          <w:spacing w:val="1"/>
          <w:szCs w:val="22"/>
        </w:rPr>
        <w:t>however</w:t>
      </w:r>
      <w:r w:rsidR="008C2600" w:rsidRPr="00C46E12">
        <w:rPr>
          <w:rFonts w:eastAsia="Calibri" w:cs="Arial"/>
          <w:spacing w:val="1"/>
          <w:szCs w:val="22"/>
        </w:rPr>
        <w:t>,</w:t>
      </w:r>
      <w:r w:rsidR="001C4A7C" w:rsidRPr="00C46E12">
        <w:rPr>
          <w:rFonts w:eastAsia="Calibri" w:cs="Arial"/>
          <w:spacing w:val="1"/>
          <w:szCs w:val="22"/>
        </w:rPr>
        <w:t xml:space="preserve"> </w:t>
      </w:r>
      <w:r w:rsidR="008C2600" w:rsidRPr="00C46E12">
        <w:rPr>
          <w:rFonts w:eastAsia="Calibri" w:cs="Arial"/>
          <w:spacing w:val="1"/>
          <w:szCs w:val="22"/>
        </w:rPr>
        <w:t xml:space="preserve">there </w:t>
      </w:r>
      <w:r w:rsidR="000D1DDB" w:rsidRPr="00C46E12">
        <w:rPr>
          <w:rFonts w:eastAsia="Calibri" w:cs="Arial"/>
          <w:spacing w:val="1"/>
          <w:szCs w:val="22"/>
        </w:rPr>
        <w:t>are</w:t>
      </w:r>
      <w:r w:rsidR="008C2600" w:rsidRPr="00C46E12">
        <w:rPr>
          <w:rFonts w:eastAsia="Calibri" w:cs="Arial"/>
          <w:spacing w:val="1"/>
          <w:szCs w:val="22"/>
        </w:rPr>
        <w:t xml:space="preserve"> currently no alternatives </w:t>
      </w:r>
      <w:r w:rsidR="000D1DDB" w:rsidRPr="00C46E12">
        <w:rPr>
          <w:rFonts w:eastAsia="Calibri" w:cs="Arial"/>
          <w:spacing w:val="1"/>
          <w:szCs w:val="22"/>
        </w:rPr>
        <w:t xml:space="preserve">for patients to </w:t>
      </w:r>
      <w:r w:rsidR="007D28BE" w:rsidRPr="00C46E12">
        <w:rPr>
          <w:rFonts w:eastAsia="Calibri" w:cs="Arial"/>
          <w:spacing w:val="1"/>
          <w:szCs w:val="22"/>
        </w:rPr>
        <w:t>choose their care based</w:t>
      </w:r>
      <w:r w:rsidR="000D1DDB" w:rsidRPr="00C46E12">
        <w:rPr>
          <w:rFonts w:eastAsia="Calibri" w:cs="Arial"/>
          <w:spacing w:val="1"/>
          <w:szCs w:val="22"/>
        </w:rPr>
        <w:t xml:space="preserve"> on their circumstances</w:t>
      </w:r>
      <w:r w:rsidR="00185360">
        <w:rPr>
          <w:rFonts w:eastAsia="Calibri" w:cs="Arial"/>
          <w:spacing w:val="1"/>
          <w:szCs w:val="22"/>
        </w:rPr>
        <w:t>, such as where they live</w:t>
      </w:r>
      <w:r w:rsidR="009173EC" w:rsidRPr="00C46E12">
        <w:rPr>
          <w:rFonts w:eastAsia="Calibri" w:cs="Arial"/>
          <w:spacing w:val="1"/>
          <w:szCs w:val="22"/>
        </w:rPr>
        <w:t xml:space="preserve">. </w:t>
      </w:r>
      <w:r>
        <w:rPr>
          <w:rFonts w:eastAsia="Calibri" w:cs="Arial"/>
          <w:spacing w:val="1"/>
          <w:szCs w:val="22"/>
        </w:rPr>
        <w:t xml:space="preserve">Hence, effectively, hospital-based follow-up care is the only model of care available. </w:t>
      </w:r>
      <w:r w:rsidR="001C4A7C" w:rsidRPr="00C46E12">
        <w:rPr>
          <w:rFonts w:eastAsia="Calibri" w:cs="Arial"/>
          <w:spacing w:val="1"/>
          <w:szCs w:val="22"/>
        </w:rPr>
        <w:t>A</w:t>
      </w:r>
      <w:r w:rsidR="009173EC" w:rsidRPr="00C46E12">
        <w:rPr>
          <w:rFonts w:eastAsia="Calibri" w:cs="Arial"/>
          <w:spacing w:val="1"/>
          <w:szCs w:val="22"/>
        </w:rPr>
        <w:t>s the demand for cancer follow-up care grows, new approaches to delivering cancer follow-up care</w:t>
      </w:r>
      <w:r w:rsidR="001C4A7C" w:rsidRPr="00C46E12">
        <w:rPr>
          <w:rFonts w:eastAsia="Calibri" w:cs="Arial"/>
          <w:spacing w:val="1"/>
          <w:szCs w:val="22"/>
        </w:rPr>
        <w:t xml:space="preserve"> have been reviewed</w:t>
      </w:r>
      <w:r w:rsidR="00A124B5">
        <w:rPr>
          <w:rFonts w:eastAsia="Calibri" w:cs="Arial"/>
          <w:spacing w:val="1"/>
          <w:szCs w:val="22"/>
        </w:rPr>
        <w:t>.</w:t>
      </w:r>
      <w:r w:rsidR="001C4A7C" w:rsidRPr="00C46E12">
        <w:rPr>
          <w:rFonts w:eastAsia="Calibri" w:cs="Arial"/>
          <w:spacing w:val="1"/>
          <w:szCs w:val="22"/>
        </w:rPr>
        <w:t xml:space="preserve"> </w:t>
      </w:r>
      <w:r w:rsidR="008C2600" w:rsidRPr="00C46E12">
        <w:rPr>
          <w:rFonts w:eastAsia="Calibri" w:cs="Arial"/>
          <w:spacing w:val="1"/>
          <w:szCs w:val="22"/>
        </w:rPr>
        <w:t xml:space="preserve">Randomised control trials have shown that </w:t>
      </w:r>
      <w:r>
        <w:rPr>
          <w:rFonts w:eastAsia="Calibri" w:cs="Arial"/>
          <w:spacing w:val="1"/>
          <w:szCs w:val="22"/>
        </w:rPr>
        <w:t xml:space="preserve">there is </w:t>
      </w:r>
      <w:r w:rsidRPr="00C46E12">
        <w:rPr>
          <w:rFonts w:eastAsia="Calibri" w:cs="Arial"/>
          <w:spacing w:val="1"/>
          <w:szCs w:val="22"/>
        </w:rPr>
        <w:t xml:space="preserve">no difference in the rate of recurrence or quality of life </w:t>
      </w:r>
      <w:r>
        <w:rPr>
          <w:rFonts w:eastAsia="Calibri" w:cs="Arial"/>
          <w:spacing w:val="1"/>
          <w:szCs w:val="22"/>
        </w:rPr>
        <w:t xml:space="preserve">when </w:t>
      </w:r>
      <w:r w:rsidR="00D9607C">
        <w:rPr>
          <w:rFonts w:eastAsia="Calibri" w:cs="Arial"/>
          <w:spacing w:val="1"/>
          <w:szCs w:val="22"/>
        </w:rPr>
        <w:t>a general practitioner delivers cancer follow-up care</w:t>
      </w:r>
      <w:r w:rsidR="008C2600" w:rsidRPr="00C46E12">
        <w:rPr>
          <w:rFonts w:eastAsia="Calibri" w:cs="Arial"/>
          <w:spacing w:val="1"/>
          <w:szCs w:val="22"/>
        </w:rPr>
        <w:t xml:space="preserve"> compared to cancer follow-up with an oncologist</w:t>
      </w:r>
      <w:r w:rsidR="00F75ECE">
        <w:rPr>
          <w:rFonts w:eastAsia="Calibri" w:cs="Arial"/>
          <w:spacing w:val="1"/>
          <w:szCs w:val="22"/>
        </w:rPr>
        <w:t xml:space="preserve"> </w:t>
      </w:r>
      <w:r w:rsidR="002419EB" w:rsidRPr="00C46E12">
        <w:rPr>
          <w:rFonts w:cs="Arial"/>
        </w:rPr>
        <w:fldChar w:fldCharType="begin"/>
      </w:r>
      <w:r w:rsidR="003513CC">
        <w:rPr>
          <w:rFonts w:cs="Arial"/>
        </w:rPr>
        <w:instrText xml:space="preserve"> ADDIN ZOTERO_ITEM CSL_CITATION {"citationID":"4jc4XBPP","properties":{"formattedCitation":"\\super 20\\uc0\\u8211{}24\\nosupersub{}","plainCitation":"20–24","noteIndex":0},"citationItems":[{"id":96,"uris":["http://zotero.org/users/5346176/items/UI7RVP5B"],"uri":["http://zotero.org/users/5346176/items/UI7RVP5B"],"itemData":{"id":96,"type":"article-journal","title":"Randomized trial of long-term follow-up for early-stage breast cancer: a comparison of family physician versus specialist care","container-title":"Journal of Clinical Oncology: Official Journal of the American Society of Clinical Oncology","page":"848-855","volume":"24","issue":"6","source":"PubMed","abstract":"PURPOSE: Most women with breast cancer are diagnosed at an early stage and more than 80% will be long-term survivors. Routine follow-up marks the transition from intensive treatment to survivorship. It is usual practice for routine follow-up to take place in specialist clinics. This study tested the hypothesis that follow-up by the patient's family physician is a safe and acceptable alternative to specialist follow-up.\nPATIENTS AND METHODS: A multicenter, randomized, controlled trial was conducted involving 968 patients with early-stage breast cancer who had completed adjuvant treatment, were disease free, and were between 9 and 15 months after diagnosis. Patients may have continued receiving adjuvant hormonal therapy. Patients were randomly allocated to follow-up in the cancer center according to usual practice (CC group) or follow-up from their own family physician (FP group). The primary outcome was the rate of recurrence-related serious clinical events (SCEs). The secondary outcome was health-related quality of life (HRQL).\nRESULTS: In the FP group, there were 54 recurrences (11.2%) and 29 deaths (6.0%). In the CC group, there were 64 recurrences (13.2%) and 30 deaths (6.2%). In the FP group, 17 patients (3.5%) compared with 18 patients (3.7%) in the CC group experienced an SCE (0.19% difference; 95% CI, -2.26% to 2.65%). No statistically significant differences (P &lt; .05) were detected between groups on any of the HRQL questionnaires.\nCONCLUSION: Breast cancer patients can be offered follow-up by their family physician without concern that important recurrence-related SCEs will occur more frequently or that HRQL will be negatively affected.","DOI":"10.1200/JCO.2005.03.2235","ISSN":"1527-7755","note":"PMID: 16418496","title-short":"Randomized trial of long-term follow-up for early-stage breast cancer","journalAbbreviation":"J. Clin. Oncol.","language":"eng","author":[{"family":"Grunfeld","given":"Eva"},{"family":"Levine","given":"Mark N."},{"family":"Julian","given":"Jim A."},{"family":"Coyle","given":"Doug"},{"family":"Szechtman","given":"Barbara"},{"family":"Mirsky","given":"Doug"},{"family":"Verma","given":"Shailendara"},{"family":"Dent","given":"Susan"},{"family":"Sawka","given":"Carol"},{"family":"Pritchard","given":"Kathleen I."},{"family":"Ginsburg","given":"David"},{"family":"Wood","given":"Marjorie"},{"family":"Whelan","given":"Tim"}],"issued":{"date-parts":[["2006",2,20]]}}},{"id":353,"uris":["http://zotero.org/users/5346176/items/GGES8GHW"],"uri":["http://zotero.org/users/5346176/items/GGES8GHW"],"itemData":{"id":353,"type":"article-journal","title":"Evaluating Survivorship Care Plans: Results of a Randomized, Clinical Trial of Patients With Breast Cancer","container-title":"Journal of Clinical Oncology","page":"4755-4762","volume":"29","issue":"36","source":"Crossref","abstract":"Purpose An Institute of Medicine report recommends that patients with cancer receive a survivorship care plan (SCP). The trial objective was to determine if an SCP for breast cancer survivors improves patient-reported outcomes. Patients and Methods Women with early-stage breast cancer who completed primary treatment at least 3 months previously were eligible. Consenting patients were allocated within two strata: less than 24 months and Ն 24 months since diagnosis. All patients were transferred to their own primary care physician (PCP) for follow-up. In addition to a discharge visit, the intervention group received an SCP, which was reviewed during a 30-minute educational session with a nurse, and their PCP received the SCP and guideline on follow-up. The primary outcome was cancer-related distress at 12 months, assessed by the Impact of Event Scale (IES). Secondary outcomes included quality of life, patient satisfaction, continuity/coordination of care, and health service measures.\nResults Overall, 408 survivors were enrolled through nine tertiary cancer centers. There were no differences between groups on cancer-related distress or on any of the patient-reported secondary outcomes, and there were no differences when the two strata were analyzed separately. More patients in the intervention than control group correctly identify their PCP as primarily responsible for follow-up (98.7% v 89.1%; difference, 9.6%; 95% CI, 3.9 to 15.9; P ϭ .005).\nConclusion The results do not support the hypothesis that SCPs are beneﬁcial for improving patient-reported outcomes. Transferring follow-up to PCPs is considered an important strategy to meet the demand for scarce oncology resources. SCPs were no better than a standard discharge visit with the oncologist to facilitate transfer.","DOI":"10.1200/JCO.2011.36.8373","ISSN":"0732-183X, 1527-7755","title-short":"Evaluating Survivorship Care Plans","language":"en","author":[{"family":"Grunfeld","given":"Eva"},{"family":"Julian","given":"Jim A."},{"family":"Pond","given":"Gregory"},{"family":"Maunsell","given":"Elizabeth"},{"family":"Coyle","given":"Douglas"},{"family":"Folkes","given":"Amy"},{"family":"Joy","given":"Anil A."},{"family":"Provencher","given":"Louise"},{"family":"Rayson","given":"Daniel"},{"family":"Rheaume","given":"Dorianne E."},{"family":"Porter","given":"Geoffrey A."},{"family":"Paszat","given":"Lawrence F."},{"family":"Pritchard","given":"Kathleen I."},{"family":"Robidoux","given":"André"},{"family":"Smith","given":"Sally"},{"family":"Sussman","given":"Jonathan"},{"family":"Dent","given":"Susan"},{"family":"Sisler","given":"Jeffrey"},{"family":"Wiernikowski","given":"Jennifer"},{"family":"Levine","given":"Mark N."}],"issued":{"date-parts":[["2011",12,20]]}}},{"id":539,"uris":["http://zotero.org/users/5346176/items/DW4GK692"],"uri":["http://zotero.org/users/5346176/items/DW4GK692"],"itemData":{"id":539,"type":"article-journal","title":"Randomized Controlled Trial of Shared Care for Patients With Cancer Involving General Practitioners and Cancer Specialists","container-title":"Journal of Oncology Practice","page":"349-355","volume":"11","issue":"5","source":"Crossref","abstract":"Purpose: We aimed to determine whether a shared care model (SCM) during chemotherapy treatment improved emotional wellbeing, empowerment, and prevalence of symptoms for people being treated for cancer.","DOI":"10.1200/JOP.2014.001569","ISSN":"1554-7477, 1935-469X","language":"en","author":[{"family":"Johnson","given":"Claire E."},{"family":"Saunders","given":"Christobel M."},{"family":"Phillips","given":"Michael"},{"family":"Emery","given":"Jon D."},{"family":"Nowak","given":"Anna K."},{"family":"Overheu","given":"Kate"},{"family":"Ward","given":"Alison M."},{"family":"Joske","given":"David J.L."}],"issued":{"date-parts":[["2015",9]]}}},{"id":106,"uris":["http://zotero.org/users/5346176/items/GY2NUZZB"],"uri":["http://zotero.org/users/5346176/items/GY2NUZZB"],"itemData":{"id":106,"type":"article-journal","title":"Cancer survivorship: a challenge for primary care physicians","container-title":"The British Journal of General Practice","page":"741-742","volume":"55","issue":"519","source":"PubMed Central","ISSN":"0960-1643","note":"PMID: 16212847\nPMCID: PMC1562350","title-short":"Cancer survivorship","journalAbbreviation":"Br J Gen Pract","author":[{"family":"Grunfeld","given":"Eva"}],"issued":{"date-parts":[["2005",10,1]]}}},{"id":712,"uris":["http://zotero.org/users/5346176/items/QHD772FL"],"uri":["http://zotero.org/users/5346176/items/QHD772FL"],"itemData":{"id":712,"type":"article-journal","title":"Impact of Follow-up Testing on Survival and Health-Related Quality of Life in Breast Cancer Patients: A Multicenter Randomized Controlled Trial","container-title":"JAMA","page":"1587-1592","volume":"271","issue":"20","source":"jamanetwork.com","abstract":"&lt;h3&gt;Objective.&lt;/h3&gt;&lt;p&gt;—To assess prospectively the impact on survival and health-related quality of life of two follow-up protocols in patients with early breast cancer.&lt;/p&gt;&lt;h3&gt;Design.&lt;/h3&gt;&lt;p&gt;—Randomized controlled clinical trial.&lt;/p&gt;&lt;h3&gt;Setting.&lt;/h3&gt;&lt;p&gt;—Multicenter study involving 26 general hospitals in Italy.&lt;/p&gt;&lt;h3&gt;Patients.&lt;/h3&gt;&lt;p&gt;—A consecutive sample of 1320 women younger than 70 years with stage I, II, and III unilateral primary breast cancer.&lt;/p&gt;&lt;h3&gt;Intervention.&lt;/h3&gt;&lt;p&gt;—Patients were randomly assigned to an intensive surveillance, which included physician visits and performance of bone scan, liver echography, chest roentgenography, and laboratory tests at predefined intervals (n=655), or to a control regimen (n=665), in which patients were seen by their physicians at the same frequency but only clinically indicated tests were performed. Both groups received a yearly mammogram aimed at detecting contralateral breast cancer.&lt;/p&gt;&lt;h3&gt;Main Outcome Measures.&lt;/h3&gt;&lt;p&gt;—Primary end points were overall survival and health-related quality of life.&lt;/p&gt;&lt;h3&gt;Results.&lt;/h3&gt;&lt;p&gt;—Compliance to the two follow-up protocols was more than 80%. At a median follow-up of 71 months, no difference was apparent in overall survival with 132 deaths (20%) in the intensive group and 122 deaths (18%) in the control group. No significant differences were apparent in time to detection of recurrence between the two groups. Measurements of health-related quality of life (ie, overall health and quality-of-life perception, emotional well-being, body image, social functioning, symptoms, and satisfaction with care) at 6,12, 24, and 60 months of follow-up did not show differences by type of care received.&lt;/p&gt;&lt;h3&gt;Conclusions.&lt;/h3&gt;&lt;p&gt;—Results of this trial support the view that a protocol of frequent laboratory tests and roentgenography after primary treatment for breast cancer does not improve survival or influence health-related quality of life. Routine use of these tests should be discouraged.&lt;/p&gt;&lt;p&gt;(&lt;i&gt;JAMA&lt;/i&gt;. 1994;271:1587-1592)&lt;/p&gt;","DOI":"10.1001/jama.1994.03510440047031","ISSN":"0098-7484","title-short":"Impact of Follow-up Testing on Survival and Health-Related Quality of Life in Breast Cancer Patients","journalAbbreviation":"JAMA","language":"en","author":[{"family":"Ghezzi","given":"P."},{"family":"Magnanini","given":"S."},{"family":"Rinaldini","given":"M."},{"family":"Berardi","given":"F."},{"family":"Biagio","given":"G. Di"},{"family":"Testare","given":"F."},{"family":"Tavoni","given":"N."},{"family":"Schittulli","given":"F."},{"family":"D'Amico","given":"C."},{"family":"Pedicini","given":"T."},{"family":"Fumagalli","given":"M."},{"family":"Gritti","given":"G."},{"family":"Braga","given":"M."},{"family":"Marini","given":"G."},{"family":"Zaniboni","given":"A."},{"family":"Cosentino","given":"D."},{"family":"Epifani","given":"C."},{"family":"Gini","given":"G."},{"family":"Perroni","given":"D."},{"family":"Peradotto","given":"F."},{"family":"Indelli","given":"M."},{"family":"Santini","given":"A."},{"family":"Isa","given":"L."},{"family":"Aitini","given":"E."},{"family":"Cavazzini","given":"G."},{"family":"Smerieri","given":"F."},{"family":"Nascimben","given":"O."},{"family":"Busolin","given":"R."},{"family":"Papaccio","given":"G."},{"family":"Locatelli","given":"E."},{"family":"Monti","given":"M."},{"family":"Ghislandi","given":"E."},{"family":"Gottardi","given":"O."},{"family":"Majno","given":"M."},{"family":"Pluchinotta","given":"A."},{"family":"Armaroli","given":"L."},{"family":"Confalonieri","given":"C."},{"family":"Viola","given":"P."},{"family":"Galletto","given":"L."},{"family":"Sussio","given":"M."},{"family":"Trolli","given":"B."},{"family":"Biasio","given":"M."},{"family":"Rolfo","given":"A."},{"family":"Vaudano","given":"G."},{"family":"Giolito","given":"M. R."},{"family":"Ambrosini","given":"G."},{"family":"Busana","given":"L."},{"family":"Molteni","given":"M."},{"family":"Richetti","given":"A."},{"family":"Marubini","given":"E."},{"family":"Piffanelli","given":"A."},{"family":"Salvadori","given":"B."},{"family":"Tognoni","given":"G."},{"family":"Zola","given":"P."},{"family":"Liberati","given":"A."},{"family":"Fossati","given":"R."},{"family":"Meyerowitz","given":"B. E."},{"family":"Torri","given":"V."},{"family":"Apolone","given":"G."},{"family":"Mosconi","given":"P."},{"family":"Marsoni","given":"S."},{"family":"Liberati","given":"M. C."},{"family":"Alexanian","given":"A."},{"family":"Grilli","given":"R."},{"family":"Nicolucci","given":"A."},{"family":"Monferroni","given":"N."}],"issued":{"date-parts":[["1994",5,25]]}}}],"schema":"https://github.com/citation-style-language/schema/raw/master/csl-citation.json"} </w:instrText>
      </w:r>
      <w:r w:rsidR="002419EB" w:rsidRPr="00C46E12">
        <w:rPr>
          <w:rFonts w:cs="Arial"/>
        </w:rPr>
        <w:fldChar w:fldCharType="separate"/>
      </w:r>
      <w:r w:rsidR="00B03D42" w:rsidRPr="00C46E12">
        <w:rPr>
          <w:rFonts w:cs="Arial"/>
          <w:vertAlign w:val="superscript"/>
        </w:rPr>
        <w:t>20–24</w:t>
      </w:r>
      <w:r w:rsidR="002419EB" w:rsidRPr="00C46E12">
        <w:rPr>
          <w:rFonts w:cs="Arial"/>
        </w:rPr>
        <w:fldChar w:fldCharType="end"/>
      </w:r>
      <w:r w:rsidR="008C2600" w:rsidRPr="00C46E12">
        <w:rPr>
          <w:rFonts w:eastAsia="Calibri" w:cs="Arial"/>
          <w:spacing w:val="1"/>
          <w:szCs w:val="22"/>
        </w:rPr>
        <w:t xml:space="preserve">. </w:t>
      </w:r>
      <w:r w:rsidR="00AD68B8">
        <w:rPr>
          <w:rFonts w:eastAsia="Calibri" w:cs="Arial"/>
          <w:spacing w:val="1"/>
          <w:szCs w:val="22"/>
        </w:rPr>
        <w:t>T</w:t>
      </w:r>
      <w:r w:rsidR="008C2600" w:rsidRPr="00C46E12">
        <w:rPr>
          <w:rFonts w:eastAsia="Calibri" w:cs="Arial"/>
          <w:spacing w:val="1"/>
          <w:szCs w:val="22"/>
        </w:rPr>
        <w:t xml:space="preserve">he </w:t>
      </w:r>
      <w:r w:rsidR="00AD68B8">
        <w:rPr>
          <w:rFonts w:eastAsia="Calibri" w:cs="Arial"/>
          <w:spacing w:val="1"/>
          <w:szCs w:val="22"/>
        </w:rPr>
        <w:t xml:space="preserve">evidence for the </w:t>
      </w:r>
      <w:r w:rsidR="008C2600" w:rsidRPr="00C46E12">
        <w:rPr>
          <w:rFonts w:eastAsia="Calibri" w:cs="Arial"/>
          <w:spacing w:val="1"/>
          <w:szCs w:val="22"/>
        </w:rPr>
        <w:t>benefits of general practitioner-led and shared-care cancer follow-up models of care is growing</w:t>
      </w:r>
      <w:r w:rsidR="00F75ECE">
        <w:rPr>
          <w:rFonts w:eastAsia="Calibri" w:cs="Arial"/>
          <w:spacing w:val="1"/>
          <w:szCs w:val="22"/>
        </w:rPr>
        <w:t xml:space="preserve"> </w:t>
      </w:r>
      <w:r w:rsidR="002419EB" w:rsidRPr="00C46E12">
        <w:rPr>
          <w:rFonts w:cs="Arial"/>
        </w:rPr>
        <w:fldChar w:fldCharType="begin"/>
      </w:r>
      <w:r w:rsidR="003513CC">
        <w:rPr>
          <w:rFonts w:cs="Arial"/>
        </w:rPr>
        <w:instrText xml:space="preserve"> ADDIN ZOTERO_ITEM CSL_CITATION {"citationID":"c6JdQULx","properties":{"formattedCitation":"\\super 23\\nosupersub{}","plainCitation":"23","noteIndex":0},"citationItems":[{"id":106,"uris":["http://zotero.org/users/5346176/items/GY2NUZZB"],"uri":["http://zotero.org/users/5346176/items/GY2NUZZB"],"itemData":{"id":106,"type":"article-journal","title":"Cancer survivorship: a challenge for primary care physicians","container-title":"The British Journal of General Practice","page":"741-742","volume":"55","issue":"519","source":"PubMed Central","ISSN":"0960-1643","note":"PMID: 16212847\nPMCID: PMC1562350","title-short":"Cancer survivorship","journalAbbreviation":"Br J Gen Pract","author":[{"family":"Grunfeld","given":"Eva"}],"issued":{"date-parts":[["2005",10,1]]}}}],"schema":"https://github.com/citation-style-language/schema/raw/master/csl-citation.json"} </w:instrText>
      </w:r>
      <w:r w:rsidR="002419EB" w:rsidRPr="00C46E12">
        <w:rPr>
          <w:rFonts w:cs="Arial"/>
        </w:rPr>
        <w:fldChar w:fldCharType="separate"/>
      </w:r>
      <w:bookmarkStart w:id="55" w:name="__Fieldmark__762_1249686335"/>
      <w:bookmarkStart w:id="56" w:name="__Fieldmark__1049_801305196"/>
      <w:r w:rsidR="00B03D42" w:rsidRPr="00C46E12">
        <w:rPr>
          <w:rFonts w:cs="Arial"/>
          <w:vertAlign w:val="superscript"/>
        </w:rPr>
        <w:t>23</w:t>
      </w:r>
      <w:r w:rsidR="002419EB" w:rsidRPr="00C46E12">
        <w:rPr>
          <w:rFonts w:cs="Arial"/>
        </w:rPr>
        <w:fldChar w:fldCharType="end"/>
      </w:r>
      <w:bookmarkEnd w:id="55"/>
      <w:bookmarkEnd w:id="56"/>
      <w:r w:rsidR="008C2600" w:rsidRPr="00C46E12">
        <w:rPr>
          <w:rFonts w:eastAsia="Calibri" w:cs="Arial"/>
          <w:spacing w:val="1"/>
          <w:szCs w:val="22"/>
        </w:rPr>
        <w:t xml:space="preserve">. </w:t>
      </w:r>
      <w:r w:rsidR="002419EB" w:rsidRPr="00C46E12">
        <w:rPr>
          <w:rFonts w:eastAsia="Calibri" w:cs="Arial"/>
          <w:spacing w:val="1"/>
          <w:szCs w:val="22"/>
        </w:rPr>
        <w:t xml:space="preserve">Despite the acknowledgement of the benefits of cancer follow-up care with the general practitioner, </w:t>
      </w:r>
      <w:r w:rsidR="00D9607C">
        <w:rPr>
          <w:rFonts w:eastAsia="Calibri" w:cs="Arial"/>
          <w:spacing w:val="1"/>
          <w:szCs w:val="22"/>
        </w:rPr>
        <w:t>no mechanisms are</w:t>
      </w:r>
      <w:r>
        <w:rPr>
          <w:rFonts w:eastAsia="Calibri" w:cs="Arial"/>
          <w:spacing w:val="1"/>
          <w:szCs w:val="22"/>
        </w:rPr>
        <w:t xml:space="preserve"> allowing </w:t>
      </w:r>
      <w:r w:rsidR="00DE39B4" w:rsidRPr="00C46E12">
        <w:rPr>
          <w:rFonts w:cs="Arial"/>
        </w:rPr>
        <w:t>effective two-way communication in real-time between oncologists and general practitioners</w:t>
      </w:r>
      <w:r w:rsidR="00F75ECE">
        <w:rPr>
          <w:rFonts w:cs="Arial"/>
        </w:rPr>
        <w:t xml:space="preserve"> </w:t>
      </w:r>
      <w:r w:rsidR="00DE39B4" w:rsidRPr="00C46E12">
        <w:rPr>
          <w:rFonts w:cs="Arial"/>
        </w:rPr>
        <w:fldChar w:fldCharType="begin"/>
      </w:r>
      <w:r w:rsidR="003513CC">
        <w:rPr>
          <w:rFonts w:cs="Arial"/>
        </w:rPr>
        <w:instrText xml:space="preserve"> ADDIN ZOTERO_ITEM CSL_CITATION {"citationID":"JDI5JRkl","properties":{"formattedCitation":"\\super 5,25\\uc0\\u8211{}27\\nosupersub{}","plainCitation":"5,25–27","noteIndex":0},"citationItems":[{"id":327,"uris":["http://zotero.org/users/5346176/items/94FYQ4GW"],"uri":["http://zotero.org/users/5346176/items/94FYQ4GW"],"itemData":{"id":327,"type":"article-journal","title":"Collaboration between primary care physicians and radiation oncologists","container-title":"Annals of Palliative Medicine","page":"81-86","volume":"6","issue":"1","source":"Crossref","abstract":"Communication between physicians is required to ensure important patient information is relayed during the workup, treatment, follow-up and subsequent transition of care back to the primary care physician (PCP). In this review we discuss how survivorship care is being increasingly recognized as an important component of the patient’s cancer journey, and one often provided by the PCP. Palliative care and symptom control for patients with non-curable malignancy is often provided by the PCP during and after cancer treatment. Physician communication is paramount to ensure optimal patient care.","DOI":"10.21037/apm.2016.11.03","ISSN":"22245820, 22245839","language":"en","author":[{"family":"Barnes","given":"Elizabeth A."},{"family":"Chow","given":"Edward"},{"family":"Danjoux","given":"Cyril"},{"family":"Tsao","given":"May"}],"issued":{"date-parts":[["2017",1]]}}},{"id":467,"uris":["http://zotero.org/users/5346176/items/VWR8DKDL"],"uri":["http://zotero.org/users/5346176/items/VWR8DKDL"],"itemData":{"id":467,"type":"article-journal","title":"Oncologists and family physicians","page":"5","source":"Zotero","abstract":"PROBLEM BEING ADDRESSED Communication between oncologists at a regional cancer centre and family physicians caring for palliative cancer patients in the community was ineffective. OBJECTIVE OF PROGRAM To improve communication between oncologists and family physicians by routine use of a template for dictated letters concerning follow-up care. PROGRAM DESCRIPTION A consultation letter template was constructed and tested at a single clinic. The template was designed to guide oncologists dictating letters to family physicians for patients’ follow-up visits. Effectiveness of the standardized letter was evaluated with a before-after survey.","language":"en","author":[{"family":"Braun","given":"Ted C"},{"family":"Hagen","given":"Neil A"},{"family":"Smith","given":"Colum"},{"family":"Summers","given":"Nancy"}]}},{"id":659,"uris":["http://zotero.org/users/5346176/items/25YZV3JZ"],"uri":["http://zotero.org/users/5346176/items/25YZV3JZ"],"itemData":{"id":659,"type":"article-journal","title":"Views of family physicians about survivorship care plans to provide breast cancer follow-up care: exploration of results from a randomized controlled trial","container-title":"Current Oncology","page":"252","volume":"22","issue":"4","source":"Crossref","abstract":"Background  The U.S. Institute of Medicine recommends that cancer patients receive survivorship care plans, but evaluations to date have found little evidence of the effectiveness of such plans. We conducted a qualitative follow-on study to a randomized controlled trial (rct) to understand the experiences of family physicians using survivorship care plans to support the follow-up of breast cancer patients.\nMethods  A subset of family physicians whose patients were enrolled in the parent rct in Ontario and Nova Scotia were eligible for this study. In interviews, the physicians discussed survivorship care plans (intervention) or usual discharge letters (control), and their confidence in providing follow-up cancer care.\nResults  Of 123 eligible family physicians, 18 (10 intervention, 8 control) were interviewed. In general, physicians receiving a survivorship care plan found only the 1-page care record to be useful. Physicians who received only a discharge letter had variable views about the letter’s usefulness; several indicated that it lacked information about potential cancer- or treatment-related problems. Most physicians were comfortable providing care 3–5 years after diagnosis, but desired timely and informative communication with oncologists.\nConclusions  Although family physicians did not find extensive survivorship care plans useful, discharge letters might not be sufficiently comprehensive for follow-up breast cancer care. Effective strategies for two-way communication between family physicians and oncologists are still lacking.","DOI":"10.3747/co.22.2368","ISSN":"1718-7729, 1198-0052","title-short":"Views of family physicians about survivorship care plans to provide breast cancer follow-up care","language":"en","author":[{"family":"O'Brien","given":"M.A."},{"family":"Grunfeld","given":"E."},{"family":"Sussman","given":"J."},{"family":"Porter","given":"G."},{"family":"Hammond Mobilio","given":"M."}],"issued":{"date-parts":[["2015",5,6]]}}},{"id":18,"uris":["http://zotero.org/users/5346176/items/MEPNKXD7"],"uri":["http://zotero.org/users/5346176/items/MEPNKXD7"],"itemData":{"id":18,"type":"article-journal","title":"Patients' preferences for post-treatment breast cancer follow-up in primary care vs. secondary care: a qualitative study","container-title":"Health Expectations","page":"2192-2201","volume":"18","issue":"6","source":"Crossref","abstract":"Objective To explore patients’ preferences for follow-up in primary care vs. secondary care.\nMethods A cross-sectional design was employed, involving semistructured interviews with 70 female patients with a history of early-stage breast cancer. Using descriptive content analysis, interview transcripts were analysed independently and thematically by two researchers. Findings Patients expressed the strongest preference for annual visits (31/68), a schedule with a decreasing frequency over time (27/ 68), and follow-up &gt; 10 years, including lifelong follow-up (20/64). The majority (56/61) preferred to receive follow-up care from the same care provider over time, for reasons related to a personal doctor–patient relationship and the physician’s knowledge of the patient’s history. About 75% (43/56) preferred specialist follow-up to other follow-up models. However, primary care-based follow-up would be accepted by 57% (39/68) provided that there is good communication between GPs and specialists, and suﬃcient knowledge among GPs about follow-up. Perceived beneﬁts of primary care-based follow-up referred to the personal nature of the GP–patient relationship and the easy access to primary care. Perceived barriers included limited oncology knowledge and skills, time available, motivation among GPs to provide follow-up care and patients’ conﬁdence with the present specialist follow-up.\nConclusions More than half of the patients were open to primary care-based follow-up. Patients’ conﬁdence with this follow-up model may increase by using survivorship care plans to facilitate communication across the primary/secondary interface and with patients. Training GPs to improve their oncology knowledge and skills might also increase patients’ conﬁdence.","DOI":"10.1111/hex.12189","ISSN":"13696513","title-short":"Patients' preferences for post-treatment breast cancer follow-up in primary care vs. secondary care","language":"en","author":[{"family":"Roorda","given":"Carriene"},{"family":"Bock","given":"Geertruida H.","non-dropping-particle":"de"},{"family":"Scholing","given":"Christian"},{"family":"Meer","given":"Klaas","non-dropping-particle":"van der"},{"family":"Berger","given":"Marjolein Y."},{"family":"Fouw","given":"Marlieke","non-dropping-particle":"de"},{"family":"Berendsen","given":"Annette J."}],"issued":{"date-parts":[["2015",12]]}}}],"schema":"https://github.com/citation-style-language/schema/raw/master/csl-citation.json"} </w:instrText>
      </w:r>
      <w:r w:rsidR="00DE39B4" w:rsidRPr="00C46E12">
        <w:rPr>
          <w:rFonts w:cs="Arial"/>
        </w:rPr>
        <w:fldChar w:fldCharType="separate"/>
      </w:r>
      <w:bookmarkStart w:id="57" w:name="__Fieldmark__1264_1249686335"/>
      <w:bookmarkStart w:id="58" w:name="__Fieldmark__2051_801305196"/>
      <w:r w:rsidR="00B03D42" w:rsidRPr="00C46E12">
        <w:rPr>
          <w:rFonts w:cs="Arial"/>
          <w:vertAlign w:val="superscript"/>
        </w:rPr>
        <w:t>5,25–27</w:t>
      </w:r>
      <w:r w:rsidR="00DE39B4" w:rsidRPr="00C46E12">
        <w:rPr>
          <w:rFonts w:cs="Arial"/>
        </w:rPr>
        <w:fldChar w:fldCharType="end"/>
      </w:r>
      <w:bookmarkEnd w:id="57"/>
      <w:bookmarkEnd w:id="58"/>
      <w:r w:rsidR="00D9607C">
        <w:rPr>
          <w:rFonts w:cs="Arial"/>
        </w:rPr>
        <w:t>,</w:t>
      </w:r>
      <w:r w:rsidR="008C2600" w:rsidRPr="00C46E12">
        <w:rPr>
          <w:rFonts w:cs="Arial"/>
          <w:szCs w:val="22"/>
        </w:rPr>
        <w:t xml:space="preserve"> </w:t>
      </w:r>
      <w:r>
        <w:rPr>
          <w:rFonts w:cs="Arial"/>
          <w:szCs w:val="22"/>
        </w:rPr>
        <w:t xml:space="preserve">there </w:t>
      </w:r>
      <w:r w:rsidR="008C2600" w:rsidRPr="00C46E12">
        <w:rPr>
          <w:rFonts w:cs="Arial"/>
          <w:szCs w:val="22"/>
        </w:rPr>
        <w:t>is</w:t>
      </w:r>
      <w:r w:rsidR="008C2600" w:rsidRPr="00C46E12">
        <w:rPr>
          <w:rFonts w:eastAsia="Calibri" w:cs="Arial"/>
          <w:spacing w:val="1"/>
          <w:szCs w:val="22"/>
        </w:rPr>
        <w:t xml:space="preserve"> currently no </w:t>
      </w:r>
      <w:r>
        <w:rPr>
          <w:rFonts w:eastAsia="Calibri" w:cs="Arial"/>
          <w:spacing w:val="1"/>
          <w:szCs w:val="22"/>
        </w:rPr>
        <w:t>model</w:t>
      </w:r>
      <w:r w:rsidRPr="00C46E12">
        <w:rPr>
          <w:rFonts w:eastAsia="Calibri" w:cs="Arial"/>
          <w:spacing w:val="1"/>
          <w:szCs w:val="22"/>
        </w:rPr>
        <w:t xml:space="preserve"> </w:t>
      </w:r>
      <w:r w:rsidR="008C2600" w:rsidRPr="00C46E12">
        <w:rPr>
          <w:rFonts w:eastAsia="Calibri" w:cs="Arial"/>
          <w:spacing w:val="1"/>
          <w:szCs w:val="22"/>
        </w:rPr>
        <w:t>where the general practitioner performs routine cancer follow-up care, and the oncologist oversees it.</w:t>
      </w:r>
    </w:p>
    <w:p w14:paraId="7ECCC4E5" w14:textId="77777777" w:rsidR="003678F2" w:rsidRPr="00C46E12" w:rsidRDefault="003678F2" w:rsidP="00C46E12">
      <w:pPr>
        <w:spacing w:after="200"/>
        <w:contextualSpacing/>
        <w:jc w:val="both"/>
        <w:rPr>
          <w:rFonts w:eastAsia="Calibri" w:cs="Arial"/>
          <w:spacing w:val="1"/>
          <w:szCs w:val="22"/>
        </w:rPr>
      </w:pPr>
    </w:p>
    <w:p w14:paraId="10AA8BEA" w14:textId="3F76459E" w:rsidR="00482597" w:rsidRPr="00C46E12" w:rsidRDefault="00346493" w:rsidP="00C46E12">
      <w:pPr>
        <w:spacing w:after="200"/>
        <w:contextualSpacing/>
        <w:jc w:val="both"/>
        <w:rPr>
          <w:rFonts w:eastAsia="Calibri" w:cs="Arial"/>
          <w:spacing w:val="1"/>
          <w:szCs w:val="22"/>
        </w:rPr>
      </w:pPr>
      <w:r w:rsidRPr="00C46E12">
        <w:rPr>
          <w:rFonts w:eastAsia="Calibri" w:cs="Arial"/>
          <w:spacing w:val="1"/>
          <w:szCs w:val="22"/>
        </w:rPr>
        <w:t>This</w:t>
      </w:r>
      <w:r w:rsidR="009E67EE" w:rsidRPr="00C46E12">
        <w:rPr>
          <w:rFonts w:eastAsia="Calibri" w:cs="Arial"/>
          <w:spacing w:val="1"/>
          <w:szCs w:val="22"/>
        </w:rPr>
        <w:t xml:space="preserve"> research will </w:t>
      </w:r>
      <w:r w:rsidR="002C155D">
        <w:rPr>
          <w:rFonts w:eastAsia="Calibri" w:cs="Arial"/>
          <w:spacing w:val="1"/>
          <w:szCs w:val="22"/>
        </w:rPr>
        <w:t xml:space="preserve">address </w:t>
      </w:r>
      <w:r w:rsidR="00A124B5">
        <w:rPr>
          <w:rFonts w:eastAsia="Calibri" w:cs="Arial"/>
          <w:spacing w:val="1"/>
          <w:szCs w:val="22"/>
        </w:rPr>
        <w:t>this</w:t>
      </w:r>
      <w:r w:rsidR="002C155D">
        <w:rPr>
          <w:rFonts w:eastAsia="Calibri" w:cs="Arial"/>
          <w:spacing w:val="1"/>
          <w:szCs w:val="22"/>
        </w:rPr>
        <w:t xml:space="preserve"> two-way communication </w:t>
      </w:r>
      <w:r w:rsidR="00AD68B8">
        <w:rPr>
          <w:rFonts w:eastAsia="Calibri" w:cs="Arial"/>
          <w:spacing w:val="1"/>
          <w:szCs w:val="22"/>
        </w:rPr>
        <w:t xml:space="preserve">gap </w:t>
      </w:r>
      <w:r w:rsidR="003513CC">
        <w:rPr>
          <w:rFonts w:eastAsia="Calibri" w:cs="Arial"/>
          <w:spacing w:val="1"/>
          <w:szCs w:val="22"/>
        </w:rPr>
        <w:t xml:space="preserve">and </w:t>
      </w:r>
      <w:r w:rsidR="009E67EE" w:rsidRPr="00C46E12">
        <w:rPr>
          <w:rFonts w:eastAsia="Calibri" w:cs="Arial"/>
          <w:spacing w:val="1"/>
          <w:szCs w:val="22"/>
        </w:rPr>
        <w:t xml:space="preserve">determine if </w:t>
      </w:r>
      <w:r w:rsidR="009A2197" w:rsidRPr="00C46E12">
        <w:rPr>
          <w:rFonts w:eastAsia="Calibri" w:cs="Arial"/>
          <w:spacing w:val="1"/>
          <w:szCs w:val="22"/>
        </w:rPr>
        <w:t>shared-care cancer follow-up care</w:t>
      </w:r>
      <w:r w:rsidR="00AA75CB" w:rsidRPr="00C46E12">
        <w:rPr>
          <w:rFonts w:eastAsia="Calibri" w:cs="Arial"/>
          <w:spacing w:val="1"/>
          <w:szCs w:val="22"/>
        </w:rPr>
        <w:t xml:space="preserve"> between a general practitioner and radiation oncologist</w:t>
      </w:r>
      <w:r w:rsidR="009A2197" w:rsidRPr="00C46E12">
        <w:rPr>
          <w:rFonts w:eastAsia="Calibri" w:cs="Arial"/>
          <w:spacing w:val="1"/>
          <w:szCs w:val="22"/>
        </w:rPr>
        <w:t xml:space="preserve"> is </w:t>
      </w:r>
      <w:r w:rsidR="00F30D48" w:rsidRPr="00C46E12">
        <w:rPr>
          <w:rFonts w:eastAsia="Calibri" w:cs="Arial"/>
          <w:spacing w:val="1"/>
          <w:szCs w:val="22"/>
        </w:rPr>
        <w:t>feasible and</w:t>
      </w:r>
      <w:r w:rsidR="0044232A" w:rsidRPr="00C46E12">
        <w:rPr>
          <w:rFonts w:eastAsia="Calibri" w:cs="Arial"/>
          <w:spacing w:val="1"/>
          <w:szCs w:val="22"/>
        </w:rPr>
        <w:t xml:space="preserve"> </w:t>
      </w:r>
      <w:r w:rsidR="009E67EE" w:rsidRPr="00C46E12">
        <w:rPr>
          <w:rFonts w:eastAsia="Calibri" w:cs="Arial"/>
          <w:spacing w:val="1"/>
          <w:szCs w:val="22"/>
        </w:rPr>
        <w:t>acceptable to the patient, general practitioner and radiation oncologist.</w:t>
      </w:r>
      <w:r w:rsidR="00F30D48" w:rsidRPr="00C46E12">
        <w:rPr>
          <w:rFonts w:eastAsia="Calibri" w:cs="Arial"/>
          <w:spacing w:val="1"/>
          <w:szCs w:val="22"/>
        </w:rPr>
        <w:t xml:space="preserve"> </w:t>
      </w:r>
      <w:r w:rsidR="009A2197" w:rsidRPr="00C46E12">
        <w:rPr>
          <w:rFonts w:eastAsia="Calibri" w:cs="Arial"/>
          <w:spacing w:val="1"/>
          <w:szCs w:val="22"/>
        </w:rPr>
        <w:t xml:space="preserve">Radiation oncology has been selected </w:t>
      </w:r>
      <w:r w:rsidR="00380DFE">
        <w:rPr>
          <w:rFonts w:eastAsia="Calibri" w:cs="Arial"/>
          <w:spacing w:val="1"/>
          <w:szCs w:val="22"/>
        </w:rPr>
        <w:t>as it is a starting point for cancer shared-care.</w:t>
      </w:r>
      <w:r w:rsidR="00380DFE">
        <w:rPr>
          <w:rStyle w:val="CommentReference"/>
        </w:rPr>
        <w:t xml:space="preserve"> </w:t>
      </w:r>
    </w:p>
    <w:p w14:paraId="79C65A42" w14:textId="77777777" w:rsidR="00482597" w:rsidRPr="00C46E12" w:rsidRDefault="00134591" w:rsidP="00CE4DBB">
      <w:pPr>
        <w:pStyle w:val="Heading2"/>
        <w:spacing w:after="0"/>
        <w:jc w:val="both"/>
        <w:rPr>
          <w:rFonts w:eastAsia="Calibri"/>
        </w:rPr>
      </w:pPr>
      <w:bookmarkStart w:id="59" w:name="_Toc51588804"/>
      <w:r w:rsidRPr="00C46E12">
        <w:rPr>
          <w:rFonts w:eastAsia="Calibri"/>
        </w:rPr>
        <w:t xml:space="preserve">2.1 </w:t>
      </w:r>
      <w:r w:rsidR="00482597" w:rsidRPr="00C46E12">
        <w:rPr>
          <w:rFonts w:eastAsia="Calibri"/>
        </w:rPr>
        <w:t>Significance of the research</w:t>
      </w:r>
      <w:bookmarkEnd w:id="59"/>
    </w:p>
    <w:p w14:paraId="49819667" w14:textId="5F7BD27E" w:rsidR="003513CC" w:rsidRDefault="003513CC" w:rsidP="00CE4DBB">
      <w:pPr>
        <w:autoSpaceDE w:val="0"/>
        <w:autoSpaceDN w:val="0"/>
        <w:adjustRightInd w:val="0"/>
        <w:jc w:val="both"/>
        <w:rPr>
          <w:rFonts w:cs="Arial"/>
          <w:bCs/>
          <w:szCs w:val="22"/>
        </w:rPr>
      </w:pPr>
      <w:r>
        <w:rPr>
          <w:rFonts w:cs="Arial"/>
          <w:bCs/>
          <w:szCs w:val="22"/>
        </w:rPr>
        <w:t xml:space="preserve">This research </w:t>
      </w:r>
      <w:r w:rsidR="0005269E">
        <w:rPr>
          <w:rFonts w:cs="Arial"/>
          <w:bCs/>
          <w:szCs w:val="22"/>
        </w:rPr>
        <w:t>explores a shared care model of</w:t>
      </w:r>
      <w:r>
        <w:rPr>
          <w:rFonts w:cs="Arial"/>
          <w:bCs/>
          <w:szCs w:val="22"/>
        </w:rPr>
        <w:t xml:space="preserve"> follow-up care for breast, colorectal and prostate cancer patients that have been treated with radiotherapy. In Australia, radiotherapy follow-up is usually managed by the </w:t>
      </w:r>
      <w:r w:rsidR="00AD68B8">
        <w:rPr>
          <w:rFonts w:cs="Arial"/>
          <w:bCs/>
          <w:szCs w:val="22"/>
        </w:rPr>
        <w:t xml:space="preserve">treating </w:t>
      </w:r>
      <w:r>
        <w:rPr>
          <w:rFonts w:cs="Arial"/>
          <w:bCs/>
          <w:szCs w:val="22"/>
        </w:rPr>
        <w:t xml:space="preserve">radiation oncologist and usually involves regular hospital visits. </w:t>
      </w:r>
      <w:r w:rsidR="00AD68B8">
        <w:rPr>
          <w:rFonts w:cs="Arial"/>
          <w:bCs/>
          <w:szCs w:val="22"/>
        </w:rPr>
        <w:t xml:space="preserve">This research will involve </w:t>
      </w:r>
      <w:r>
        <w:rPr>
          <w:rFonts w:cs="Arial"/>
          <w:bCs/>
          <w:szCs w:val="22"/>
        </w:rPr>
        <w:t xml:space="preserve">general practitioners </w:t>
      </w:r>
      <w:r w:rsidR="00AD68B8">
        <w:rPr>
          <w:rFonts w:cs="Arial"/>
          <w:bCs/>
          <w:szCs w:val="22"/>
        </w:rPr>
        <w:t xml:space="preserve">performing </w:t>
      </w:r>
      <w:r>
        <w:rPr>
          <w:rFonts w:cs="Arial"/>
          <w:bCs/>
          <w:szCs w:val="22"/>
        </w:rPr>
        <w:t xml:space="preserve">some of the routine </w:t>
      </w:r>
      <w:r w:rsidR="00AD68B8">
        <w:rPr>
          <w:rFonts w:cs="Arial"/>
          <w:bCs/>
          <w:szCs w:val="22"/>
        </w:rPr>
        <w:t xml:space="preserve">radiotherapy </w:t>
      </w:r>
      <w:r>
        <w:rPr>
          <w:rFonts w:cs="Arial"/>
          <w:bCs/>
          <w:szCs w:val="22"/>
        </w:rPr>
        <w:t xml:space="preserve">follow-up </w:t>
      </w:r>
      <w:r w:rsidR="00AD68B8">
        <w:rPr>
          <w:rFonts w:cs="Arial"/>
          <w:bCs/>
          <w:szCs w:val="22"/>
        </w:rPr>
        <w:t xml:space="preserve">visits, whilst ensuring the patient’s care continues to be overseen by the </w:t>
      </w:r>
      <w:r>
        <w:rPr>
          <w:rFonts w:cs="Arial"/>
          <w:bCs/>
          <w:szCs w:val="22"/>
        </w:rPr>
        <w:t xml:space="preserve">radiation oncologist. This research </w:t>
      </w:r>
      <w:r w:rsidR="006F31C2">
        <w:rPr>
          <w:rFonts w:cs="Arial"/>
          <w:bCs/>
          <w:szCs w:val="22"/>
        </w:rPr>
        <w:t>will</w:t>
      </w:r>
      <w:r>
        <w:rPr>
          <w:rFonts w:cs="Arial"/>
          <w:bCs/>
          <w:szCs w:val="22"/>
        </w:rPr>
        <w:t xml:space="preserve"> </w:t>
      </w:r>
      <w:r w:rsidR="00AD68B8">
        <w:rPr>
          <w:rFonts w:cs="Arial"/>
          <w:bCs/>
          <w:szCs w:val="22"/>
        </w:rPr>
        <w:t>explore the acceptability and feasibility of this model of care</w:t>
      </w:r>
      <w:r>
        <w:rPr>
          <w:rFonts w:cs="Arial"/>
          <w:bCs/>
          <w:szCs w:val="22"/>
        </w:rPr>
        <w:t xml:space="preserve">. </w:t>
      </w:r>
      <w:r w:rsidR="00AD68B8">
        <w:rPr>
          <w:rFonts w:cs="Arial"/>
          <w:bCs/>
          <w:szCs w:val="22"/>
        </w:rPr>
        <w:t xml:space="preserve">Whilst </w:t>
      </w:r>
      <w:r>
        <w:rPr>
          <w:rFonts w:cs="Arial"/>
          <w:bCs/>
          <w:szCs w:val="22"/>
        </w:rPr>
        <w:t xml:space="preserve">research </w:t>
      </w:r>
      <w:r w:rsidR="00AD68B8">
        <w:rPr>
          <w:rFonts w:cs="Arial"/>
          <w:bCs/>
          <w:szCs w:val="22"/>
        </w:rPr>
        <w:t>has</w:t>
      </w:r>
      <w:r>
        <w:rPr>
          <w:rFonts w:cs="Arial"/>
          <w:bCs/>
          <w:szCs w:val="22"/>
        </w:rPr>
        <w:t xml:space="preserve"> shown cancer follow-up care with general practitio</w:t>
      </w:r>
      <w:r w:rsidR="00D9607C">
        <w:rPr>
          <w:rFonts w:cs="Arial"/>
          <w:bCs/>
          <w:szCs w:val="22"/>
        </w:rPr>
        <w:t xml:space="preserve">ners to be safe and acceptable </w:t>
      </w:r>
      <w:r>
        <w:rPr>
          <w:rFonts w:cs="Arial"/>
          <w:bCs/>
          <w:szCs w:val="22"/>
        </w:rPr>
        <w:t xml:space="preserve">there has not been a study where the oncologist oversees the care in real-time. </w:t>
      </w:r>
    </w:p>
    <w:p w14:paraId="0B73D426" w14:textId="77777777" w:rsidR="00482597" w:rsidRPr="00C46E12" w:rsidRDefault="00482597" w:rsidP="00C46E12">
      <w:pPr>
        <w:spacing w:after="200"/>
        <w:contextualSpacing/>
        <w:jc w:val="both"/>
        <w:rPr>
          <w:rFonts w:cs="Arial"/>
        </w:rPr>
      </w:pPr>
    </w:p>
    <w:p w14:paraId="759E6A67" w14:textId="77777777" w:rsidR="007D28BE" w:rsidRPr="00C46E12" w:rsidRDefault="007D28BE" w:rsidP="00C46E12">
      <w:pPr>
        <w:spacing w:after="200"/>
        <w:contextualSpacing/>
        <w:jc w:val="both"/>
        <w:rPr>
          <w:rFonts w:eastAsia="Calibri" w:cs="Arial"/>
          <w:spacing w:val="1"/>
          <w:szCs w:val="22"/>
        </w:rPr>
        <w:sectPr w:rsidR="007D28BE" w:rsidRPr="00C46E12" w:rsidSect="002C7A13">
          <w:pgSz w:w="11906" w:h="16838"/>
          <w:pgMar w:top="1440" w:right="1800" w:bottom="1134" w:left="1800" w:header="708" w:footer="708" w:gutter="0"/>
          <w:cols w:space="708"/>
          <w:docGrid w:linePitch="360"/>
        </w:sectPr>
      </w:pPr>
    </w:p>
    <w:p w14:paraId="5964DEE3" w14:textId="43FC80D7" w:rsidR="00F25076" w:rsidRPr="00C46E12" w:rsidRDefault="00134591" w:rsidP="00CE4DBB">
      <w:pPr>
        <w:pStyle w:val="Heading1"/>
        <w:spacing w:after="0"/>
        <w:jc w:val="both"/>
        <w:rPr>
          <w:rFonts w:cs="Arial"/>
        </w:rPr>
      </w:pPr>
      <w:bookmarkStart w:id="60" w:name="_Toc5734776"/>
      <w:bookmarkStart w:id="61" w:name="_Toc5734887"/>
      <w:bookmarkStart w:id="62" w:name="_Toc5735012"/>
      <w:bookmarkStart w:id="63" w:name="_Toc51588805"/>
      <w:r w:rsidRPr="00C46E12">
        <w:rPr>
          <w:rFonts w:cs="Arial"/>
        </w:rPr>
        <w:lastRenderedPageBreak/>
        <w:t>3</w:t>
      </w:r>
      <w:r w:rsidR="00F25076" w:rsidRPr="00C46E12">
        <w:rPr>
          <w:rFonts w:cs="Arial"/>
        </w:rPr>
        <w:t xml:space="preserve">.  </w:t>
      </w:r>
      <w:r w:rsidR="00FD1B7E" w:rsidRPr="00C46E12">
        <w:rPr>
          <w:rFonts w:cs="Arial"/>
        </w:rPr>
        <w:t>A</w:t>
      </w:r>
      <w:r w:rsidR="00BE38B8" w:rsidRPr="00C46E12">
        <w:rPr>
          <w:rFonts w:cs="Arial"/>
        </w:rPr>
        <w:t>im</w:t>
      </w:r>
      <w:bookmarkEnd w:id="60"/>
      <w:bookmarkEnd w:id="61"/>
      <w:bookmarkEnd w:id="62"/>
      <w:r w:rsidR="00AD68B8">
        <w:rPr>
          <w:rFonts w:cs="Arial"/>
        </w:rPr>
        <w:t xml:space="preserve"> and </w:t>
      </w:r>
      <w:r w:rsidR="00556E53" w:rsidRPr="00C46E12">
        <w:rPr>
          <w:rFonts w:cs="Arial"/>
        </w:rPr>
        <w:t>Objectives</w:t>
      </w:r>
      <w:bookmarkEnd w:id="63"/>
    </w:p>
    <w:p w14:paraId="0DC792D8" w14:textId="5B91EBF9" w:rsidR="00CF203B" w:rsidRPr="00C46E12" w:rsidRDefault="00AD68B8" w:rsidP="00CE4DBB">
      <w:pPr>
        <w:contextualSpacing/>
        <w:jc w:val="both"/>
        <w:rPr>
          <w:rFonts w:eastAsia="Calibri" w:cs="Arial"/>
          <w:spacing w:val="1"/>
          <w:szCs w:val="22"/>
        </w:rPr>
      </w:pPr>
      <w:bookmarkStart w:id="64" w:name="_Toc224114240"/>
      <w:bookmarkStart w:id="65" w:name="_Toc224114365"/>
      <w:bookmarkStart w:id="66" w:name="_Toc229297235"/>
      <w:bookmarkStart w:id="67" w:name="_Toc229297342"/>
      <w:bookmarkStart w:id="68" w:name="_Toc229298365"/>
      <w:bookmarkStart w:id="69" w:name="_Toc229307332"/>
      <w:bookmarkStart w:id="70" w:name="_Toc229308152"/>
      <w:bookmarkStart w:id="71" w:name="_Toc235338626"/>
      <w:bookmarkStart w:id="72" w:name="_Toc236472626"/>
      <w:bookmarkStart w:id="73" w:name="_Toc236473746"/>
      <w:bookmarkStart w:id="74" w:name="_Toc237834108"/>
      <w:bookmarkStart w:id="75" w:name="_Toc5365091"/>
      <w:bookmarkStart w:id="76" w:name="_Toc5734777"/>
      <w:bookmarkStart w:id="77" w:name="_Toc5734888"/>
      <w:bookmarkStart w:id="78" w:name="_Toc5735013"/>
      <w:r>
        <w:rPr>
          <w:rFonts w:eastAsia="Calibri" w:cs="Arial"/>
          <w:spacing w:val="1"/>
          <w:szCs w:val="22"/>
        </w:rPr>
        <w:t>Aim: T</w:t>
      </w:r>
      <w:r w:rsidR="00CF203B" w:rsidRPr="00C46E12">
        <w:rPr>
          <w:rFonts w:eastAsia="Calibri" w:cs="Arial"/>
          <w:spacing w:val="1"/>
          <w:szCs w:val="22"/>
        </w:rPr>
        <w:t xml:space="preserve">o </w:t>
      </w:r>
      <w:r w:rsidR="005916F7" w:rsidRPr="00C46E12">
        <w:rPr>
          <w:rFonts w:eastAsia="Calibri" w:cs="Arial"/>
          <w:spacing w:val="1"/>
          <w:szCs w:val="22"/>
        </w:rPr>
        <w:t>determine the</w:t>
      </w:r>
      <w:r w:rsidR="007D28BE" w:rsidRPr="00C46E12">
        <w:rPr>
          <w:rFonts w:eastAsia="Calibri" w:cs="Arial"/>
          <w:spacing w:val="1"/>
          <w:szCs w:val="22"/>
        </w:rPr>
        <w:t xml:space="preserve"> feasibility, acceptability and efficacy of s</w:t>
      </w:r>
      <w:r w:rsidR="00CF203B" w:rsidRPr="00C46E12">
        <w:rPr>
          <w:rFonts w:eastAsia="Calibri" w:cs="Arial"/>
          <w:spacing w:val="1"/>
          <w:szCs w:val="22"/>
        </w:rPr>
        <w:t>hared-care cancer follow-up care</w:t>
      </w:r>
      <w:r w:rsidR="007A3101">
        <w:rPr>
          <w:rFonts w:eastAsia="Calibri" w:cs="Arial"/>
          <w:spacing w:val="1"/>
          <w:szCs w:val="22"/>
        </w:rPr>
        <w:t>.</w:t>
      </w:r>
      <w:r w:rsidR="00CF203B" w:rsidRPr="00C46E12">
        <w:rPr>
          <w:rFonts w:eastAsia="Calibri" w:cs="Arial"/>
          <w:spacing w:val="1"/>
          <w:szCs w:val="22"/>
        </w:rPr>
        <w:t xml:space="preserve"> </w:t>
      </w:r>
    </w:p>
    <w:p w14:paraId="3C591CEB" w14:textId="77777777" w:rsidR="00556E53" w:rsidRPr="00C46E12" w:rsidRDefault="00556E53" w:rsidP="00C46E12">
      <w:pPr>
        <w:contextualSpacing/>
        <w:jc w:val="both"/>
        <w:rPr>
          <w:rFonts w:eastAsia="Calibri" w:cs="Arial"/>
          <w:spacing w:val="1"/>
          <w:szCs w:val="22"/>
        </w:rPr>
      </w:pPr>
    </w:p>
    <w:p w14:paraId="41B742E8" w14:textId="71BE36B3" w:rsidR="00CF203B" w:rsidRPr="00C46E12" w:rsidRDefault="00AD68B8" w:rsidP="00C46E12">
      <w:pPr>
        <w:contextualSpacing/>
        <w:jc w:val="both"/>
        <w:rPr>
          <w:rFonts w:eastAsia="Calibri" w:cs="Arial"/>
          <w:spacing w:val="1"/>
          <w:szCs w:val="22"/>
        </w:rPr>
      </w:pPr>
      <w:r>
        <w:rPr>
          <w:rFonts w:eastAsia="Calibri" w:cs="Arial"/>
          <w:spacing w:val="1"/>
          <w:szCs w:val="22"/>
        </w:rPr>
        <w:t>O</w:t>
      </w:r>
      <w:r w:rsidR="005916F7" w:rsidRPr="00C46E12">
        <w:rPr>
          <w:rFonts w:eastAsia="Calibri" w:cs="Arial"/>
          <w:spacing w:val="1"/>
          <w:szCs w:val="22"/>
        </w:rPr>
        <w:t>bjectives:</w:t>
      </w:r>
    </w:p>
    <w:p w14:paraId="2E8E8876" w14:textId="77777777" w:rsidR="00CF203B" w:rsidRDefault="00CF203B" w:rsidP="00C46E12">
      <w:pPr>
        <w:pStyle w:val="ListParagraph"/>
        <w:numPr>
          <w:ilvl w:val="0"/>
          <w:numId w:val="29"/>
        </w:numPr>
        <w:spacing w:after="200"/>
        <w:contextualSpacing/>
        <w:jc w:val="both"/>
        <w:rPr>
          <w:rFonts w:eastAsia="Calibri" w:cs="Arial"/>
          <w:spacing w:val="1"/>
          <w:szCs w:val="22"/>
        </w:rPr>
      </w:pPr>
      <w:r w:rsidRPr="00C46E12">
        <w:rPr>
          <w:rFonts w:eastAsia="Calibri" w:cs="Arial"/>
          <w:spacing w:val="1"/>
          <w:szCs w:val="22"/>
        </w:rPr>
        <w:t>To determine the level of agreement</w:t>
      </w:r>
      <w:r w:rsidR="005916F7" w:rsidRPr="00C46E12">
        <w:rPr>
          <w:rFonts w:eastAsia="Calibri" w:cs="Arial"/>
          <w:spacing w:val="1"/>
          <w:szCs w:val="22"/>
        </w:rPr>
        <w:t xml:space="preserve"> (correlation)</w:t>
      </w:r>
      <w:r w:rsidRPr="00C46E12">
        <w:rPr>
          <w:rFonts w:eastAsia="Calibri" w:cs="Arial"/>
          <w:spacing w:val="1"/>
          <w:szCs w:val="22"/>
        </w:rPr>
        <w:t xml:space="preserve"> between general practitioners and radiation oncologist completing a cancer follow-up care assessment</w:t>
      </w:r>
    </w:p>
    <w:p w14:paraId="2D15E9F7" w14:textId="77777777" w:rsidR="006F31C2" w:rsidRPr="006F31C2" w:rsidRDefault="00CF203B" w:rsidP="00C46E12">
      <w:pPr>
        <w:pStyle w:val="ListParagraph"/>
        <w:numPr>
          <w:ilvl w:val="0"/>
          <w:numId w:val="29"/>
        </w:numPr>
        <w:spacing w:after="240"/>
        <w:contextualSpacing/>
        <w:jc w:val="both"/>
        <w:rPr>
          <w:rFonts w:eastAsia="Calibri" w:cs="Arial"/>
          <w:spacing w:val="1"/>
          <w:szCs w:val="22"/>
        </w:rPr>
      </w:pPr>
      <w:r w:rsidRPr="00C46E12">
        <w:rPr>
          <w:rFonts w:eastAsia="Calibri" w:cs="Arial"/>
          <w:szCs w:val="22"/>
        </w:rPr>
        <w:t xml:space="preserve">To </w:t>
      </w:r>
      <w:r w:rsidR="005916F7" w:rsidRPr="00C46E12">
        <w:rPr>
          <w:rFonts w:eastAsia="Calibri" w:cs="Arial"/>
          <w:szCs w:val="22"/>
        </w:rPr>
        <w:t xml:space="preserve">implement </w:t>
      </w:r>
      <w:r w:rsidR="00482597" w:rsidRPr="00C46E12">
        <w:rPr>
          <w:rFonts w:eastAsia="Calibri" w:cs="Arial"/>
          <w:szCs w:val="22"/>
        </w:rPr>
        <w:t>shared-care cancer follow-up care</w:t>
      </w:r>
      <w:r w:rsidR="002C155D">
        <w:rPr>
          <w:rFonts w:eastAsia="Calibri" w:cs="Arial"/>
          <w:szCs w:val="22"/>
        </w:rPr>
        <w:t xml:space="preserve"> in general practice</w:t>
      </w:r>
    </w:p>
    <w:p w14:paraId="3CBD6D11" w14:textId="77777777" w:rsidR="00CF203B" w:rsidRPr="00C46E12" w:rsidRDefault="006F31C2" w:rsidP="00C46E12">
      <w:pPr>
        <w:pStyle w:val="ListParagraph"/>
        <w:numPr>
          <w:ilvl w:val="0"/>
          <w:numId w:val="29"/>
        </w:numPr>
        <w:spacing w:after="240"/>
        <w:contextualSpacing/>
        <w:jc w:val="both"/>
        <w:rPr>
          <w:rFonts w:eastAsia="Calibri" w:cs="Arial"/>
          <w:spacing w:val="1"/>
          <w:szCs w:val="22"/>
        </w:rPr>
      </w:pPr>
      <w:r>
        <w:rPr>
          <w:rFonts w:eastAsia="Calibri" w:cs="Arial"/>
          <w:szCs w:val="22"/>
        </w:rPr>
        <w:t>To</w:t>
      </w:r>
      <w:r w:rsidR="005916F7" w:rsidRPr="00C46E12">
        <w:rPr>
          <w:rFonts w:eastAsia="Calibri" w:cs="Arial"/>
          <w:szCs w:val="22"/>
        </w:rPr>
        <w:t xml:space="preserve"> </w:t>
      </w:r>
      <w:r w:rsidR="00CF203B" w:rsidRPr="00C46E12">
        <w:rPr>
          <w:rFonts w:eastAsia="Calibri" w:cs="Arial"/>
          <w:szCs w:val="22"/>
        </w:rPr>
        <w:t>evaluate the feasibility</w:t>
      </w:r>
      <w:r w:rsidR="005916F7" w:rsidRPr="00C46E12">
        <w:rPr>
          <w:rFonts w:eastAsia="Calibri" w:cs="Arial"/>
          <w:szCs w:val="22"/>
        </w:rPr>
        <w:t xml:space="preserve">, acceptability and efficacy </w:t>
      </w:r>
      <w:r w:rsidR="00AD68B8">
        <w:rPr>
          <w:rFonts w:eastAsia="Calibri" w:cs="Arial"/>
          <w:szCs w:val="22"/>
        </w:rPr>
        <w:t xml:space="preserve">of this shared care model </w:t>
      </w:r>
      <w:r w:rsidR="00CF203B" w:rsidRPr="00C46E12">
        <w:rPr>
          <w:rFonts w:eastAsia="Calibri" w:cs="Arial"/>
          <w:szCs w:val="22"/>
        </w:rPr>
        <w:t xml:space="preserve">to patients, general practitioners and radiation oncologists.  </w:t>
      </w:r>
    </w:p>
    <w:p w14:paraId="4A0DF1D4" w14:textId="77777777" w:rsidR="00346493" w:rsidRPr="00C46E12" w:rsidRDefault="00134591" w:rsidP="00CE4DBB">
      <w:pPr>
        <w:pStyle w:val="Heading1"/>
        <w:spacing w:after="0"/>
        <w:jc w:val="both"/>
        <w:rPr>
          <w:rFonts w:cs="Arial"/>
        </w:rPr>
      </w:pPr>
      <w:bookmarkStart w:id="79" w:name="_Toc51588806"/>
      <w:r w:rsidRPr="00C46E12">
        <w:rPr>
          <w:rFonts w:cs="Arial"/>
        </w:rPr>
        <w:t>4</w:t>
      </w:r>
      <w:r w:rsidR="00BB1F3F" w:rsidRPr="00C46E12">
        <w:rPr>
          <w:rFonts w:cs="Arial"/>
        </w:rPr>
        <w:t xml:space="preserve">.  </w:t>
      </w:r>
      <w:r w:rsidR="00556E53" w:rsidRPr="00C46E12">
        <w:rPr>
          <w:rFonts w:cs="Arial"/>
        </w:rPr>
        <w:t>Study</w:t>
      </w:r>
      <w:r w:rsidR="00BE38B8" w:rsidRPr="00C46E12">
        <w:rPr>
          <w:rFonts w:cs="Arial"/>
        </w:rPr>
        <w:t xml:space="preserve"> sites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40324E4" w14:textId="0307C90A" w:rsidR="008D28BF" w:rsidRPr="00C46E12" w:rsidRDefault="008D28BF" w:rsidP="00CE4DBB">
      <w:pPr>
        <w:jc w:val="both"/>
        <w:rPr>
          <w:rFonts w:cs="Arial"/>
          <w:szCs w:val="22"/>
        </w:rPr>
      </w:pPr>
      <w:r w:rsidRPr="00C46E12">
        <w:rPr>
          <w:rFonts w:cs="Arial"/>
          <w:szCs w:val="22"/>
        </w:rPr>
        <w:t>The research will be conducted within the Illawarra Shoalhav</w:t>
      </w:r>
      <w:r w:rsidR="002C155D">
        <w:rPr>
          <w:rFonts w:cs="Arial"/>
          <w:szCs w:val="22"/>
        </w:rPr>
        <w:t>en Local Health District region, at the</w:t>
      </w:r>
      <w:r w:rsidRPr="00C46E12">
        <w:rPr>
          <w:rFonts w:cs="Arial"/>
          <w:szCs w:val="22"/>
        </w:rPr>
        <w:t xml:space="preserve"> Radiation </w:t>
      </w:r>
      <w:r w:rsidR="00AD68B8">
        <w:rPr>
          <w:rFonts w:cs="Arial"/>
          <w:szCs w:val="22"/>
        </w:rPr>
        <w:t>O</w:t>
      </w:r>
      <w:r w:rsidR="00AD68B8" w:rsidRPr="00C46E12">
        <w:rPr>
          <w:rFonts w:cs="Arial"/>
          <w:szCs w:val="22"/>
        </w:rPr>
        <w:t xml:space="preserve">ncology </w:t>
      </w:r>
      <w:r w:rsidR="00AD68B8">
        <w:rPr>
          <w:rFonts w:cs="Arial"/>
          <w:szCs w:val="22"/>
        </w:rPr>
        <w:t>O</w:t>
      </w:r>
      <w:r w:rsidR="00AD68B8" w:rsidRPr="00C46E12">
        <w:rPr>
          <w:rFonts w:cs="Arial"/>
          <w:szCs w:val="22"/>
        </w:rPr>
        <w:t xml:space="preserve">utpatient </w:t>
      </w:r>
      <w:r w:rsidR="00AD68B8">
        <w:rPr>
          <w:rFonts w:cs="Arial"/>
          <w:szCs w:val="22"/>
        </w:rPr>
        <w:t>S</w:t>
      </w:r>
      <w:r w:rsidR="00AD68B8" w:rsidRPr="00C46E12">
        <w:rPr>
          <w:rFonts w:cs="Arial"/>
          <w:szCs w:val="22"/>
        </w:rPr>
        <w:t xml:space="preserve">ervice </w:t>
      </w:r>
      <w:r w:rsidRPr="00C46E12">
        <w:rPr>
          <w:rFonts w:cs="Arial"/>
          <w:szCs w:val="22"/>
        </w:rPr>
        <w:t xml:space="preserve">at </w:t>
      </w:r>
      <w:r w:rsidR="002C155D">
        <w:rPr>
          <w:rFonts w:cs="Arial"/>
          <w:szCs w:val="22"/>
        </w:rPr>
        <w:t xml:space="preserve">the </w:t>
      </w:r>
      <w:r w:rsidRPr="00C46E12">
        <w:rPr>
          <w:rFonts w:cs="Arial"/>
          <w:szCs w:val="22"/>
        </w:rPr>
        <w:t>Wollongong Hospital and the Shoalha</w:t>
      </w:r>
      <w:r w:rsidR="002C155D">
        <w:rPr>
          <w:rFonts w:cs="Arial"/>
          <w:szCs w:val="22"/>
        </w:rPr>
        <w:t>ven District Memorial Hospital.</w:t>
      </w:r>
      <w:r w:rsidRPr="00C46E12">
        <w:rPr>
          <w:rFonts w:cs="Arial"/>
          <w:szCs w:val="22"/>
        </w:rPr>
        <w:t xml:space="preserve"> The study will take place at these two radiation oncology outpatient clinics and in the referring general practices.</w:t>
      </w:r>
    </w:p>
    <w:p w14:paraId="57AAEE42" w14:textId="77777777" w:rsidR="00BB1F3F" w:rsidRPr="00C46E12" w:rsidRDefault="00134591" w:rsidP="00CE4DBB">
      <w:pPr>
        <w:pStyle w:val="Heading1"/>
        <w:spacing w:after="0"/>
        <w:jc w:val="both"/>
        <w:rPr>
          <w:rFonts w:cs="Arial"/>
        </w:rPr>
      </w:pPr>
      <w:bookmarkStart w:id="80" w:name="_Toc224114241"/>
      <w:bookmarkStart w:id="81" w:name="_Toc224114366"/>
      <w:bookmarkStart w:id="82" w:name="_Toc229297236"/>
      <w:bookmarkStart w:id="83" w:name="_Toc229297343"/>
      <w:bookmarkStart w:id="84" w:name="_Toc229298366"/>
      <w:bookmarkStart w:id="85" w:name="_Toc229307333"/>
      <w:bookmarkStart w:id="86" w:name="_Toc229308153"/>
      <w:bookmarkStart w:id="87" w:name="_Toc235338627"/>
      <w:bookmarkStart w:id="88" w:name="_Toc236472627"/>
      <w:bookmarkStart w:id="89" w:name="_Toc236473747"/>
      <w:bookmarkStart w:id="90" w:name="_Toc237834109"/>
      <w:bookmarkStart w:id="91" w:name="_Toc5365092"/>
      <w:bookmarkStart w:id="92" w:name="_Toc5734778"/>
      <w:bookmarkStart w:id="93" w:name="_Toc5734889"/>
      <w:bookmarkStart w:id="94" w:name="_Toc5735014"/>
      <w:bookmarkStart w:id="95" w:name="_Toc51588807"/>
      <w:r w:rsidRPr="00C46E12">
        <w:rPr>
          <w:rFonts w:cs="Arial"/>
        </w:rPr>
        <w:t>5</w:t>
      </w:r>
      <w:r w:rsidR="00BB1F3F" w:rsidRPr="00C46E12">
        <w:rPr>
          <w:rFonts w:cs="Arial"/>
        </w:rPr>
        <w:t>.  S</w:t>
      </w:r>
      <w:r w:rsidR="00BE38B8" w:rsidRPr="00C46E12">
        <w:rPr>
          <w:rFonts w:cs="Arial"/>
        </w:rPr>
        <w:t>tudy design</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38332FE" w14:textId="5902EBD9" w:rsidR="008A23AE" w:rsidRDefault="00461CEC" w:rsidP="00CE4DBB">
      <w:pPr>
        <w:jc w:val="both"/>
        <w:rPr>
          <w:rFonts w:cs="Arial"/>
          <w:bCs/>
          <w:iCs/>
          <w:szCs w:val="22"/>
        </w:rPr>
      </w:pPr>
      <w:r w:rsidRPr="00C46E12">
        <w:rPr>
          <w:rFonts w:cs="Arial"/>
          <w:bCs/>
          <w:iCs/>
          <w:szCs w:val="22"/>
        </w:rPr>
        <w:t>This research is a m</w:t>
      </w:r>
      <w:r w:rsidR="00D9607C">
        <w:rPr>
          <w:rFonts w:cs="Arial"/>
          <w:bCs/>
          <w:iCs/>
          <w:szCs w:val="22"/>
        </w:rPr>
        <w:t>ulti</w:t>
      </w:r>
      <w:r w:rsidRPr="00C46E12">
        <w:rPr>
          <w:rFonts w:cs="Arial"/>
          <w:bCs/>
          <w:iCs/>
          <w:szCs w:val="22"/>
        </w:rPr>
        <w:t>-</w:t>
      </w:r>
      <w:r w:rsidR="00BB1F3F" w:rsidRPr="00C46E12">
        <w:rPr>
          <w:rFonts w:cs="Arial"/>
          <w:bCs/>
          <w:iCs/>
          <w:szCs w:val="22"/>
        </w:rPr>
        <w:t>methods</w:t>
      </w:r>
      <w:r w:rsidR="009A2197" w:rsidRPr="00C46E12">
        <w:rPr>
          <w:rFonts w:cs="Arial"/>
          <w:bCs/>
          <w:iCs/>
          <w:szCs w:val="22"/>
        </w:rPr>
        <w:t xml:space="preserve"> implementation </w:t>
      </w:r>
      <w:r w:rsidR="00BB1F3F" w:rsidRPr="00C46E12">
        <w:rPr>
          <w:rFonts w:cs="Arial"/>
          <w:bCs/>
          <w:iCs/>
          <w:szCs w:val="22"/>
        </w:rPr>
        <w:t>study</w:t>
      </w:r>
      <w:r w:rsidR="005E6033" w:rsidRPr="00C46E12">
        <w:rPr>
          <w:rFonts w:cs="Arial"/>
          <w:bCs/>
          <w:iCs/>
          <w:szCs w:val="22"/>
        </w:rPr>
        <w:t xml:space="preserve"> </w:t>
      </w:r>
      <w:r w:rsidR="00D9607C">
        <w:rPr>
          <w:rFonts w:cs="Arial"/>
          <w:bCs/>
          <w:iCs/>
          <w:szCs w:val="22"/>
        </w:rPr>
        <w:t>to recruit</w:t>
      </w:r>
      <w:r w:rsidR="005E6033" w:rsidRPr="00C46E12">
        <w:rPr>
          <w:rFonts w:cs="Arial"/>
          <w:bCs/>
          <w:iCs/>
          <w:szCs w:val="22"/>
        </w:rPr>
        <w:t xml:space="preserve"> 20 triads comprised of radiation oncologists, general practitioners and patients.</w:t>
      </w:r>
      <w:r w:rsidR="00AC34E0">
        <w:rPr>
          <w:rFonts w:cs="Arial"/>
          <w:bCs/>
          <w:iCs/>
          <w:szCs w:val="22"/>
        </w:rPr>
        <w:t xml:space="preserve"> It</w:t>
      </w:r>
      <w:r w:rsidR="008A23AE">
        <w:rPr>
          <w:rFonts w:cs="Arial"/>
          <w:bCs/>
          <w:iCs/>
          <w:szCs w:val="22"/>
        </w:rPr>
        <w:t xml:space="preserve"> comprises two stages.</w:t>
      </w:r>
    </w:p>
    <w:p w14:paraId="6B480C05" w14:textId="77777777" w:rsidR="008A23AE" w:rsidRDefault="008A23AE" w:rsidP="00CE4DBB">
      <w:pPr>
        <w:jc w:val="both"/>
        <w:rPr>
          <w:rFonts w:cs="Arial"/>
          <w:bCs/>
          <w:iCs/>
          <w:szCs w:val="22"/>
        </w:rPr>
      </w:pPr>
    </w:p>
    <w:p w14:paraId="4601FC2D" w14:textId="77A0B8A3" w:rsidR="008A23AE" w:rsidRDefault="008A23AE" w:rsidP="00CE4DBB">
      <w:pPr>
        <w:jc w:val="both"/>
        <w:rPr>
          <w:rFonts w:cs="Arial"/>
          <w:szCs w:val="22"/>
        </w:rPr>
      </w:pPr>
      <w:r>
        <w:rPr>
          <w:rFonts w:cs="Arial"/>
          <w:bCs/>
          <w:iCs/>
          <w:szCs w:val="22"/>
        </w:rPr>
        <w:t>Stage 1. T</w:t>
      </w:r>
      <w:r w:rsidR="004622B7" w:rsidRPr="00C46E12">
        <w:rPr>
          <w:rFonts w:cs="Arial"/>
          <w:szCs w:val="22"/>
        </w:rPr>
        <w:t xml:space="preserve">o </w:t>
      </w:r>
      <w:r w:rsidR="00461CEC" w:rsidRPr="00C46E12">
        <w:rPr>
          <w:rFonts w:cs="Arial"/>
          <w:szCs w:val="22"/>
        </w:rPr>
        <w:t>determine the level of agreement (correlation) between general practitioners and radiation oncologists</w:t>
      </w:r>
      <w:r w:rsidR="00D9607C">
        <w:rPr>
          <w:rFonts w:cs="Arial"/>
          <w:szCs w:val="22"/>
        </w:rPr>
        <w:t>,</w:t>
      </w:r>
      <w:r w:rsidR="00461CEC" w:rsidRPr="00C46E12">
        <w:rPr>
          <w:rFonts w:cs="Arial"/>
          <w:szCs w:val="22"/>
        </w:rPr>
        <w:t xml:space="preserve"> completing a standard cancer follow-up clinical assessment.</w:t>
      </w:r>
      <w:r w:rsidR="009A2197" w:rsidRPr="00C46E12">
        <w:rPr>
          <w:rFonts w:cs="Arial"/>
          <w:szCs w:val="22"/>
        </w:rPr>
        <w:t xml:space="preserve"> </w:t>
      </w:r>
      <w:r w:rsidR="00461CEC" w:rsidRPr="00C46E12">
        <w:rPr>
          <w:rFonts w:cs="Arial"/>
          <w:szCs w:val="22"/>
        </w:rPr>
        <w:t>This is important, as the radiation oncologists</w:t>
      </w:r>
      <w:r w:rsidR="004622B7" w:rsidRPr="00C46E12">
        <w:rPr>
          <w:rFonts w:cs="Arial"/>
          <w:szCs w:val="22"/>
        </w:rPr>
        <w:t xml:space="preserve"> need</w:t>
      </w:r>
      <w:r w:rsidR="00461CEC" w:rsidRPr="00C46E12">
        <w:rPr>
          <w:rFonts w:cs="Arial"/>
          <w:szCs w:val="22"/>
        </w:rPr>
        <w:t xml:space="preserve"> to know the level of agreement before they are willing to transfer care to the general practitioner (</w:t>
      </w:r>
      <w:r w:rsidR="004622B7" w:rsidRPr="00C46E12">
        <w:rPr>
          <w:rFonts w:cs="Arial"/>
          <w:szCs w:val="22"/>
        </w:rPr>
        <w:t xml:space="preserve">for </w:t>
      </w:r>
      <w:r w:rsidR="00461CEC" w:rsidRPr="00C46E12">
        <w:rPr>
          <w:rFonts w:cs="Arial"/>
          <w:szCs w:val="22"/>
        </w:rPr>
        <w:t>the implementation</w:t>
      </w:r>
      <w:r w:rsidR="00906F83">
        <w:rPr>
          <w:rFonts w:cs="Arial"/>
          <w:szCs w:val="22"/>
        </w:rPr>
        <w:t xml:space="preserve"> stage</w:t>
      </w:r>
      <w:r w:rsidR="00461CEC" w:rsidRPr="00C46E12">
        <w:rPr>
          <w:rFonts w:cs="Arial"/>
          <w:szCs w:val="22"/>
        </w:rPr>
        <w:t xml:space="preserve">). </w:t>
      </w:r>
    </w:p>
    <w:p w14:paraId="2AF68528" w14:textId="77777777" w:rsidR="00675F07" w:rsidRDefault="00675F07" w:rsidP="00CE4DBB">
      <w:pPr>
        <w:jc w:val="both"/>
        <w:rPr>
          <w:rFonts w:cs="Arial"/>
          <w:szCs w:val="22"/>
        </w:rPr>
      </w:pPr>
    </w:p>
    <w:p w14:paraId="5534149A" w14:textId="1F1A2C90" w:rsidR="00461CEC" w:rsidRPr="00C46E12" w:rsidRDefault="008A23AE" w:rsidP="00CE4DBB">
      <w:pPr>
        <w:jc w:val="both"/>
        <w:rPr>
          <w:rFonts w:cs="Arial"/>
          <w:bCs/>
          <w:iCs/>
          <w:szCs w:val="22"/>
        </w:rPr>
      </w:pPr>
      <w:r>
        <w:rPr>
          <w:rFonts w:cs="Arial"/>
          <w:szCs w:val="22"/>
        </w:rPr>
        <w:t>Stage 2. I</w:t>
      </w:r>
      <w:r w:rsidR="004622B7" w:rsidRPr="00C46E12">
        <w:rPr>
          <w:rFonts w:cs="Arial"/>
          <w:szCs w:val="22"/>
        </w:rPr>
        <w:t xml:space="preserve">mplementation </w:t>
      </w:r>
      <w:r>
        <w:rPr>
          <w:rFonts w:cs="Arial"/>
          <w:szCs w:val="22"/>
        </w:rPr>
        <w:t xml:space="preserve">and evaluation </w:t>
      </w:r>
      <w:r w:rsidR="00482597" w:rsidRPr="00C46E12">
        <w:rPr>
          <w:rFonts w:cs="Arial"/>
          <w:szCs w:val="22"/>
        </w:rPr>
        <w:t>of shared-care cancer follow-up</w:t>
      </w:r>
      <w:r w:rsidR="000226A6" w:rsidRPr="00C46E12">
        <w:rPr>
          <w:rFonts w:cs="Arial"/>
          <w:szCs w:val="22"/>
        </w:rPr>
        <w:t xml:space="preserve"> in general practice</w:t>
      </w:r>
      <w:r w:rsidR="00482597" w:rsidRPr="00C46E12">
        <w:rPr>
          <w:rFonts w:cs="Arial"/>
          <w:szCs w:val="22"/>
        </w:rPr>
        <w:t>.</w:t>
      </w:r>
    </w:p>
    <w:p w14:paraId="4A073202" w14:textId="77777777" w:rsidR="000226A6" w:rsidRPr="00C46E12" w:rsidRDefault="00134591" w:rsidP="00CE4DBB">
      <w:pPr>
        <w:pStyle w:val="Heading2"/>
        <w:spacing w:after="0"/>
        <w:jc w:val="both"/>
        <w:rPr>
          <w:b w:val="0"/>
        </w:rPr>
      </w:pPr>
      <w:bookmarkStart w:id="96" w:name="_Toc681423"/>
      <w:bookmarkStart w:id="97" w:name="_Toc5365094"/>
      <w:bookmarkStart w:id="98" w:name="_Toc5734792"/>
      <w:bookmarkStart w:id="99" w:name="_Toc5734903"/>
      <w:bookmarkStart w:id="100" w:name="_Toc5735028"/>
      <w:bookmarkStart w:id="101" w:name="_Toc51588808"/>
      <w:r w:rsidRPr="00C46E12">
        <w:rPr>
          <w:b w:val="0"/>
        </w:rPr>
        <w:t>5</w:t>
      </w:r>
      <w:r w:rsidR="002C155D">
        <w:rPr>
          <w:b w:val="0"/>
        </w:rPr>
        <w:t>.1</w:t>
      </w:r>
      <w:r w:rsidR="000226A6" w:rsidRPr="00C46E12">
        <w:rPr>
          <w:b w:val="0"/>
        </w:rPr>
        <w:t xml:space="preserve"> Recruitment and selection of participants</w:t>
      </w:r>
      <w:bookmarkStart w:id="102" w:name="_Toc229307341"/>
      <w:bookmarkStart w:id="103" w:name="_Toc229308161"/>
      <w:bookmarkStart w:id="104" w:name="_Toc235338635"/>
      <w:bookmarkStart w:id="105" w:name="_Toc236472638"/>
      <w:bookmarkStart w:id="106" w:name="_Toc236473758"/>
      <w:bookmarkEnd w:id="101"/>
      <w:r w:rsidR="000226A6" w:rsidRPr="00C46E12">
        <w:rPr>
          <w:b w:val="0"/>
        </w:rPr>
        <w:t xml:space="preserve"> </w:t>
      </w:r>
      <w:bookmarkEnd w:id="102"/>
      <w:bookmarkEnd w:id="103"/>
      <w:bookmarkEnd w:id="104"/>
      <w:bookmarkEnd w:id="105"/>
      <w:bookmarkEnd w:id="106"/>
    </w:p>
    <w:p w14:paraId="11165D4E" w14:textId="57B4AECF" w:rsidR="00F242D8" w:rsidRPr="00C46E12" w:rsidRDefault="008A23AE" w:rsidP="00CE4DBB">
      <w:pPr>
        <w:jc w:val="both"/>
        <w:rPr>
          <w:rFonts w:eastAsia="Calibri" w:cs="Arial"/>
          <w:szCs w:val="22"/>
        </w:rPr>
      </w:pPr>
      <w:r>
        <w:rPr>
          <w:rFonts w:eastAsia="Calibri" w:cs="Arial"/>
          <w:szCs w:val="22"/>
        </w:rPr>
        <w:t>A</w:t>
      </w:r>
      <w:r w:rsidRPr="00C46E12">
        <w:rPr>
          <w:rFonts w:eastAsia="Calibri" w:cs="Arial"/>
          <w:szCs w:val="22"/>
        </w:rPr>
        <w:t xml:space="preserve"> list of radiation oncologists </w:t>
      </w:r>
      <w:r>
        <w:rPr>
          <w:rFonts w:eastAsia="Calibri" w:cs="Arial"/>
          <w:szCs w:val="22"/>
        </w:rPr>
        <w:t xml:space="preserve">with eligible patients </w:t>
      </w:r>
      <w:r w:rsidRPr="00C46E12">
        <w:rPr>
          <w:rFonts w:eastAsia="Calibri" w:cs="Arial"/>
          <w:szCs w:val="22"/>
        </w:rPr>
        <w:t xml:space="preserve">at Wollongong Hospital and Shoalhaven District Memorial Hospital </w:t>
      </w:r>
      <w:r>
        <w:rPr>
          <w:rFonts w:eastAsia="Calibri" w:cs="Arial"/>
          <w:szCs w:val="22"/>
        </w:rPr>
        <w:t>will be drawn from the</w:t>
      </w:r>
      <w:r w:rsidR="000226A6" w:rsidRPr="00C46E12">
        <w:rPr>
          <w:rFonts w:eastAsia="Calibri" w:cs="Arial"/>
          <w:szCs w:val="22"/>
        </w:rPr>
        <w:t xml:space="preserve"> Onc</w:t>
      </w:r>
      <w:r w:rsidR="00F75ECE">
        <w:rPr>
          <w:rFonts w:eastAsia="Calibri" w:cs="Arial"/>
          <w:szCs w:val="22"/>
        </w:rPr>
        <w:t>ology Information System MOSAIQ</w:t>
      </w:r>
      <w:r w:rsidR="000226A6" w:rsidRPr="00C46E12">
        <w:rPr>
          <w:rFonts w:eastAsia="Calibri" w:cs="Arial"/>
          <w:szCs w:val="22"/>
        </w:rPr>
        <w:t xml:space="preserve">. Radiation oncologists will be invited to participate in the research via an email </w:t>
      </w:r>
      <w:r>
        <w:rPr>
          <w:rFonts w:eastAsia="Calibri" w:cs="Arial"/>
          <w:szCs w:val="22"/>
        </w:rPr>
        <w:t>which contains the P</w:t>
      </w:r>
      <w:r w:rsidRPr="00C46E12">
        <w:rPr>
          <w:rFonts w:eastAsia="Calibri" w:cs="Arial"/>
          <w:szCs w:val="22"/>
        </w:rPr>
        <w:t xml:space="preserve">articipant </w:t>
      </w:r>
      <w:r>
        <w:rPr>
          <w:rFonts w:eastAsia="Calibri" w:cs="Arial"/>
          <w:szCs w:val="22"/>
        </w:rPr>
        <w:t>I</w:t>
      </w:r>
      <w:r w:rsidRPr="00C46E12">
        <w:rPr>
          <w:rFonts w:eastAsia="Calibri" w:cs="Arial"/>
          <w:szCs w:val="22"/>
        </w:rPr>
        <w:t xml:space="preserve">nformation </w:t>
      </w:r>
      <w:r>
        <w:rPr>
          <w:rFonts w:eastAsia="Calibri" w:cs="Arial"/>
          <w:szCs w:val="22"/>
        </w:rPr>
        <w:t>S</w:t>
      </w:r>
      <w:r w:rsidRPr="00C46E12">
        <w:rPr>
          <w:rFonts w:eastAsia="Calibri" w:cs="Arial"/>
          <w:szCs w:val="22"/>
        </w:rPr>
        <w:t xml:space="preserve">heet </w:t>
      </w:r>
      <w:r w:rsidR="000226A6" w:rsidRPr="00C46E12">
        <w:rPr>
          <w:rFonts w:eastAsia="Calibri" w:cs="Arial"/>
          <w:szCs w:val="22"/>
        </w:rPr>
        <w:t xml:space="preserve">and </w:t>
      </w:r>
      <w:r>
        <w:rPr>
          <w:rFonts w:eastAsia="Calibri" w:cs="Arial"/>
          <w:szCs w:val="22"/>
        </w:rPr>
        <w:t>C</w:t>
      </w:r>
      <w:r w:rsidRPr="00C46E12">
        <w:rPr>
          <w:rFonts w:eastAsia="Calibri" w:cs="Arial"/>
          <w:szCs w:val="22"/>
        </w:rPr>
        <w:t xml:space="preserve">onsent </w:t>
      </w:r>
      <w:r>
        <w:rPr>
          <w:rFonts w:eastAsia="Calibri" w:cs="Arial"/>
          <w:szCs w:val="22"/>
        </w:rPr>
        <w:t>F</w:t>
      </w:r>
      <w:r w:rsidRPr="00C46E12">
        <w:rPr>
          <w:rFonts w:eastAsia="Calibri" w:cs="Arial"/>
          <w:szCs w:val="22"/>
        </w:rPr>
        <w:t xml:space="preserve">orm </w:t>
      </w:r>
      <w:r w:rsidR="000226A6" w:rsidRPr="00C46E12">
        <w:rPr>
          <w:rFonts w:eastAsia="Calibri" w:cs="Arial"/>
          <w:szCs w:val="22"/>
        </w:rPr>
        <w:t>(</w:t>
      </w:r>
      <w:r w:rsidR="00CE4DBB">
        <w:rPr>
          <w:rFonts w:eastAsia="Calibri" w:cs="Arial"/>
          <w:szCs w:val="22"/>
        </w:rPr>
        <w:t>s</w:t>
      </w:r>
      <w:r w:rsidR="00F242D8" w:rsidRPr="00C46E12">
        <w:rPr>
          <w:rFonts w:eastAsia="Calibri" w:cs="Arial"/>
          <w:szCs w:val="22"/>
        </w:rPr>
        <w:t xml:space="preserve">ee </w:t>
      </w:r>
      <w:r>
        <w:rPr>
          <w:rFonts w:eastAsia="Calibri" w:cs="Arial"/>
          <w:szCs w:val="22"/>
        </w:rPr>
        <w:t>Attachment</w:t>
      </w:r>
      <w:r w:rsidRPr="00C46E12">
        <w:rPr>
          <w:rFonts w:eastAsia="Calibri" w:cs="Arial"/>
          <w:szCs w:val="22"/>
        </w:rPr>
        <w:t xml:space="preserve"> </w:t>
      </w:r>
      <w:r w:rsidR="00F242D8" w:rsidRPr="00C46E12">
        <w:rPr>
          <w:rFonts w:eastAsia="Calibri" w:cs="Arial"/>
          <w:szCs w:val="22"/>
        </w:rPr>
        <w:t>A</w:t>
      </w:r>
      <w:r w:rsidR="000226A6" w:rsidRPr="00C46E12">
        <w:rPr>
          <w:rFonts w:eastAsia="Calibri" w:cs="Arial"/>
          <w:szCs w:val="22"/>
        </w:rPr>
        <w:t xml:space="preserve">). </w:t>
      </w:r>
    </w:p>
    <w:p w14:paraId="2206465D" w14:textId="77777777" w:rsidR="00F242D8" w:rsidRPr="00C46E12" w:rsidRDefault="00F242D8" w:rsidP="00C46E12">
      <w:pPr>
        <w:jc w:val="both"/>
        <w:rPr>
          <w:rFonts w:eastAsia="Calibri" w:cs="Arial"/>
          <w:szCs w:val="22"/>
        </w:rPr>
      </w:pPr>
    </w:p>
    <w:p w14:paraId="7EBE58E6" w14:textId="056DB639" w:rsidR="00CE4DBB" w:rsidRDefault="008A23AE" w:rsidP="00CE4DBB">
      <w:pPr>
        <w:jc w:val="both"/>
        <w:rPr>
          <w:rFonts w:eastAsia="Calibri" w:cs="Arial"/>
          <w:szCs w:val="22"/>
        </w:rPr>
      </w:pPr>
      <w:r>
        <w:rPr>
          <w:rFonts w:eastAsia="Calibri" w:cs="Arial"/>
          <w:szCs w:val="22"/>
        </w:rPr>
        <w:t>C</w:t>
      </w:r>
      <w:r w:rsidR="00A124B5">
        <w:rPr>
          <w:rFonts w:eastAsia="Calibri" w:cs="Arial"/>
          <w:szCs w:val="22"/>
        </w:rPr>
        <w:t>onsenting radiation oncologists</w:t>
      </w:r>
      <w:r w:rsidR="000226A6" w:rsidRPr="00C46E12">
        <w:rPr>
          <w:rFonts w:eastAsia="Calibri" w:cs="Arial"/>
          <w:szCs w:val="22"/>
        </w:rPr>
        <w:t xml:space="preserve"> will </w:t>
      </w:r>
      <w:r w:rsidR="00314E49">
        <w:rPr>
          <w:rFonts w:eastAsia="Calibri" w:cs="Arial"/>
          <w:szCs w:val="22"/>
        </w:rPr>
        <w:t>review a</w:t>
      </w:r>
      <w:r w:rsidR="000226A6" w:rsidRPr="00C46E12">
        <w:rPr>
          <w:rFonts w:eastAsia="Calibri" w:cs="Arial"/>
          <w:szCs w:val="22"/>
        </w:rPr>
        <w:t xml:space="preserve"> list of </w:t>
      </w:r>
      <w:r>
        <w:rPr>
          <w:rFonts w:eastAsia="Calibri" w:cs="Arial"/>
          <w:szCs w:val="22"/>
        </w:rPr>
        <w:t>their el</w:t>
      </w:r>
      <w:r w:rsidR="00D9607C">
        <w:rPr>
          <w:rFonts w:eastAsia="Calibri" w:cs="Arial"/>
          <w:szCs w:val="22"/>
        </w:rPr>
        <w:t>ig</w:t>
      </w:r>
      <w:r>
        <w:rPr>
          <w:rFonts w:eastAsia="Calibri" w:cs="Arial"/>
          <w:szCs w:val="22"/>
        </w:rPr>
        <w:t xml:space="preserve">ible </w:t>
      </w:r>
      <w:r w:rsidR="00314E49">
        <w:rPr>
          <w:rFonts w:eastAsia="Calibri" w:cs="Arial"/>
          <w:szCs w:val="22"/>
        </w:rPr>
        <w:t>patients and invite them</w:t>
      </w:r>
      <w:r w:rsidR="000226A6" w:rsidRPr="00C46E12">
        <w:rPr>
          <w:rFonts w:eastAsia="Calibri" w:cs="Arial"/>
          <w:szCs w:val="22"/>
        </w:rPr>
        <w:t xml:space="preserve"> to the study via a mail-out with a reply paid envelope </w:t>
      </w:r>
      <w:r w:rsidR="00F242D8" w:rsidRPr="00C46E12">
        <w:rPr>
          <w:rFonts w:eastAsia="Calibri" w:cs="Arial"/>
          <w:szCs w:val="22"/>
        </w:rPr>
        <w:t xml:space="preserve">(see </w:t>
      </w:r>
      <w:r>
        <w:rPr>
          <w:rFonts w:eastAsia="Calibri" w:cs="Arial"/>
          <w:szCs w:val="22"/>
        </w:rPr>
        <w:t>Attachment</w:t>
      </w:r>
      <w:r w:rsidRPr="00C46E12">
        <w:rPr>
          <w:rFonts w:eastAsia="Calibri" w:cs="Arial"/>
          <w:szCs w:val="22"/>
        </w:rPr>
        <w:t xml:space="preserve"> </w:t>
      </w:r>
      <w:r w:rsidR="007A3101">
        <w:rPr>
          <w:rFonts w:eastAsia="Calibri" w:cs="Arial"/>
          <w:szCs w:val="22"/>
        </w:rPr>
        <w:t>B</w:t>
      </w:r>
      <w:r w:rsidR="000226A6" w:rsidRPr="00C46E12">
        <w:rPr>
          <w:rFonts w:eastAsia="Calibri" w:cs="Arial"/>
          <w:szCs w:val="22"/>
        </w:rPr>
        <w:t>)</w:t>
      </w:r>
      <w:r>
        <w:rPr>
          <w:rFonts w:eastAsia="Calibri" w:cs="Arial"/>
          <w:szCs w:val="22"/>
        </w:rPr>
        <w:t>. A follow-up phone call will be made two weeks after the mail out as a reminder to the invitation to participate</w:t>
      </w:r>
      <w:r w:rsidR="000226A6" w:rsidRPr="00C46E12">
        <w:rPr>
          <w:rFonts w:eastAsia="Calibri" w:cs="Arial"/>
          <w:szCs w:val="22"/>
        </w:rPr>
        <w:t>. Once the patient consents, the</w:t>
      </w:r>
      <w:r>
        <w:rPr>
          <w:rFonts w:eastAsia="Calibri" w:cs="Arial"/>
          <w:szCs w:val="22"/>
        </w:rPr>
        <w:t>ir</w:t>
      </w:r>
      <w:r w:rsidR="000226A6" w:rsidRPr="00C46E12">
        <w:rPr>
          <w:rFonts w:eastAsia="Calibri" w:cs="Arial"/>
          <w:szCs w:val="22"/>
        </w:rPr>
        <w:t xml:space="preserve"> referring general practitioner will be invited to participate by letter (</w:t>
      </w:r>
      <w:r w:rsidR="00C46E12" w:rsidRPr="00C46E12">
        <w:rPr>
          <w:rFonts w:eastAsia="Calibri" w:cs="Arial"/>
          <w:szCs w:val="22"/>
        </w:rPr>
        <w:t xml:space="preserve">see </w:t>
      </w:r>
      <w:r>
        <w:rPr>
          <w:rFonts w:eastAsia="Calibri" w:cs="Arial"/>
          <w:szCs w:val="22"/>
        </w:rPr>
        <w:t>Attachment</w:t>
      </w:r>
      <w:r w:rsidRPr="00C46E12">
        <w:rPr>
          <w:rFonts w:eastAsia="Calibri" w:cs="Arial"/>
          <w:szCs w:val="22"/>
        </w:rPr>
        <w:t xml:space="preserve"> </w:t>
      </w:r>
      <w:r w:rsidR="007A3101">
        <w:rPr>
          <w:rFonts w:eastAsia="Calibri" w:cs="Arial"/>
          <w:szCs w:val="22"/>
        </w:rPr>
        <w:t>C</w:t>
      </w:r>
      <w:r w:rsidR="000226A6" w:rsidRPr="00C46E12">
        <w:rPr>
          <w:rFonts w:eastAsia="Calibri" w:cs="Arial"/>
          <w:szCs w:val="22"/>
        </w:rPr>
        <w:t>)</w:t>
      </w:r>
      <w:r>
        <w:rPr>
          <w:rFonts w:eastAsia="Calibri" w:cs="Arial"/>
          <w:szCs w:val="22"/>
        </w:rPr>
        <w:t>. A follow-up phone call will b</w:t>
      </w:r>
      <w:r w:rsidR="00314E49">
        <w:rPr>
          <w:rFonts w:eastAsia="Calibri" w:cs="Arial"/>
          <w:szCs w:val="22"/>
        </w:rPr>
        <w:t>e made two weeks after the mail-</w:t>
      </w:r>
      <w:r>
        <w:rPr>
          <w:rFonts w:eastAsia="Calibri" w:cs="Arial"/>
          <w:szCs w:val="22"/>
        </w:rPr>
        <w:t>out as a reminder to the invitation to participate</w:t>
      </w:r>
      <w:r w:rsidR="000226A6" w:rsidRPr="00C46E12">
        <w:rPr>
          <w:rFonts w:eastAsia="Calibri" w:cs="Arial"/>
          <w:szCs w:val="22"/>
        </w:rPr>
        <w:t xml:space="preserve">. </w:t>
      </w:r>
      <w:r>
        <w:rPr>
          <w:rFonts w:eastAsia="Calibri" w:cs="Arial"/>
          <w:szCs w:val="22"/>
        </w:rPr>
        <w:t xml:space="preserve">If the general practitioner declines, the patient will be ineligible to participate. Once all three have been recruited, </w:t>
      </w:r>
      <w:r w:rsidR="00F242D8" w:rsidRPr="00C46E12">
        <w:rPr>
          <w:rFonts w:eastAsia="Calibri" w:cs="Arial"/>
          <w:szCs w:val="22"/>
        </w:rPr>
        <w:t xml:space="preserve">the </w:t>
      </w:r>
      <w:r w:rsidR="00CE4DBB">
        <w:rPr>
          <w:rFonts w:eastAsia="Calibri" w:cs="Arial"/>
          <w:szCs w:val="22"/>
        </w:rPr>
        <w:t>patient will be sent a welcome pack</w:t>
      </w:r>
      <w:r w:rsidR="00F242D8" w:rsidRPr="00C46E12">
        <w:rPr>
          <w:rFonts w:eastAsia="Calibri" w:cs="Arial"/>
          <w:szCs w:val="22"/>
        </w:rPr>
        <w:t xml:space="preserve"> (see </w:t>
      </w:r>
      <w:r>
        <w:rPr>
          <w:rFonts w:eastAsia="Calibri" w:cs="Arial"/>
          <w:szCs w:val="22"/>
        </w:rPr>
        <w:t>Attachment</w:t>
      </w:r>
      <w:r w:rsidRPr="00C46E12">
        <w:rPr>
          <w:rFonts w:eastAsia="Calibri" w:cs="Arial"/>
          <w:szCs w:val="22"/>
        </w:rPr>
        <w:t xml:space="preserve"> </w:t>
      </w:r>
      <w:r w:rsidR="007A3101">
        <w:rPr>
          <w:rFonts w:eastAsia="Calibri" w:cs="Arial"/>
          <w:szCs w:val="22"/>
        </w:rPr>
        <w:t>D</w:t>
      </w:r>
      <w:r w:rsidR="00F242D8" w:rsidRPr="00C46E12">
        <w:rPr>
          <w:rFonts w:eastAsia="Calibri" w:cs="Arial"/>
          <w:szCs w:val="22"/>
        </w:rPr>
        <w:t xml:space="preserve">). </w:t>
      </w:r>
    </w:p>
    <w:p w14:paraId="676570CE" w14:textId="77777777" w:rsidR="005916F7" w:rsidRPr="00206D4D" w:rsidRDefault="002C155D" w:rsidP="00206D4D">
      <w:pPr>
        <w:pStyle w:val="Heading2"/>
        <w:rPr>
          <w:rFonts w:eastAsia="Calibri"/>
          <w:b w:val="0"/>
          <w:szCs w:val="22"/>
        </w:rPr>
      </w:pPr>
      <w:bookmarkStart w:id="107" w:name="_Toc51588809"/>
      <w:r w:rsidRPr="00206D4D">
        <w:rPr>
          <w:rFonts w:eastAsia="Calibri"/>
          <w:b w:val="0"/>
        </w:rPr>
        <w:t>5.2</w:t>
      </w:r>
      <w:r w:rsidR="00134591" w:rsidRPr="00206D4D">
        <w:rPr>
          <w:rFonts w:eastAsia="Calibri"/>
          <w:b w:val="0"/>
        </w:rPr>
        <w:t xml:space="preserve"> </w:t>
      </w:r>
      <w:r w:rsidR="005916F7" w:rsidRPr="00206D4D">
        <w:rPr>
          <w:rFonts w:eastAsia="Calibri"/>
          <w:b w:val="0"/>
        </w:rPr>
        <w:t>Inclusion criteria</w:t>
      </w:r>
      <w:bookmarkEnd w:id="96"/>
      <w:bookmarkEnd w:id="97"/>
      <w:bookmarkEnd w:id="98"/>
      <w:bookmarkEnd w:id="99"/>
      <w:bookmarkEnd w:id="100"/>
      <w:bookmarkEnd w:id="107"/>
    </w:p>
    <w:p w14:paraId="39A5756A" w14:textId="77777777" w:rsidR="005916F7" w:rsidRPr="00C46E12" w:rsidRDefault="005916F7" w:rsidP="00C46E12">
      <w:pPr>
        <w:pStyle w:val="ListParagraph"/>
        <w:ind w:left="0"/>
        <w:contextualSpacing/>
        <w:jc w:val="both"/>
        <w:rPr>
          <w:rFonts w:eastAsia="Calibri" w:cs="Arial"/>
          <w:b/>
          <w:szCs w:val="22"/>
        </w:rPr>
      </w:pPr>
      <w:r w:rsidRPr="00C46E12">
        <w:rPr>
          <w:rFonts w:eastAsia="Calibri" w:cs="Arial"/>
          <w:b/>
          <w:szCs w:val="22"/>
        </w:rPr>
        <w:t xml:space="preserve">Radiation oncologist: </w:t>
      </w:r>
    </w:p>
    <w:p w14:paraId="1B963089" w14:textId="77777777" w:rsidR="005916F7" w:rsidRPr="00C46E12" w:rsidRDefault="005916F7" w:rsidP="00C46E12">
      <w:pPr>
        <w:pStyle w:val="ListParagraph"/>
        <w:numPr>
          <w:ilvl w:val="0"/>
          <w:numId w:val="30"/>
        </w:numPr>
        <w:contextualSpacing/>
        <w:jc w:val="both"/>
        <w:rPr>
          <w:rFonts w:eastAsia="Calibri" w:cs="Arial"/>
          <w:szCs w:val="22"/>
        </w:rPr>
      </w:pPr>
      <w:r w:rsidRPr="00C46E12">
        <w:rPr>
          <w:rFonts w:eastAsia="Calibri" w:cs="Arial"/>
          <w:szCs w:val="22"/>
        </w:rPr>
        <w:t>Treats breast, colorectal or prostate cancer</w:t>
      </w:r>
    </w:p>
    <w:p w14:paraId="6BD0C71E" w14:textId="77777777" w:rsidR="005916F7" w:rsidRPr="00C46E12" w:rsidRDefault="005916F7" w:rsidP="00C46E12">
      <w:pPr>
        <w:pStyle w:val="ListParagraph"/>
        <w:ind w:left="360"/>
        <w:contextualSpacing/>
        <w:jc w:val="both"/>
        <w:rPr>
          <w:rFonts w:eastAsia="Calibri" w:cs="Arial"/>
          <w:szCs w:val="22"/>
        </w:rPr>
      </w:pPr>
    </w:p>
    <w:p w14:paraId="4373B173" w14:textId="77777777" w:rsidR="005916F7" w:rsidRPr="00C46E12" w:rsidRDefault="005916F7" w:rsidP="00C46E12">
      <w:pPr>
        <w:pStyle w:val="ListParagraph"/>
        <w:ind w:left="0"/>
        <w:contextualSpacing/>
        <w:jc w:val="both"/>
        <w:rPr>
          <w:rFonts w:cs="Arial"/>
          <w:b/>
          <w:szCs w:val="22"/>
        </w:rPr>
      </w:pPr>
      <w:r w:rsidRPr="00C46E12">
        <w:rPr>
          <w:rFonts w:eastAsia="Calibri" w:cs="Arial"/>
          <w:b/>
          <w:szCs w:val="22"/>
        </w:rPr>
        <w:t>Patient:</w:t>
      </w:r>
    </w:p>
    <w:p w14:paraId="486B63D1" w14:textId="77777777" w:rsidR="005916F7" w:rsidRPr="00C46E12" w:rsidRDefault="00A124B5" w:rsidP="00C46E12">
      <w:pPr>
        <w:numPr>
          <w:ilvl w:val="1"/>
          <w:numId w:val="20"/>
        </w:numPr>
        <w:contextualSpacing/>
        <w:jc w:val="both"/>
        <w:rPr>
          <w:rFonts w:cs="Arial"/>
          <w:szCs w:val="22"/>
        </w:rPr>
      </w:pPr>
      <w:r>
        <w:rPr>
          <w:rFonts w:eastAsia="Calibri" w:cs="Arial"/>
          <w:szCs w:val="22"/>
        </w:rPr>
        <w:t>W</w:t>
      </w:r>
      <w:r w:rsidR="00621BD0">
        <w:rPr>
          <w:rFonts w:eastAsia="Calibri" w:cs="Arial"/>
          <w:szCs w:val="22"/>
        </w:rPr>
        <w:t>i</w:t>
      </w:r>
      <w:r w:rsidR="005916F7" w:rsidRPr="00C46E12">
        <w:rPr>
          <w:rFonts w:eastAsia="Calibri" w:cs="Arial"/>
          <w:szCs w:val="22"/>
        </w:rPr>
        <w:t>th a previous diagnosis of colorectal, breast or prostate cancer</w:t>
      </w:r>
    </w:p>
    <w:p w14:paraId="5AE11700" w14:textId="77777777" w:rsidR="005916F7" w:rsidRPr="00C46E12" w:rsidRDefault="00A124B5" w:rsidP="00C46E12">
      <w:pPr>
        <w:numPr>
          <w:ilvl w:val="1"/>
          <w:numId w:val="20"/>
        </w:numPr>
        <w:contextualSpacing/>
        <w:jc w:val="both"/>
        <w:rPr>
          <w:rFonts w:cs="Arial"/>
          <w:szCs w:val="22"/>
        </w:rPr>
      </w:pPr>
      <w:r>
        <w:rPr>
          <w:rFonts w:cs="Arial"/>
          <w:szCs w:val="22"/>
        </w:rPr>
        <w:t>R</w:t>
      </w:r>
      <w:r w:rsidR="005916F7" w:rsidRPr="00C46E12">
        <w:rPr>
          <w:rFonts w:cs="Arial"/>
          <w:szCs w:val="22"/>
        </w:rPr>
        <w:t xml:space="preserve">eceived </w:t>
      </w:r>
      <w:r w:rsidR="005916F7" w:rsidRPr="00C46E12">
        <w:rPr>
          <w:rFonts w:cs="Arial"/>
          <w:b/>
          <w:szCs w:val="22"/>
        </w:rPr>
        <w:t>curative</w:t>
      </w:r>
      <w:r w:rsidR="005916F7" w:rsidRPr="00C46E12">
        <w:rPr>
          <w:rFonts w:cs="Arial"/>
          <w:szCs w:val="22"/>
        </w:rPr>
        <w:t xml:space="preserve"> radiotherapy treatment (not palliative radiotherapy treatment)</w:t>
      </w:r>
    </w:p>
    <w:p w14:paraId="083C3F2F" w14:textId="77777777" w:rsidR="005916F7" w:rsidRPr="00A124B5" w:rsidRDefault="005916F7" w:rsidP="00C46E12">
      <w:pPr>
        <w:numPr>
          <w:ilvl w:val="1"/>
          <w:numId w:val="20"/>
        </w:numPr>
        <w:contextualSpacing/>
        <w:jc w:val="both"/>
        <w:rPr>
          <w:rFonts w:cs="Arial"/>
          <w:szCs w:val="22"/>
        </w:rPr>
      </w:pPr>
      <w:r w:rsidRPr="00C46E12">
        <w:rPr>
          <w:rFonts w:eastAsia="Calibri" w:cs="Arial"/>
          <w:szCs w:val="22"/>
        </w:rPr>
        <w:lastRenderedPageBreak/>
        <w:t>Patient is nearing three years post-radiotherapy treatment;</w:t>
      </w:r>
      <w:r w:rsidR="00A124B5">
        <w:rPr>
          <w:rFonts w:eastAsia="Calibri" w:cs="Arial"/>
          <w:szCs w:val="22"/>
        </w:rPr>
        <w:t xml:space="preserve"> and</w:t>
      </w:r>
      <w:r w:rsidRPr="00C46E12">
        <w:rPr>
          <w:rFonts w:eastAsia="Calibri" w:cs="Arial"/>
          <w:szCs w:val="22"/>
        </w:rPr>
        <w:t xml:space="preserve"> has a scheduled follow-up appointment with radiation oncologist within a three month period of the study (e.g. already scheduled for May, June, July</w:t>
      </w:r>
      <w:r w:rsidR="008A23AE">
        <w:rPr>
          <w:rFonts w:eastAsia="Calibri" w:cs="Arial"/>
          <w:szCs w:val="22"/>
        </w:rPr>
        <w:t xml:space="preserve"> 2020</w:t>
      </w:r>
      <w:r w:rsidRPr="00C46E12">
        <w:rPr>
          <w:rFonts w:eastAsia="Calibri" w:cs="Arial"/>
          <w:szCs w:val="22"/>
        </w:rPr>
        <w:t>)</w:t>
      </w:r>
    </w:p>
    <w:p w14:paraId="0A509BEF" w14:textId="77777777" w:rsidR="00A124B5" w:rsidRPr="00C46E12" w:rsidRDefault="00A124B5" w:rsidP="00C46E12">
      <w:pPr>
        <w:numPr>
          <w:ilvl w:val="1"/>
          <w:numId w:val="20"/>
        </w:numPr>
        <w:contextualSpacing/>
        <w:jc w:val="both"/>
        <w:rPr>
          <w:rFonts w:cs="Arial"/>
          <w:szCs w:val="22"/>
        </w:rPr>
      </w:pPr>
      <w:r>
        <w:rPr>
          <w:rFonts w:eastAsia="Calibri" w:cs="Arial"/>
          <w:szCs w:val="22"/>
        </w:rPr>
        <w:t>Can understand and speak English.</w:t>
      </w:r>
    </w:p>
    <w:p w14:paraId="517AD998" w14:textId="77777777" w:rsidR="005916F7" w:rsidRPr="00C46E12" w:rsidRDefault="005916F7" w:rsidP="00C46E12">
      <w:pPr>
        <w:ind w:left="1070"/>
        <w:contextualSpacing/>
        <w:jc w:val="both"/>
        <w:rPr>
          <w:rFonts w:cs="Arial"/>
          <w:szCs w:val="22"/>
        </w:rPr>
      </w:pPr>
    </w:p>
    <w:p w14:paraId="70FA77C7" w14:textId="77777777" w:rsidR="005916F7" w:rsidRPr="00C46E12" w:rsidRDefault="00723A00" w:rsidP="00C46E12">
      <w:pPr>
        <w:contextualSpacing/>
        <w:jc w:val="both"/>
        <w:rPr>
          <w:rFonts w:cs="Arial"/>
          <w:b/>
          <w:szCs w:val="22"/>
        </w:rPr>
      </w:pPr>
      <w:r w:rsidRPr="00C46E12">
        <w:rPr>
          <w:rFonts w:cs="Arial"/>
          <w:szCs w:val="22"/>
        </w:rPr>
        <w:t xml:space="preserve">    </w:t>
      </w:r>
      <w:r w:rsidR="005916F7" w:rsidRPr="00C46E12">
        <w:rPr>
          <w:rFonts w:cs="Arial"/>
          <w:b/>
          <w:szCs w:val="22"/>
        </w:rPr>
        <w:t>General practitioner:</w:t>
      </w:r>
    </w:p>
    <w:p w14:paraId="53D20C25" w14:textId="77777777" w:rsidR="005916F7" w:rsidRPr="00C46E12" w:rsidRDefault="005916F7" w:rsidP="00C46E12">
      <w:pPr>
        <w:numPr>
          <w:ilvl w:val="0"/>
          <w:numId w:val="31"/>
        </w:numPr>
        <w:contextualSpacing/>
        <w:jc w:val="both"/>
        <w:rPr>
          <w:rFonts w:cs="Arial"/>
          <w:szCs w:val="22"/>
        </w:rPr>
      </w:pPr>
      <w:r w:rsidRPr="00C46E12">
        <w:rPr>
          <w:rFonts w:cs="Arial"/>
          <w:szCs w:val="22"/>
        </w:rPr>
        <w:t>Referring general practitioner of breast, colorectal or prostate cancer patient</w:t>
      </w:r>
      <w:r w:rsidR="008A23AE">
        <w:rPr>
          <w:rFonts w:cs="Arial"/>
          <w:szCs w:val="22"/>
        </w:rPr>
        <w:t xml:space="preserve"> who has consented to taking place in the study, and whose radiation oncologist has also consented to taking part</w:t>
      </w:r>
    </w:p>
    <w:p w14:paraId="3C28D536" w14:textId="77777777" w:rsidR="004622B7" w:rsidRDefault="005916F7" w:rsidP="002C155D">
      <w:pPr>
        <w:numPr>
          <w:ilvl w:val="0"/>
          <w:numId w:val="31"/>
        </w:numPr>
        <w:contextualSpacing/>
        <w:jc w:val="both"/>
        <w:rPr>
          <w:rFonts w:cs="Arial"/>
          <w:szCs w:val="22"/>
        </w:rPr>
      </w:pPr>
      <w:r w:rsidRPr="00C46E12">
        <w:rPr>
          <w:rFonts w:cs="Arial"/>
          <w:szCs w:val="22"/>
        </w:rPr>
        <w:t>Has internet access</w:t>
      </w:r>
    </w:p>
    <w:p w14:paraId="4853778A" w14:textId="77777777" w:rsidR="00863841" w:rsidRDefault="00863841" w:rsidP="00863841">
      <w:pPr>
        <w:contextualSpacing/>
        <w:jc w:val="both"/>
        <w:rPr>
          <w:rFonts w:cs="Arial"/>
          <w:szCs w:val="22"/>
        </w:rPr>
      </w:pPr>
    </w:p>
    <w:p w14:paraId="451DD40E" w14:textId="25527593" w:rsidR="00863841" w:rsidRDefault="00863841" w:rsidP="00863841">
      <w:pPr>
        <w:contextualSpacing/>
        <w:jc w:val="both"/>
        <w:rPr>
          <w:rFonts w:cs="Arial"/>
          <w:b/>
          <w:szCs w:val="22"/>
        </w:rPr>
      </w:pPr>
      <w:r>
        <w:rPr>
          <w:rFonts w:cs="Arial"/>
          <w:b/>
          <w:szCs w:val="22"/>
        </w:rPr>
        <w:t xml:space="preserve">     Administration:</w:t>
      </w:r>
    </w:p>
    <w:p w14:paraId="677543F8" w14:textId="733CED1F" w:rsidR="00863841" w:rsidRPr="00863841" w:rsidRDefault="00863841" w:rsidP="00863841">
      <w:pPr>
        <w:contextualSpacing/>
        <w:jc w:val="both"/>
        <w:rPr>
          <w:rFonts w:cs="Arial"/>
          <w:szCs w:val="22"/>
        </w:rPr>
      </w:pPr>
      <w:r>
        <w:rPr>
          <w:rFonts w:cs="Arial"/>
          <w:b/>
          <w:szCs w:val="22"/>
        </w:rPr>
        <w:tab/>
      </w:r>
      <w:r>
        <w:rPr>
          <w:rFonts w:cs="Arial"/>
          <w:szCs w:val="22"/>
        </w:rPr>
        <w:t>a) Team leader administration, Cancer Care Centre (see attachment G).</w:t>
      </w:r>
    </w:p>
    <w:p w14:paraId="0588566E" w14:textId="77777777" w:rsidR="002C155D" w:rsidRPr="00C46E12" w:rsidRDefault="002C155D" w:rsidP="00CE4DBB">
      <w:pPr>
        <w:pStyle w:val="Heading2"/>
        <w:spacing w:after="0"/>
        <w:jc w:val="both"/>
        <w:rPr>
          <w:b w:val="0"/>
        </w:rPr>
      </w:pPr>
      <w:bookmarkStart w:id="108" w:name="_Toc51588810"/>
      <w:r w:rsidRPr="00C46E12">
        <w:rPr>
          <w:b w:val="0"/>
        </w:rPr>
        <w:t>5</w:t>
      </w:r>
      <w:r>
        <w:rPr>
          <w:b w:val="0"/>
        </w:rPr>
        <w:t>.3</w:t>
      </w:r>
      <w:r w:rsidRPr="00C46E12">
        <w:rPr>
          <w:b w:val="0"/>
        </w:rPr>
        <w:t xml:space="preserve"> Population/Sample size and justification</w:t>
      </w:r>
      <w:bookmarkEnd w:id="108"/>
      <w:r w:rsidRPr="00C46E12">
        <w:rPr>
          <w:b w:val="0"/>
        </w:rPr>
        <w:t xml:space="preserve"> </w:t>
      </w:r>
    </w:p>
    <w:p w14:paraId="5A687D52" w14:textId="77777777" w:rsidR="002C155D" w:rsidRDefault="002C155D" w:rsidP="00CE4DBB">
      <w:pPr>
        <w:contextualSpacing/>
        <w:jc w:val="both"/>
        <w:rPr>
          <w:rFonts w:cs="Arial"/>
          <w:szCs w:val="22"/>
        </w:rPr>
      </w:pPr>
      <w:r>
        <w:rPr>
          <w:rFonts w:cs="Arial"/>
          <w:szCs w:val="22"/>
        </w:rPr>
        <w:t>A sample of 20 triads will be recruited:</w:t>
      </w:r>
      <w:r w:rsidRPr="00C46E12">
        <w:rPr>
          <w:rFonts w:cs="Arial"/>
          <w:szCs w:val="22"/>
        </w:rPr>
        <w:t xml:space="preserve"> comprised of radiation oncologists, patients, and their general practitioners. </w:t>
      </w:r>
    </w:p>
    <w:p w14:paraId="759C97F0" w14:textId="77777777" w:rsidR="002C155D" w:rsidRDefault="002C155D" w:rsidP="002C155D">
      <w:pPr>
        <w:contextualSpacing/>
        <w:jc w:val="both"/>
        <w:rPr>
          <w:rFonts w:cs="Arial"/>
          <w:szCs w:val="22"/>
        </w:rPr>
      </w:pPr>
    </w:p>
    <w:p w14:paraId="137DDAA3" w14:textId="5B477294" w:rsidR="003513CC" w:rsidRDefault="00BD699C" w:rsidP="002C155D">
      <w:pPr>
        <w:contextualSpacing/>
        <w:jc w:val="both"/>
        <w:rPr>
          <w:rFonts w:cs="Arial"/>
          <w:szCs w:val="22"/>
        </w:rPr>
      </w:pPr>
      <w:r>
        <w:rPr>
          <w:rFonts w:cs="Arial"/>
          <w:szCs w:val="22"/>
        </w:rPr>
        <w:t xml:space="preserve">The goal of </w:t>
      </w:r>
      <w:r w:rsidRPr="00C46E12">
        <w:rPr>
          <w:rFonts w:cs="Arial"/>
          <w:szCs w:val="22"/>
        </w:rPr>
        <w:t>recruiting the 20 triad</w:t>
      </w:r>
      <w:r>
        <w:rPr>
          <w:rFonts w:cs="Arial"/>
          <w:szCs w:val="22"/>
        </w:rPr>
        <w:t>s is to ensure d</w:t>
      </w:r>
      <w:r w:rsidR="002C155D" w:rsidRPr="00C46E12">
        <w:rPr>
          <w:rFonts w:cs="Arial"/>
          <w:szCs w:val="22"/>
        </w:rPr>
        <w:t>epth of data saturation</w:t>
      </w:r>
      <w:r>
        <w:rPr>
          <w:rFonts w:cs="Arial"/>
          <w:szCs w:val="22"/>
        </w:rPr>
        <w:t>.</w:t>
      </w:r>
      <w:r w:rsidR="002C155D">
        <w:rPr>
          <w:rFonts w:cs="Arial"/>
          <w:szCs w:val="22"/>
        </w:rPr>
        <w:t xml:space="preserve"> The 20 triads could potentially equate to 45 participants (</w:t>
      </w:r>
      <w:r>
        <w:rPr>
          <w:rFonts w:cs="Arial"/>
          <w:szCs w:val="22"/>
        </w:rPr>
        <w:t xml:space="preserve">e.g. </w:t>
      </w:r>
      <w:r w:rsidR="002C155D">
        <w:rPr>
          <w:rFonts w:cs="Arial"/>
          <w:szCs w:val="22"/>
        </w:rPr>
        <w:t>20 patients, 20 general practitioners, 5 radiation oncologists)</w:t>
      </w:r>
      <w:r>
        <w:rPr>
          <w:rFonts w:cs="Arial"/>
          <w:szCs w:val="22"/>
        </w:rPr>
        <w:t xml:space="preserve">; </w:t>
      </w:r>
      <w:r w:rsidR="002C155D">
        <w:rPr>
          <w:rFonts w:cs="Arial"/>
          <w:szCs w:val="22"/>
        </w:rPr>
        <w:t xml:space="preserve">it is </w:t>
      </w:r>
      <w:r>
        <w:rPr>
          <w:rFonts w:cs="Arial"/>
          <w:szCs w:val="22"/>
        </w:rPr>
        <w:t xml:space="preserve">also anticipated </w:t>
      </w:r>
      <w:r w:rsidR="002C155D">
        <w:rPr>
          <w:rFonts w:cs="Arial"/>
          <w:szCs w:val="22"/>
        </w:rPr>
        <w:t xml:space="preserve">that there may be general practitioners that have more than one patient, </w:t>
      </w:r>
      <w:r w:rsidR="004477AE">
        <w:rPr>
          <w:rFonts w:cs="Arial"/>
          <w:szCs w:val="22"/>
        </w:rPr>
        <w:t>and hence</w:t>
      </w:r>
      <w:r w:rsidR="002C155D">
        <w:rPr>
          <w:rFonts w:cs="Arial"/>
          <w:szCs w:val="22"/>
        </w:rPr>
        <w:t xml:space="preserve"> the total number of general practitioners may be fewer.</w:t>
      </w:r>
    </w:p>
    <w:p w14:paraId="5E3949D9" w14:textId="77777777" w:rsidR="00C230D0" w:rsidRPr="004477AE" w:rsidRDefault="00134591" w:rsidP="00CE4DBB">
      <w:pPr>
        <w:pStyle w:val="Heading2"/>
        <w:spacing w:after="0"/>
        <w:jc w:val="both"/>
        <w:rPr>
          <w:b w:val="0"/>
        </w:rPr>
      </w:pPr>
      <w:bookmarkStart w:id="109" w:name="_Toc51588811"/>
      <w:r w:rsidRPr="00C46E12">
        <w:rPr>
          <w:b w:val="0"/>
        </w:rPr>
        <w:t>5</w:t>
      </w:r>
      <w:r w:rsidR="002C155D">
        <w:rPr>
          <w:b w:val="0"/>
        </w:rPr>
        <w:t>.4</w:t>
      </w:r>
      <w:r w:rsidR="00461CEC" w:rsidRPr="00C46E12">
        <w:rPr>
          <w:b w:val="0"/>
        </w:rPr>
        <w:t xml:space="preserve"> Expected duration </w:t>
      </w:r>
      <w:r w:rsidR="00C230D0" w:rsidRPr="00C46E12">
        <w:rPr>
          <w:b w:val="0"/>
        </w:rPr>
        <w:t>and what is involved for participants of the study</w:t>
      </w:r>
      <w:bookmarkEnd w:id="109"/>
    </w:p>
    <w:p w14:paraId="56D2F13B" w14:textId="3D9AD2AE" w:rsidR="00A142C1" w:rsidRDefault="00C230D0" w:rsidP="00CE4DBB">
      <w:pPr>
        <w:jc w:val="both"/>
        <w:rPr>
          <w:rFonts w:cs="Arial"/>
          <w:szCs w:val="22"/>
        </w:rPr>
      </w:pPr>
      <w:r w:rsidRPr="00C46E12">
        <w:rPr>
          <w:rFonts w:cs="Arial"/>
          <w:szCs w:val="22"/>
        </w:rPr>
        <w:t>The expected duration</w:t>
      </w:r>
      <w:r w:rsidR="00A124B5">
        <w:rPr>
          <w:rFonts w:cs="Arial"/>
          <w:szCs w:val="22"/>
        </w:rPr>
        <w:t xml:space="preserve"> of the research</w:t>
      </w:r>
      <w:r w:rsidRPr="00C46E12">
        <w:rPr>
          <w:rFonts w:cs="Arial"/>
          <w:szCs w:val="22"/>
        </w:rPr>
        <w:t xml:space="preserve"> </w:t>
      </w:r>
      <w:r w:rsidR="00BD699C">
        <w:rPr>
          <w:rFonts w:cs="Arial"/>
          <w:szCs w:val="22"/>
        </w:rPr>
        <w:t xml:space="preserve">is </w:t>
      </w:r>
      <w:r w:rsidR="00A60F36">
        <w:rPr>
          <w:rFonts w:cs="Arial"/>
          <w:szCs w:val="22"/>
        </w:rPr>
        <w:t>one year</w:t>
      </w:r>
      <w:r w:rsidR="00BD699C">
        <w:rPr>
          <w:rFonts w:cs="Arial"/>
          <w:szCs w:val="22"/>
        </w:rPr>
        <w:t>. The duration for partic</w:t>
      </w:r>
      <w:r w:rsidR="00D9607C">
        <w:rPr>
          <w:rFonts w:cs="Arial"/>
          <w:szCs w:val="22"/>
        </w:rPr>
        <w:t>i</w:t>
      </w:r>
      <w:r w:rsidR="00BD699C">
        <w:rPr>
          <w:rFonts w:cs="Arial"/>
          <w:szCs w:val="22"/>
        </w:rPr>
        <w:t xml:space="preserve">pants </w:t>
      </w:r>
      <w:r w:rsidRPr="00C46E12">
        <w:rPr>
          <w:rFonts w:cs="Arial"/>
          <w:szCs w:val="22"/>
        </w:rPr>
        <w:t>from the</w:t>
      </w:r>
      <w:r w:rsidR="00723A00" w:rsidRPr="00C46E12">
        <w:rPr>
          <w:rFonts w:cs="Arial"/>
          <w:szCs w:val="22"/>
        </w:rPr>
        <w:t xml:space="preserve"> time of recr</w:t>
      </w:r>
      <w:r w:rsidRPr="00C46E12">
        <w:rPr>
          <w:rFonts w:cs="Arial"/>
          <w:szCs w:val="22"/>
        </w:rPr>
        <w:t>ui</w:t>
      </w:r>
      <w:r w:rsidR="00723A00" w:rsidRPr="00C46E12">
        <w:rPr>
          <w:rFonts w:cs="Arial"/>
          <w:szCs w:val="22"/>
        </w:rPr>
        <w:t>t</w:t>
      </w:r>
      <w:r w:rsidRPr="00C46E12">
        <w:rPr>
          <w:rFonts w:cs="Arial"/>
          <w:szCs w:val="22"/>
        </w:rPr>
        <w:t xml:space="preserve">ment to the final interview is </w:t>
      </w:r>
      <w:r w:rsidR="00723A00" w:rsidRPr="00C46E12">
        <w:rPr>
          <w:rFonts w:cs="Arial"/>
          <w:szCs w:val="22"/>
        </w:rPr>
        <w:t xml:space="preserve">approximately </w:t>
      </w:r>
      <w:r w:rsidRPr="00C46E12">
        <w:rPr>
          <w:rFonts w:cs="Arial"/>
          <w:szCs w:val="22"/>
        </w:rPr>
        <w:t xml:space="preserve">8 months. </w:t>
      </w:r>
    </w:p>
    <w:p w14:paraId="757D57BF" w14:textId="16AFD472" w:rsidR="00A142C1" w:rsidRPr="00206D4D" w:rsidRDefault="00206D4D" w:rsidP="00206D4D">
      <w:pPr>
        <w:pStyle w:val="Heading2"/>
        <w:rPr>
          <w:b w:val="0"/>
        </w:rPr>
      </w:pPr>
      <w:bookmarkStart w:id="110" w:name="_Toc51588812"/>
      <w:r w:rsidRPr="00206D4D">
        <w:rPr>
          <w:b w:val="0"/>
        </w:rPr>
        <w:t>5.5 Study outline</w:t>
      </w:r>
      <w:bookmarkEnd w:id="110"/>
    </w:p>
    <w:p w14:paraId="7B7FB41D" w14:textId="441CE7C4" w:rsidR="00C2630E" w:rsidRDefault="00764D77" w:rsidP="00CE4DBB">
      <w:pPr>
        <w:jc w:val="both"/>
        <w:rPr>
          <w:rFonts w:cs="Arial"/>
          <w:szCs w:val="22"/>
        </w:rPr>
      </w:pPr>
      <w:r>
        <w:rPr>
          <w:rFonts w:cs="Arial"/>
          <w:szCs w:val="22"/>
        </w:rPr>
        <w:t>T</w:t>
      </w:r>
      <w:r w:rsidR="00C2630E">
        <w:rPr>
          <w:rFonts w:cs="Arial"/>
          <w:szCs w:val="22"/>
        </w:rPr>
        <w:t>o determine the feasibility and acceptability of shared</w:t>
      </w:r>
      <w:r>
        <w:rPr>
          <w:rFonts w:cs="Arial"/>
          <w:szCs w:val="22"/>
        </w:rPr>
        <w:t xml:space="preserve"> cancer follow-up model</w:t>
      </w:r>
      <w:r w:rsidR="00C2630E">
        <w:rPr>
          <w:rFonts w:cs="Arial"/>
          <w:szCs w:val="22"/>
        </w:rPr>
        <w:t xml:space="preserve">, patients are being offered an additional two </w:t>
      </w:r>
      <w:r w:rsidR="00D9607C">
        <w:rPr>
          <w:rFonts w:cs="Arial"/>
          <w:szCs w:val="22"/>
        </w:rPr>
        <w:t>appointments</w:t>
      </w:r>
      <w:r w:rsidR="00C2630E">
        <w:rPr>
          <w:rFonts w:cs="Arial"/>
          <w:szCs w:val="22"/>
        </w:rPr>
        <w:t xml:space="preserve"> </w:t>
      </w:r>
      <w:r w:rsidR="00D9607C">
        <w:rPr>
          <w:rFonts w:cs="Arial"/>
          <w:szCs w:val="22"/>
        </w:rPr>
        <w:t xml:space="preserve">with their general practitioner </w:t>
      </w:r>
      <w:r w:rsidR="00C2630E">
        <w:rPr>
          <w:rFonts w:cs="Arial"/>
          <w:szCs w:val="22"/>
        </w:rPr>
        <w:t xml:space="preserve">to check on their health and wellbeing following radiotherapy treatment, </w:t>
      </w:r>
      <w:r w:rsidR="00D9607C">
        <w:rPr>
          <w:rFonts w:cs="Arial"/>
          <w:szCs w:val="22"/>
        </w:rPr>
        <w:t>with t</w:t>
      </w:r>
      <w:r w:rsidR="00C2630E">
        <w:rPr>
          <w:rFonts w:cs="Arial"/>
          <w:szCs w:val="22"/>
        </w:rPr>
        <w:t>heir radiation oncologist overseeing this care</w:t>
      </w:r>
      <w:r>
        <w:rPr>
          <w:rFonts w:cs="Arial"/>
          <w:szCs w:val="22"/>
        </w:rPr>
        <w:t xml:space="preserve"> and rapid referral pathway if required</w:t>
      </w:r>
      <w:r w:rsidR="00C2630E">
        <w:rPr>
          <w:rFonts w:cs="Arial"/>
          <w:szCs w:val="22"/>
        </w:rPr>
        <w:t xml:space="preserve">. Patients will maintain their standard care with the radiation oncologist, and continue with standard care upon completion of the research. </w:t>
      </w:r>
    </w:p>
    <w:p w14:paraId="46BA7DFA" w14:textId="77777777" w:rsidR="00C2630E" w:rsidRDefault="00C2630E" w:rsidP="00CE4DBB">
      <w:pPr>
        <w:jc w:val="both"/>
        <w:rPr>
          <w:rFonts w:cs="Arial"/>
          <w:szCs w:val="22"/>
        </w:rPr>
      </w:pPr>
    </w:p>
    <w:p w14:paraId="498CB46D" w14:textId="230EA63F" w:rsidR="00C2630E" w:rsidRPr="00C46E12" w:rsidRDefault="00C230D0" w:rsidP="00CE4DBB">
      <w:pPr>
        <w:jc w:val="both"/>
        <w:rPr>
          <w:rFonts w:cs="Arial"/>
          <w:szCs w:val="22"/>
        </w:rPr>
      </w:pPr>
      <w:r w:rsidRPr="00C46E12">
        <w:rPr>
          <w:rFonts w:cs="Arial"/>
          <w:szCs w:val="22"/>
        </w:rPr>
        <w:t>Below shows what i</w:t>
      </w:r>
      <w:r w:rsidR="009C4B32" w:rsidRPr="00C46E12">
        <w:rPr>
          <w:rFonts w:cs="Arial"/>
          <w:szCs w:val="22"/>
        </w:rPr>
        <w:t>s involved for the participants of this study:</w:t>
      </w:r>
    </w:p>
    <w:tbl>
      <w:tblPr>
        <w:tblW w:w="8789" w:type="dxa"/>
        <w:tblLayout w:type="fixed"/>
        <w:tblLook w:val="04A0" w:firstRow="1" w:lastRow="0" w:firstColumn="1" w:lastColumn="0" w:noHBand="0" w:noVBand="1"/>
      </w:tblPr>
      <w:tblGrid>
        <w:gridCol w:w="1413"/>
        <w:gridCol w:w="7376"/>
      </w:tblGrid>
      <w:tr w:rsidR="00134591" w:rsidRPr="009F2770" w14:paraId="7C008C36" w14:textId="77777777" w:rsidTr="000436BF">
        <w:tc>
          <w:tcPr>
            <w:tcW w:w="1413" w:type="dxa"/>
            <w:shd w:val="clear" w:color="auto" w:fill="auto"/>
          </w:tcPr>
          <w:p w14:paraId="72FFAF27" w14:textId="77777777" w:rsidR="00C2630E" w:rsidRDefault="00C2630E" w:rsidP="009F2770">
            <w:pPr>
              <w:jc w:val="both"/>
              <w:rPr>
                <w:rFonts w:cs="Arial"/>
                <w:b/>
                <w:iCs/>
                <w:sz w:val="20"/>
                <w:szCs w:val="20"/>
              </w:rPr>
            </w:pPr>
          </w:p>
          <w:p w14:paraId="55EF7004" w14:textId="77777777" w:rsidR="00C2630E" w:rsidRDefault="00C2630E" w:rsidP="009F2770">
            <w:pPr>
              <w:jc w:val="both"/>
              <w:rPr>
                <w:rFonts w:cs="Arial"/>
                <w:b/>
                <w:iCs/>
                <w:sz w:val="20"/>
                <w:szCs w:val="20"/>
              </w:rPr>
            </w:pPr>
          </w:p>
          <w:p w14:paraId="55E2C2CF" w14:textId="3D06828E" w:rsidR="00134591" w:rsidRPr="009F2770" w:rsidRDefault="00134591" w:rsidP="009F2770">
            <w:pPr>
              <w:jc w:val="both"/>
              <w:rPr>
                <w:rFonts w:cs="Arial"/>
                <w:iCs/>
                <w:sz w:val="20"/>
                <w:szCs w:val="20"/>
              </w:rPr>
            </w:pPr>
            <w:r w:rsidRPr="009F2770">
              <w:rPr>
                <w:rFonts w:cs="Arial"/>
                <w:b/>
                <w:iCs/>
                <w:sz w:val="20"/>
                <w:szCs w:val="20"/>
              </w:rPr>
              <w:t>Radiation oncologist</w:t>
            </w:r>
            <w:r w:rsidR="00C2630E">
              <w:rPr>
                <w:rFonts w:cs="Arial"/>
                <w:b/>
                <w:iCs/>
                <w:sz w:val="20"/>
                <w:szCs w:val="20"/>
              </w:rPr>
              <w:t>:</w:t>
            </w:r>
          </w:p>
          <w:p w14:paraId="775867A5" w14:textId="77777777" w:rsidR="00134591" w:rsidRPr="009F2770" w:rsidRDefault="00134591" w:rsidP="009F2770">
            <w:pPr>
              <w:jc w:val="both"/>
              <w:rPr>
                <w:rFonts w:cs="Arial"/>
                <w:szCs w:val="22"/>
              </w:rPr>
            </w:pPr>
          </w:p>
        </w:tc>
        <w:tc>
          <w:tcPr>
            <w:tcW w:w="7376" w:type="dxa"/>
            <w:shd w:val="clear" w:color="auto" w:fill="auto"/>
          </w:tcPr>
          <w:p w14:paraId="1D6D0FB6" w14:textId="2F5A1CE9" w:rsidR="00134591" w:rsidRPr="009F2770" w:rsidRDefault="00C2630E" w:rsidP="00C2630E">
            <w:pPr>
              <w:rPr>
                <w:rFonts w:cs="Arial"/>
                <w:iCs/>
                <w:sz w:val="20"/>
                <w:szCs w:val="20"/>
              </w:rPr>
            </w:pPr>
            <w:r w:rsidRPr="00C2630E">
              <w:rPr>
                <w:rFonts w:cs="Arial"/>
                <w:iCs/>
                <w:noProof/>
                <w:sz w:val="20"/>
                <w:szCs w:val="20"/>
              </w:rPr>
              <w:drawing>
                <wp:inline distT="0" distB="0" distL="0" distR="0" wp14:anchorId="201D46BB" wp14:editId="127AADAC">
                  <wp:extent cx="4543425" cy="1061720"/>
                  <wp:effectExtent l="0" t="0" r="28575" b="50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r w:rsidR="00134591" w:rsidRPr="009F2770" w14:paraId="07530B6E" w14:textId="77777777" w:rsidTr="000436BF">
        <w:tc>
          <w:tcPr>
            <w:tcW w:w="1413" w:type="dxa"/>
            <w:shd w:val="clear" w:color="auto" w:fill="auto"/>
          </w:tcPr>
          <w:p w14:paraId="3DCB62EB" w14:textId="77777777" w:rsidR="00C2630E" w:rsidRDefault="00C2630E" w:rsidP="009F2770">
            <w:pPr>
              <w:jc w:val="both"/>
              <w:rPr>
                <w:rFonts w:cs="Arial"/>
                <w:b/>
                <w:iCs/>
                <w:sz w:val="20"/>
                <w:szCs w:val="20"/>
              </w:rPr>
            </w:pPr>
          </w:p>
          <w:p w14:paraId="3E9EA956" w14:textId="77777777" w:rsidR="00C2630E" w:rsidRDefault="00C2630E" w:rsidP="009F2770">
            <w:pPr>
              <w:jc w:val="both"/>
              <w:rPr>
                <w:rFonts w:cs="Arial"/>
                <w:b/>
                <w:iCs/>
                <w:sz w:val="20"/>
                <w:szCs w:val="20"/>
              </w:rPr>
            </w:pPr>
          </w:p>
          <w:p w14:paraId="3C0FDE51" w14:textId="5816EE96" w:rsidR="00134591" w:rsidRPr="009F2770" w:rsidRDefault="00134591" w:rsidP="009F2770">
            <w:pPr>
              <w:jc w:val="both"/>
              <w:rPr>
                <w:rFonts w:cs="Arial"/>
                <w:b/>
                <w:iCs/>
                <w:sz w:val="20"/>
                <w:szCs w:val="20"/>
              </w:rPr>
            </w:pPr>
            <w:r w:rsidRPr="009F2770">
              <w:rPr>
                <w:rFonts w:cs="Arial"/>
                <w:b/>
                <w:iCs/>
                <w:sz w:val="20"/>
                <w:szCs w:val="20"/>
              </w:rPr>
              <w:t>Patient</w:t>
            </w:r>
            <w:r w:rsidR="00C2630E">
              <w:rPr>
                <w:rFonts w:cs="Arial"/>
                <w:b/>
                <w:iCs/>
                <w:sz w:val="20"/>
                <w:szCs w:val="20"/>
              </w:rPr>
              <w:t>:</w:t>
            </w:r>
          </w:p>
          <w:p w14:paraId="47D09614" w14:textId="77777777" w:rsidR="00134591" w:rsidRPr="009F2770" w:rsidRDefault="00134591" w:rsidP="009F2770">
            <w:pPr>
              <w:jc w:val="both"/>
              <w:rPr>
                <w:rFonts w:cs="Arial"/>
                <w:szCs w:val="22"/>
              </w:rPr>
            </w:pPr>
          </w:p>
        </w:tc>
        <w:tc>
          <w:tcPr>
            <w:tcW w:w="7376" w:type="dxa"/>
            <w:shd w:val="clear" w:color="auto" w:fill="auto"/>
          </w:tcPr>
          <w:p w14:paraId="364C2F2C" w14:textId="43FF75EA" w:rsidR="00C2630E" w:rsidRDefault="00C2630E" w:rsidP="00C2630E">
            <w:pPr>
              <w:rPr>
                <w:rFonts w:cs="Arial"/>
                <w:iCs/>
                <w:sz w:val="20"/>
                <w:szCs w:val="20"/>
              </w:rPr>
            </w:pPr>
            <w:r w:rsidRPr="00C2630E">
              <w:rPr>
                <w:rFonts w:cs="Arial"/>
                <w:iCs/>
                <w:noProof/>
                <w:sz w:val="20"/>
                <w:szCs w:val="20"/>
              </w:rPr>
              <w:drawing>
                <wp:inline distT="0" distB="0" distL="0" distR="0" wp14:anchorId="3A5B5C6A" wp14:editId="744F68E5">
                  <wp:extent cx="4568190" cy="109410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F45E446" w14:textId="6B3F96F7" w:rsidR="00134591" w:rsidRPr="00C2630E" w:rsidRDefault="00134591" w:rsidP="00C2630E">
            <w:pPr>
              <w:rPr>
                <w:rFonts w:cs="Arial"/>
                <w:iCs/>
                <w:sz w:val="20"/>
                <w:szCs w:val="20"/>
              </w:rPr>
            </w:pPr>
          </w:p>
        </w:tc>
      </w:tr>
      <w:tr w:rsidR="00134591" w:rsidRPr="009F2770" w14:paraId="17805058" w14:textId="77777777" w:rsidTr="000436BF">
        <w:tc>
          <w:tcPr>
            <w:tcW w:w="1413" w:type="dxa"/>
            <w:shd w:val="clear" w:color="auto" w:fill="auto"/>
          </w:tcPr>
          <w:p w14:paraId="7B0E4874" w14:textId="77777777" w:rsidR="00C2630E" w:rsidRDefault="00C2630E" w:rsidP="009F2770">
            <w:pPr>
              <w:jc w:val="both"/>
              <w:rPr>
                <w:rFonts w:cs="Arial"/>
                <w:b/>
                <w:iCs/>
                <w:sz w:val="20"/>
                <w:szCs w:val="20"/>
              </w:rPr>
            </w:pPr>
          </w:p>
          <w:p w14:paraId="6DFE8B04" w14:textId="77777777" w:rsidR="00C2630E" w:rsidRDefault="00C2630E" w:rsidP="009F2770">
            <w:pPr>
              <w:jc w:val="both"/>
              <w:rPr>
                <w:rFonts w:cs="Arial"/>
                <w:b/>
                <w:iCs/>
                <w:sz w:val="20"/>
                <w:szCs w:val="20"/>
              </w:rPr>
            </w:pPr>
          </w:p>
          <w:p w14:paraId="17EA1EB4" w14:textId="1C746104" w:rsidR="00134591" w:rsidRPr="009F2770" w:rsidRDefault="00134591" w:rsidP="009F2770">
            <w:pPr>
              <w:jc w:val="both"/>
              <w:rPr>
                <w:rFonts w:cs="Arial"/>
                <w:b/>
                <w:iCs/>
                <w:sz w:val="20"/>
                <w:szCs w:val="20"/>
              </w:rPr>
            </w:pPr>
            <w:r w:rsidRPr="009F2770">
              <w:rPr>
                <w:rFonts w:cs="Arial"/>
                <w:b/>
                <w:iCs/>
                <w:sz w:val="20"/>
                <w:szCs w:val="20"/>
              </w:rPr>
              <w:t>General practitioner</w:t>
            </w:r>
            <w:r w:rsidR="00C2630E">
              <w:rPr>
                <w:rFonts w:cs="Arial"/>
                <w:b/>
                <w:iCs/>
                <w:sz w:val="20"/>
                <w:szCs w:val="20"/>
              </w:rPr>
              <w:t>:</w:t>
            </w:r>
          </w:p>
          <w:p w14:paraId="0BA8AB85" w14:textId="77777777" w:rsidR="00134591" w:rsidRPr="009F2770" w:rsidRDefault="00134591" w:rsidP="009F2770">
            <w:pPr>
              <w:jc w:val="both"/>
              <w:rPr>
                <w:rFonts w:cs="Arial"/>
                <w:szCs w:val="22"/>
              </w:rPr>
            </w:pPr>
          </w:p>
        </w:tc>
        <w:tc>
          <w:tcPr>
            <w:tcW w:w="7376" w:type="dxa"/>
            <w:shd w:val="clear" w:color="auto" w:fill="auto"/>
          </w:tcPr>
          <w:p w14:paraId="5896C7CE" w14:textId="50524DC2" w:rsidR="00C2630E" w:rsidRDefault="00C2630E" w:rsidP="00C2630E">
            <w:pPr>
              <w:rPr>
                <w:rFonts w:cs="Arial"/>
                <w:iCs/>
                <w:sz w:val="20"/>
                <w:szCs w:val="20"/>
              </w:rPr>
            </w:pPr>
            <w:r w:rsidRPr="00C2630E">
              <w:rPr>
                <w:rFonts w:cs="Arial"/>
                <w:iCs/>
                <w:noProof/>
                <w:sz w:val="20"/>
                <w:szCs w:val="20"/>
              </w:rPr>
              <w:drawing>
                <wp:inline distT="0" distB="0" distL="0" distR="0" wp14:anchorId="007DFA26" wp14:editId="6FBBAFF6">
                  <wp:extent cx="4552950" cy="1087011"/>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5429CA5" w14:textId="3C75D44F" w:rsidR="00134591" w:rsidRPr="009F2770" w:rsidRDefault="00134591" w:rsidP="00C2630E">
            <w:pPr>
              <w:rPr>
                <w:rFonts w:cs="Arial"/>
                <w:iCs/>
                <w:sz w:val="20"/>
                <w:szCs w:val="20"/>
              </w:rPr>
            </w:pPr>
          </w:p>
        </w:tc>
      </w:tr>
    </w:tbl>
    <w:p w14:paraId="46418DFA" w14:textId="38EE7410" w:rsidR="00C95DE2" w:rsidRPr="00C95DE2" w:rsidRDefault="00134591" w:rsidP="00C95DE2">
      <w:pPr>
        <w:pStyle w:val="Heading1"/>
        <w:spacing w:before="0" w:after="0"/>
        <w:jc w:val="both"/>
        <w:rPr>
          <w:rFonts w:cs="Arial"/>
        </w:rPr>
      </w:pPr>
      <w:bookmarkStart w:id="111" w:name="_Toc51588813"/>
      <w:r w:rsidRPr="00C46E12">
        <w:rPr>
          <w:rFonts w:cs="Arial"/>
        </w:rPr>
        <w:t>6</w:t>
      </w:r>
      <w:r w:rsidR="00556E53" w:rsidRPr="00C46E12">
        <w:rPr>
          <w:rFonts w:cs="Arial"/>
        </w:rPr>
        <w:t xml:space="preserve"> Data collection </w:t>
      </w:r>
      <w:r w:rsidR="00EE3426" w:rsidRPr="00C46E12">
        <w:rPr>
          <w:rFonts w:cs="Arial"/>
        </w:rPr>
        <w:t>and analyses</w:t>
      </w:r>
      <w:bookmarkEnd w:id="111"/>
      <w:r w:rsidR="00EE3426" w:rsidRPr="00C46E12">
        <w:rPr>
          <w:rFonts w:cs="Arial"/>
        </w:rPr>
        <w:t xml:space="preserve"> </w:t>
      </w:r>
    </w:p>
    <w:p w14:paraId="5BF08862" w14:textId="77777777" w:rsidR="00C95DE2" w:rsidRDefault="00C95DE2" w:rsidP="00CE4DBB">
      <w:pPr>
        <w:pStyle w:val="Heading2"/>
        <w:spacing w:before="0" w:after="0"/>
        <w:jc w:val="both"/>
        <w:rPr>
          <w:b w:val="0"/>
        </w:rPr>
      </w:pPr>
    </w:p>
    <w:p w14:paraId="6EFDA4E9" w14:textId="77777777" w:rsidR="00556E53" w:rsidRPr="00C46E12" w:rsidRDefault="00134591" w:rsidP="00CE4DBB">
      <w:pPr>
        <w:pStyle w:val="Heading2"/>
        <w:spacing w:before="0" w:after="0"/>
        <w:jc w:val="both"/>
        <w:rPr>
          <w:b w:val="0"/>
        </w:rPr>
      </w:pPr>
      <w:bookmarkStart w:id="112" w:name="_Toc51588814"/>
      <w:r w:rsidRPr="00C46E12">
        <w:rPr>
          <w:b w:val="0"/>
        </w:rPr>
        <w:t>6</w:t>
      </w:r>
      <w:r w:rsidR="000226A6" w:rsidRPr="00C46E12">
        <w:rPr>
          <w:b w:val="0"/>
        </w:rPr>
        <w:t>.1</w:t>
      </w:r>
      <w:r w:rsidR="00556E53" w:rsidRPr="00C46E12">
        <w:rPr>
          <w:b w:val="0"/>
        </w:rPr>
        <w:t xml:space="preserve"> Clinical assessment</w:t>
      </w:r>
      <w:bookmarkEnd w:id="112"/>
      <w:r w:rsidR="00556E53" w:rsidRPr="00C46E12">
        <w:rPr>
          <w:b w:val="0"/>
        </w:rPr>
        <w:t xml:space="preserve"> </w:t>
      </w:r>
    </w:p>
    <w:p w14:paraId="13AC68F9" w14:textId="2D634DC8" w:rsidR="000226A6" w:rsidRPr="00C46E12" w:rsidRDefault="00152813" w:rsidP="00C46E12">
      <w:pPr>
        <w:spacing w:after="240"/>
        <w:jc w:val="both"/>
        <w:rPr>
          <w:rFonts w:eastAsia="Calibri" w:cs="Arial"/>
          <w:szCs w:val="22"/>
        </w:rPr>
      </w:pPr>
      <w:r>
        <w:rPr>
          <w:rFonts w:eastAsia="Calibri" w:cs="Arial"/>
          <w:szCs w:val="22"/>
        </w:rPr>
        <w:t xml:space="preserve">The follow-up assessment data by the </w:t>
      </w:r>
      <w:r w:rsidR="008D28BF" w:rsidRPr="00C46E12">
        <w:rPr>
          <w:rFonts w:eastAsia="Calibri" w:cs="Arial"/>
          <w:szCs w:val="22"/>
        </w:rPr>
        <w:t>radiation oncologists and general practitioners</w:t>
      </w:r>
      <w:r>
        <w:rPr>
          <w:rFonts w:eastAsia="Calibri" w:cs="Arial"/>
          <w:szCs w:val="22"/>
        </w:rPr>
        <w:t xml:space="preserve"> will be entered into MOSAIQ</w:t>
      </w:r>
      <w:r w:rsidR="008D28BF" w:rsidRPr="00C46E12">
        <w:rPr>
          <w:rFonts w:eastAsia="Calibri" w:cs="Arial"/>
          <w:szCs w:val="22"/>
        </w:rPr>
        <w:t xml:space="preserve">. The </w:t>
      </w:r>
      <w:r>
        <w:rPr>
          <w:rFonts w:eastAsia="Calibri" w:cs="Arial"/>
          <w:szCs w:val="22"/>
        </w:rPr>
        <w:t>assessment</w:t>
      </w:r>
      <w:r w:rsidR="008D28BF" w:rsidRPr="00C46E12">
        <w:rPr>
          <w:rFonts w:eastAsia="Calibri" w:cs="Arial"/>
          <w:szCs w:val="22"/>
        </w:rPr>
        <w:t xml:space="preserve"> is based on standardised clinical assessments that are used for </w:t>
      </w:r>
      <w:r>
        <w:rPr>
          <w:rFonts w:eastAsia="Calibri" w:cs="Arial"/>
          <w:szCs w:val="22"/>
        </w:rPr>
        <w:t xml:space="preserve">the </w:t>
      </w:r>
      <w:r w:rsidR="008D28BF" w:rsidRPr="00C46E12">
        <w:rPr>
          <w:rFonts w:eastAsia="Calibri" w:cs="Arial"/>
          <w:szCs w:val="22"/>
        </w:rPr>
        <w:t xml:space="preserve">follow-up of cancer patients at the Illawarra Shoalhaven Local Health District (see </w:t>
      </w:r>
      <w:r>
        <w:rPr>
          <w:rFonts w:eastAsia="Calibri" w:cs="Arial"/>
          <w:szCs w:val="22"/>
        </w:rPr>
        <w:t>Attachment</w:t>
      </w:r>
      <w:r w:rsidRPr="00C46E12">
        <w:rPr>
          <w:rFonts w:eastAsia="Calibri" w:cs="Arial"/>
          <w:szCs w:val="22"/>
        </w:rPr>
        <w:t xml:space="preserve"> </w:t>
      </w:r>
      <w:r w:rsidR="007A3101">
        <w:rPr>
          <w:rFonts w:eastAsia="Calibri" w:cs="Arial"/>
          <w:szCs w:val="22"/>
        </w:rPr>
        <w:t>E</w:t>
      </w:r>
      <w:r w:rsidR="008D28BF" w:rsidRPr="00C46E12">
        <w:rPr>
          <w:rFonts w:eastAsia="Calibri" w:cs="Arial"/>
          <w:szCs w:val="22"/>
        </w:rPr>
        <w:t xml:space="preserve">). </w:t>
      </w:r>
      <w:r w:rsidR="000226A6" w:rsidRPr="00C46E12">
        <w:rPr>
          <w:rFonts w:eastAsia="Calibri" w:cs="Arial"/>
          <w:szCs w:val="22"/>
        </w:rPr>
        <w:t xml:space="preserve">The assessments will </w:t>
      </w:r>
      <w:r>
        <w:rPr>
          <w:rFonts w:eastAsia="Calibri" w:cs="Arial"/>
          <w:szCs w:val="22"/>
        </w:rPr>
        <w:t xml:space="preserve">first </w:t>
      </w:r>
      <w:r w:rsidR="000226A6" w:rsidRPr="00C46E12">
        <w:rPr>
          <w:rFonts w:eastAsia="Calibri" w:cs="Arial"/>
          <w:szCs w:val="22"/>
        </w:rPr>
        <w:t xml:space="preserve">be piloted with general practitioners for readability and usability. </w:t>
      </w:r>
    </w:p>
    <w:p w14:paraId="5843C257" w14:textId="24BCE12F" w:rsidR="008D28BF" w:rsidRPr="00C46E12" w:rsidRDefault="008D28BF" w:rsidP="00C46E12">
      <w:pPr>
        <w:spacing w:after="240"/>
        <w:jc w:val="both"/>
        <w:rPr>
          <w:rFonts w:eastAsia="Calibri" w:cs="Arial"/>
          <w:szCs w:val="22"/>
        </w:rPr>
      </w:pPr>
      <w:r w:rsidRPr="00C46E12">
        <w:rPr>
          <w:rFonts w:eastAsia="Calibri" w:cs="Arial"/>
          <w:szCs w:val="22"/>
        </w:rPr>
        <w:t xml:space="preserve">The assessments </w:t>
      </w:r>
      <w:r w:rsidR="00152813">
        <w:rPr>
          <w:rFonts w:eastAsia="Calibri" w:cs="Arial"/>
          <w:szCs w:val="22"/>
        </w:rPr>
        <w:t xml:space="preserve">ask the doctor to </w:t>
      </w:r>
      <w:r w:rsidRPr="00C46E12">
        <w:rPr>
          <w:rFonts w:eastAsia="Calibri" w:cs="Arial"/>
          <w:szCs w:val="22"/>
        </w:rPr>
        <w:t>review physical items on a scale of 0 to 4 specific to radiotherapy follow-up (pain, fatigue, physical performance, bowel issues,</w:t>
      </w:r>
      <w:r w:rsidR="00D9607C">
        <w:rPr>
          <w:rFonts w:eastAsia="Calibri" w:cs="Arial"/>
          <w:szCs w:val="22"/>
        </w:rPr>
        <w:t xml:space="preserve"> urinary issues and appetite).</w:t>
      </w:r>
    </w:p>
    <w:p w14:paraId="3A83720D" w14:textId="4E5F0E52" w:rsidR="00556E53" w:rsidRPr="00C46E12" w:rsidRDefault="008D28BF" w:rsidP="00C46E12">
      <w:pPr>
        <w:spacing w:after="240"/>
        <w:jc w:val="both"/>
        <w:rPr>
          <w:rFonts w:eastAsia="Calibri" w:cs="Arial"/>
          <w:szCs w:val="22"/>
        </w:rPr>
      </w:pPr>
      <w:r w:rsidRPr="00C46E12">
        <w:rPr>
          <w:rFonts w:eastAsia="Calibri" w:cs="Arial"/>
          <w:szCs w:val="22"/>
        </w:rPr>
        <w:t>These clinical assessments will be made available to general pr</w:t>
      </w:r>
      <w:r w:rsidR="00324B1E">
        <w:rPr>
          <w:rFonts w:eastAsia="Calibri" w:cs="Arial"/>
          <w:szCs w:val="22"/>
        </w:rPr>
        <w:t>actitioners via a website</w:t>
      </w:r>
      <w:r w:rsidR="00675F07">
        <w:rPr>
          <w:rFonts w:eastAsia="Calibri" w:cs="Arial"/>
          <w:szCs w:val="22"/>
        </w:rPr>
        <w:t xml:space="preserve"> link</w:t>
      </w:r>
      <w:r w:rsidR="00324B1E">
        <w:rPr>
          <w:rFonts w:eastAsia="Calibri" w:cs="Arial"/>
          <w:szCs w:val="22"/>
        </w:rPr>
        <w:t>. The software</w:t>
      </w:r>
      <w:r w:rsidRPr="00C46E12">
        <w:rPr>
          <w:rFonts w:eastAsia="Calibri" w:cs="Arial"/>
          <w:szCs w:val="22"/>
        </w:rPr>
        <w:t xml:space="preserve"> is PROsaiq, which has been deemed feasible in terms of usability from a previous study conducted locally called PROMPT (Patient Reported Outcome Measures for Personalised Treatment and Care). </w:t>
      </w:r>
      <w:r w:rsidR="00324B1E">
        <w:rPr>
          <w:rFonts w:eastAsia="Calibri" w:cs="Arial"/>
          <w:szCs w:val="22"/>
        </w:rPr>
        <w:t>This software</w:t>
      </w:r>
      <w:r w:rsidRPr="00C46E12">
        <w:rPr>
          <w:rFonts w:eastAsia="Calibri" w:cs="Arial"/>
          <w:szCs w:val="22"/>
        </w:rPr>
        <w:t xml:space="preserve"> satisfies ISLHD Information Technology requirements for security. </w:t>
      </w:r>
    </w:p>
    <w:p w14:paraId="5FBB2C85" w14:textId="77777777" w:rsidR="000226A6" w:rsidRPr="00C46E12" w:rsidRDefault="00134591" w:rsidP="00CE4DBB">
      <w:pPr>
        <w:pStyle w:val="Heading31"/>
        <w:spacing w:after="0"/>
        <w:ind w:left="0"/>
        <w:jc w:val="both"/>
        <w:rPr>
          <w:rFonts w:eastAsia="Calibri" w:cs="Arial"/>
        </w:rPr>
      </w:pPr>
      <w:bookmarkStart w:id="113" w:name="_Toc51588815"/>
      <w:r w:rsidRPr="00C46E12">
        <w:rPr>
          <w:rFonts w:eastAsia="Calibri" w:cs="Arial"/>
        </w:rPr>
        <w:t>6</w:t>
      </w:r>
      <w:r w:rsidR="000226A6" w:rsidRPr="00C46E12">
        <w:rPr>
          <w:rFonts w:eastAsia="Calibri" w:cs="Arial"/>
        </w:rPr>
        <w:t>.1.1 Data analyses</w:t>
      </w:r>
      <w:bookmarkEnd w:id="113"/>
    </w:p>
    <w:p w14:paraId="2AA7D551" w14:textId="0793AF8B" w:rsidR="000226A6" w:rsidRPr="00C46E12" w:rsidRDefault="000226A6" w:rsidP="00CE4DBB">
      <w:pPr>
        <w:jc w:val="both"/>
        <w:rPr>
          <w:rFonts w:cs="Arial"/>
        </w:rPr>
      </w:pPr>
      <w:r w:rsidRPr="00C46E12">
        <w:rPr>
          <w:rFonts w:cs="Arial"/>
        </w:rPr>
        <w:t xml:space="preserve">The data from the clinical assessments will be extracted from the oncology information system MOSAIQ. </w:t>
      </w:r>
      <w:r w:rsidR="0016364C">
        <w:rPr>
          <w:rFonts w:cs="Arial"/>
        </w:rPr>
        <w:t xml:space="preserve">The data will be matched using the patient’s medical record number, and then replaced with the unique ID. </w:t>
      </w:r>
      <w:r w:rsidRPr="00C46E12">
        <w:rPr>
          <w:rFonts w:cs="Arial"/>
        </w:rPr>
        <w:t>As multiple raters are involved, Cohen’s Kappa will determine the level of agreement for each item between general practitioners and radiation oncologists. The agreement looks at the concordance between two measurements of one variable, whereas correlation refers to the presence of a relationship between two different variables</w:t>
      </w:r>
      <w:r w:rsidR="00F75ECE">
        <w:rPr>
          <w:rFonts w:cs="Arial"/>
        </w:rPr>
        <w:t xml:space="preserve"> </w:t>
      </w:r>
      <w:r w:rsidRPr="00C46E12">
        <w:rPr>
          <w:rFonts w:cs="Arial"/>
        </w:rPr>
        <w:fldChar w:fldCharType="begin"/>
      </w:r>
      <w:r w:rsidR="003513CC">
        <w:rPr>
          <w:rFonts w:cs="Arial"/>
        </w:rPr>
        <w:instrText xml:space="preserve"> ADDIN ZOTERO_ITEM CSL_CITATION {"citationID":"HwktHZ3p","properties":{"formattedCitation":"\\super 28\\nosupersub{}","plainCitation":"28","noteIndex":0},"citationItems":[{"id":752,"uris":["http://zotero.org/users/5346176/items/H89MLNSS"],"uri":["http://zotero.org/users/5346176/items/H89MLNSS"],"itemData":{"id":752,"type":"article-journal","title":"Common pitfalls in statistical analysis: Measures of agreement","container-title":"Perspectives in Clinical Research","page":"187-191","volume":"8","issue":"4","source":"PubMed Central","abstract":"Agreement between measurements refers to the degree of concordance between two (or more) sets of measurements. Statistical methods to test agreement are used to assess inter-rater variability or to decide whether one technique for measuring a variable can substitute another. In this article, we look at statistical measures of agreement for different types of data and discuss the differences between these and those for assessing correlation.","DOI":"10.4103/picr.PICR_123_17","ISSN":"2229-3485","note":"PMID: 29109937\nPMCID: PMC5654219","title-short":"Common pitfalls in statistical analysis","journalAbbreviation":"Perspect Clin Res","author":[{"family":"Ranganathan","given":"Priya"},{"family":"Pramesh","given":"C. S."},{"family":"Aggarwal","given":"Rakesh"}],"issued":{"date-parts":[["2017"]]}}}],"schema":"https://github.com/citation-style-language/schema/raw/master/csl-citation.json"} </w:instrText>
      </w:r>
      <w:r w:rsidRPr="00C46E12">
        <w:rPr>
          <w:rFonts w:cs="Arial"/>
        </w:rPr>
        <w:fldChar w:fldCharType="separate"/>
      </w:r>
      <w:r w:rsidR="00B03D42" w:rsidRPr="00C46E12">
        <w:rPr>
          <w:rFonts w:cs="Arial"/>
          <w:vertAlign w:val="superscript"/>
        </w:rPr>
        <w:t>28</w:t>
      </w:r>
      <w:r w:rsidRPr="00C46E12">
        <w:rPr>
          <w:rFonts w:cs="Arial"/>
        </w:rPr>
        <w:fldChar w:fldCharType="end"/>
      </w:r>
      <w:r w:rsidRPr="00C46E12">
        <w:rPr>
          <w:rFonts w:cs="Arial"/>
        </w:rPr>
        <w:t>. Percent agreement will also be used; the intention is to achieve near-perfect agreement on each item (&gt;0.81). The results of the analysis will be presented to the general practitioners and radiation oncologists and will guide any additional education and training needed</w:t>
      </w:r>
      <w:r w:rsidR="00A55330">
        <w:rPr>
          <w:rFonts w:cs="Arial"/>
        </w:rPr>
        <w:t xml:space="preserve"> prior to the GPs performing the assessment on any patient</w:t>
      </w:r>
      <w:r w:rsidRPr="00C46E12">
        <w:rPr>
          <w:rFonts w:cs="Arial"/>
        </w:rPr>
        <w:t xml:space="preserve">.  </w:t>
      </w:r>
    </w:p>
    <w:p w14:paraId="03AF4697" w14:textId="77777777" w:rsidR="00556E53" w:rsidRPr="00C46E12" w:rsidRDefault="00134591" w:rsidP="00CE4DBB">
      <w:pPr>
        <w:pStyle w:val="Heading2"/>
        <w:spacing w:after="0"/>
        <w:jc w:val="both"/>
        <w:rPr>
          <w:b w:val="0"/>
        </w:rPr>
      </w:pPr>
      <w:bookmarkStart w:id="114" w:name="_Toc51588816"/>
      <w:r w:rsidRPr="00C46E12">
        <w:rPr>
          <w:b w:val="0"/>
        </w:rPr>
        <w:t>6</w:t>
      </w:r>
      <w:r w:rsidR="000226A6" w:rsidRPr="00C46E12">
        <w:rPr>
          <w:b w:val="0"/>
        </w:rPr>
        <w:t>.2</w:t>
      </w:r>
      <w:r w:rsidR="00556E53" w:rsidRPr="00C46E12">
        <w:rPr>
          <w:b w:val="0"/>
        </w:rPr>
        <w:t xml:space="preserve"> Semi-structured interviews</w:t>
      </w:r>
      <w:bookmarkEnd w:id="114"/>
    </w:p>
    <w:p w14:paraId="7633D13D" w14:textId="7A6AB054" w:rsidR="00556E53" w:rsidRPr="00C46E12" w:rsidRDefault="008D28BF" w:rsidP="00CE4DBB">
      <w:pPr>
        <w:jc w:val="both"/>
        <w:rPr>
          <w:rFonts w:cs="Arial"/>
        </w:rPr>
      </w:pPr>
      <w:r w:rsidRPr="00C46E12">
        <w:rPr>
          <w:rFonts w:cs="Arial"/>
        </w:rPr>
        <w:t>The research</w:t>
      </w:r>
      <w:r w:rsidR="00A55330">
        <w:rPr>
          <w:rFonts w:cs="Arial"/>
        </w:rPr>
        <w:t xml:space="preserve"> student</w:t>
      </w:r>
      <w:r w:rsidRPr="00C46E12">
        <w:rPr>
          <w:rFonts w:cs="Arial"/>
        </w:rPr>
        <w:t xml:space="preserve"> will conduct the interviews pre- and post-implementation with the 20 triads, using a topic guide (</w:t>
      </w:r>
      <w:r w:rsidR="009606D7">
        <w:rPr>
          <w:rFonts w:cs="Arial"/>
        </w:rPr>
        <w:t xml:space="preserve">see </w:t>
      </w:r>
      <w:r w:rsidR="00A55330">
        <w:rPr>
          <w:rFonts w:eastAsia="Calibri" w:cs="Arial"/>
          <w:szCs w:val="22"/>
        </w:rPr>
        <w:t>Attachment</w:t>
      </w:r>
      <w:r w:rsidR="00A55330" w:rsidRPr="00C46E12">
        <w:rPr>
          <w:rFonts w:cs="Arial"/>
        </w:rPr>
        <w:t xml:space="preserve"> </w:t>
      </w:r>
      <w:r w:rsidR="007A3101">
        <w:rPr>
          <w:rFonts w:cs="Arial"/>
        </w:rPr>
        <w:t>F</w:t>
      </w:r>
      <w:r w:rsidRPr="00C46E12">
        <w:rPr>
          <w:rFonts w:cs="Arial"/>
        </w:rPr>
        <w:t xml:space="preserve">). </w:t>
      </w:r>
      <w:r w:rsidRPr="00C46E12">
        <w:rPr>
          <w:rFonts w:eastAsia="Calibri" w:cs="Arial"/>
        </w:rPr>
        <w:t xml:space="preserve">Interviews will be audio-recorded </w:t>
      </w:r>
      <w:r w:rsidR="00D25F7E">
        <w:rPr>
          <w:rFonts w:eastAsia="Calibri" w:cs="Arial"/>
        </w:rPr>
        <w:t xml:space="preserve">using a digital dictaphone </w:t>
      </w:r>
      <w:r w:rsidRPr="00C46E12">
        <w:rPr>
          <w:rFonts w:eastAsia="Calibri" w:cs="Arial"/>
        </w:rPr>
        <w:t xml:space="preserve">and transcribed verbatim. </w:t>
      </w:r>
      <w:r w:rsidRPr="00C46E12">
        <w:rPr>
          <w:rFonts w:cs="Arial"/>
        </w:rPr>
        <w:t>The interviews will be conducted at an agreeable and accessible location, either</w:t>
      </w:r>
      <w:r w:rsidR="00324B1E">
        <w:rPr>
          <w:rFonts w:cs="Arial"/>
        </w:rPr>
        <w:t xml:space="preserve"> via Skype, phone or</w:t>
      </w:r>
      <w:r w:rsidRPr="00C46E12">
        <w:rPr>
          <w:rFonts w:cs="Arial"/>
        </w:rPr>
        <w:t xml:space="preserve"> at the participants’ home or radiation oncology clinic</w:t>
      </w:r>
      <w:r w:rsidR="00A55330">
        <w:rPr>
          <w:rFonts w:cs="Arial"/>
        </w:rPr>
        <w:t>, according to the partic</w:t>
      </w:r>
      <w:r w:rsidR="00D9607C">
        <w:rPr>
          <w:rFonts w:cs="Arial"/>
        </w:rPr>
        <w:t>i</w:t>
      </w:r>
      <w:r w:rsidR="00A55330">
        <w:rPr>
          <w:rFonts w:cs="Arial"/>
        </w:rPr>
        <w:t>pants’ preference</w:t>
      </w:r>
      <w:r w:rsidRPr="00C46E12">
        <w:rPr>
          <w:rFonts w:cs="Arial"/>
        </w:rPr>
        <w:t xml:space="preserve">. </w:t>
      </w:r>
    </w:p>
    <w:p w14:paraId="3CEF0ED1" w14:textId="77777777" w:rsidR="000226A6" w:rsidRPr="00C46E12" w:rsidRDefault="00134591" w:rsidP="00CE4DBB">
      <w:pPr>
        <w:pStyle w:val="Heading31"/>
        <w:spacing w:after="0"/>
        <w:ind w:left="0"/>
        <w:jc w:val="both"/>
        <w:rPr>
          <w:rFonts w:cs="Arial"/>
        </w:rPr>
      </w:pPr>
      <w:bookmarkStart w:id="115" w:name="_Toc51588817"/>
      <w:r w:rsidRPr="00C46E12">
        <w:rPr>
          <w:rFonts w:cs="Arial"/>
        </w:rPr>
        <w:t>6</w:t>
      </w:r>
      <w:r w:rsidR="000226A6" w:rsidRPr="00C46E12">
        <w:rPr>
          <w:rFonts w:cs="Arial"/>
        </w:rPr>
        <w:t xml:space="preserve">.2.1 </w:t>
      </w:r>
      <w:r w:rsidR="00A24196" w:rsidRPr="00C46E12">
        <w:rPr>
          <w:rFonts w:cs="Arial"/>
        </w:rPr>
        <w:t>Data</w:t>
      </w:r>
      <w:r w:rsidR="00461CEC" w:rsidRPr="00C46E12">
        <w:rPr>
          <w:rFonts w:cs="Arial"/>
        </w:rPr>
        <w:t xml:space="preserve"> analyses</w:t>
      </w:r>
      <w:bookmarkEnd w:id="115"/>
    </w:p>
    <w:p w14:paraId="3A1832EE" w14:textId="0EBE1E37" w:rsidR="00461CEC" w:rsidRDefault="00A24196" w:rsidP="00CE4DBB">
      <w:pPr>
        <w:jc w:val="both"/>
        <w:rPr>
          <w:rFonts w:cs="Arial"/>
          <w:szCs w:val="22"/>
        </w:rPr>
      </w:pPr>
      <w:r w:rsidRPr="00C46E12">
        <w:rPr>
          <w:rFonts w:cs="Arial"/>
          <w:szCs w:val="22"/>
        </w:rPr>
        <w:t>A commonly used analytic</w:t>
      </w:r>
      <w:r w:rsidR="00A124B5">
        <w:rPr>
          <w:rFonts w:cs="Arial"/>
          <w:szCs w:val="22"/>
        </w:rPr>
        <w:t>al</w:t>
      </w:r>
      <w:r w:rsidRPr="00C46E12">
        <w:rPr>
          <w:rFonts w:cs="Arial"/>
          <w:szCs w:val="22"/>
        </w:rPr>
        <w:t xml:space="preserve"> approach to qualitative data in implementation studies</w:t>
      </w:r>
      <w:r w:rsidR="00C46E12" w:rsidRPr="00C46E12">
        <w:rPr>
          <w:rFonts w:cs="Arial"/>
          <w:szCs w:val="22"/>
        </w:rPr>
        <w:t xml:space="preserve"> is thematic analysis</w:t>
      </w:r>
      <w:r w:rsidR="00F75ECE">
        <w:rPr>
          <w:rFonts w:cs="Arial"/>
          <w:szCs w:val="22"/>
        </w:rPr>
        <w:t xml:space="preserve"> </w:t>
      </w:r>
      <w:r w:rsidR="00B457AC">
        <w:rPr>
          <w:rFonts w:cs="Arial"/>
          <w:szCs w:val="22"/>
        </w:rPr>
        <w:fldChar w:fldCharType="begin"/>
      </w:r>
      <w:r w:rsidR="00B457AC">
        <w:rPr>
          <w:rFonts w:cs="Arial"/>
          <w:szCs w:val="22"/>
        </w:rPr>
        <w:instrText xml:space="preserve"> ADDIN ZOTERO_ITEM CSL_CITATION {"citationID":"6mpcrfbt","properties":{"formattedCitation":"\\super 29\\nosupersub{}","plainCitation":"29","noteIndex":0},"citationItems":[{"id":747,"uris":["http://zotero.org/users/5346176/items/KBAN5PZI"],"uri":["http://zotero.org/users/5346176/items/KBAN5PZI"],"itemData":{"id":747,"type":"article-journal","title":"Thematic Analysis: Striving to Meet the Trustworthiness Criteria","container-title":"International Journal of Qualitative Methods","page":"160940691773384","volume":"16","issue":"1","source":"DOI.org (Crossref)","abstract":"As qualitative research becomes increasingly recognized and valued, it is imperative that it is conducted in a rigorous and methodical manner to yield meaningful and useful results. To be accepted as trustworthy, qualitative researchers must demonstrate that data analysis has been conducted in a precise, consistent, and exhaustive manner through recording, systematizing, and disclosing the methods of analysis with enough detail to enable the reader to determine whether the process is credible. Although there are numerous examples of how to conduct qualitative research, few sophisticated tools are available to researchers for conducting a rigorous and relevant thematic analysis. The purpose of this article is to guide researchers using thematic analysis as a research method. We offer personal insights and practical examples, while exploring issues of rigor and trustworthiness. The process of conducting a thematic analysis is illustrated through the presentation of an auditable decision trail, guiding interpreting and representing textual data. We detail our step-by-step approach to exploring the effectiveness of strategic clinical networks in Alberta, Canada, in our mixed methods case study. This article contributes a purposeful approach to thematic analysis in order to systematize and increase the traceability and verification of the analysis.","DOI":"10.1177/1609406917733847","ISSN":"1609-4069, 1609-4069","title-short":"Thematic Analysis","journalAbbreviation":"International Journal of Qualitative Methods","language":"en","author":[{"family":"Nowell","given":"Lorelli S."},{"family":"Norris","given":"Jill M."},{"family":"White","given":"Deborah E."},{"family":"Moules","given":"Nancy J."}],"issued":{"date-parts":[["2017",12]]}}}],"schema":"https://github.com/citation-style-language/schema/raw/master/csl-citation.json"} </w:instrText>
      </w:r>
      <w:r w:rsidR="00B457AC">
        <w:rPr>
          <w:rFonts w:cs="Arial"/>
          <w:szCs w:val="22"/>
        </w:rPr>
        <w:fldChar w:fldCharType="separate"/>
      </w:r>
      <w:r w:rsidR="00B457AC" w:rsidRPr="00B457AC">
        <w:rPr>
          <w:rFonts w:cs="Arial"/>
          <w:vertAlign w:val="superscript"/>
        </w:rPr>
        <w:t>29</w:t>
      </w:r>
      <w:r w:rsidR="00B457AC">
        <w:rPr>
          <w:rFonts w:cs="Arial"/>
          <w:szCs w:val="22"/>
        </w:rPr>
        <w:fldChar w:fldCharType="end"/>
      </w:r>
      <w:r w:rsidRPr="00C46E12">
        <w:rPr>
          <w:rFonts w:cs="Arial"/>
          <w:szCs w:val="22"/>
        </w:rPr>
        <w:t xml:space="preserve">. The thematic analysis technique will be </w:t>
      </w:r>
      <w:r w:rsidR="00556E53" w:rsidRPr="00C46E12">
        <w:rPr>
          <w:rFonts w:cs="Arial"/>
          <w:szCs w:val="22"/>
        </w:rPr>
        <w:t>primari</w:t>
      </w:r>
      <w:r w:rsidRPr="00C46E12">
        <w:rPr>
          <w:rFonts w:cs="Arial"/>
          <w:szCs w:val="22"/>
        </w:rPr>
        <w:t>ly deductive by applying a framework (the Normalisation Process Theory</w:t>
      </w:r>
      <w:r w:rsidR="00F75ECE">
        <w:rPr>
          <w:rFonts w:cs="Arial"/>
          <w:szCs w:val="22"/>
        </w:rPr>
        <w:t xml:space="preserve"> </w:t>
      </w:r>
      <w:r w:rsidR="00B457AC">
        <w:rPr>
          <w:rFonts w:cs="Arial"/>
          <w:szCs w:val="22"/>
        </w:rPr>
        <w:fldChar w:fldCharType="begin"/>
      </w:r>
      <w:r w:rsidR="00B457AC">
        <w:rPr>
          <w:rFonts w:cs="Arial"/>
          <w:szCs w:val="22"/>
        </w:rPr>
        <w:instrText xml:space="preserve"> ADDIN ZOTERO_ITEM CSL_CITATION {"citationID":"QDr4sJj0","properties":{"formattedCitation":"\\super 30\\nosupersub{}","plainCitation":"30","noteIndex":0},"citationItems":[{"id":40,"uris":["http://zotero.org/users/5346176/items/5MUYLXV4"],"uri":["http://zotero.org/users/5346176/items/5MUYLXV4"],"itemData":{"id":40,"type":"article-journal","title":"Normalisation process theory: a framework for developing, evaluating and implementing complex interventions","container-title":"BMC Medicine","volume":"8","issue":"1","source":"Crossref","abstract":"Background: The past decade has seen considerable interest in the development and evaluation of complex interventions to improve health. Such interventions can only have a significant impact on health and health care if they are shown to be effective when tested, are capable of being widely implemented and can be normalised into routine practice. To date, there is still a problematic gap between research and implementation. The Normalisation Process Theory (NPT) addresses the factors needed for successful implementation and integration of interventions into routine work (normalisation). Discussion: In this paper, we suggest that the NPT can act as a sensitising tool, enabling researchers to think through issues of implementation while designing a complex intervention and its evaluation. The need to ensure trial procedures that are feasible and compatible with clinical practice is not limited to trials of complex interventions, and NPT may improve trial design by highlighting potential problems with recruitment or data collection, as well as ensuring the intervention has good implementation potential. Summary: The NPT is a new theory which offers trialists a consistent framework that can be used to describe, assess and enhance implementation potential. We encourage trialists to consider using it in their next trial.","URL":"http://bmcmedicine.biomedcentral.com/articles/10.1186/1741-7015-8-63","DOI":"10.1186/1741-7015-8-63","ISSN":"1741-7015","title-short":"Normalisation process theory","language":"en","author":[{"family":"Murray","given":"Elizabeth"},{"family":"Treweek","given":"Shaun"},{"family":"Pope","given":"Catherine"},{"family":"MacFarlane","given":"Anne"},{"family":"Ballini","given":"Luciana"},{"family":"Dowrick","given":"Christopher"},{"family":"Finch","given":"Tracy"},{"family":"Kennedy","given":"Anne"},{"family":"Mair","given":"Frances"},{"family":"O'Donnell","given":"Catherine"},{"family":"Ong","given":"Bie Nio"},{"family":"Rapley","given":"Tim"},{"family":"Rogers","given":"Anne"},{"family":"May","given":"Carl"}],"issued":{"date-parts":[["2010",12]]},"accessed":{"date-parts":[["2018",11,24]]}}}],"schema":"https://github.com/citation-style-language/schema/raw/master/csl-citation.json"} </w:instrText>
      </w:r>
      <w:r w:rsidR="00B457AC">
        <w:rPr>
          <w:rFonts w:cs="Arial"/>
          <w:szCs w:val="22"/>
        </w:rPr>
        <w:fldChar w:fldCharType="separate"/>
      </w:r>
      <w:r w:rsidR="00B457AC" w:rsidRPr="00B457AC">
        <w:rPr>
          <w:rFonts w:cs="Arial"/>
          <w:vertAlign w:val="superscript"/>
        </w:rPr>
        <w:t>30</w:t>
      </w:r>
      <w:r w:rsidR="00B457AC">
        <w:rPr>
          <w:rFonts w:cs="Arial"/>
          <w:szCs w:val="22"/>
        </w:rPr>
        <w:fldChar w:fldCharType="end"/>
      </w:r>
      <w:r w:rsidRPr="00C46E12">
        <w:rPr>
          <w:rFonts w:cs="Arial"/>
          <w:szCs w:val="22"/>
        </w:rPr>
        <w:t xml:space="preserve">). This involves mapping the </w:t>
      </w:r>
      <w:r w:rsidR="007237BF" w:rsidRPr="00C46E12">
        <w:rPr>
          <w:rFonts w:cs="Arial"/>
          <w:szCs w:val="22"/>
        </w:rPr>
        <w:t xml:space="preserve">transcribed </w:t>
      </w:r>
      <w:r w:rsidRPr="00C46E12">
        <w:rPr>
          <w:rFonts w:cs="Arial"/>
          <w:szCs w:val="22"/>
        </w:rPr>
        <w:t>data and emergent themes onto</w:t>
      </w:r>
      <w:r w:rsidR="00A124B5">
        <w:rPr>
          <w:rFonts w:cs="Arial"/>
          <w:szCs w:val="22"/>
        </w:rPr>
        <w:t xml:space="preserve"> a</w:t>
      </w:r>
      <w:r w:rsidRPr="00C46E12">
        <w:rPr>
          <w:rFonts w:cs="Arial"/>
          <w:szCs w:val="22"/>
        </w:rPr>
        <w:t xml:space="preserve"> priori domains (coherence, cognitive participation, collective ac</w:t>
      </w:r>
      <w:r w:rsidR="00D33645" w:rsidRPr="00C46E12">
        <w:rPr>
          <w:rFonts w:cs="Arial"/>
          <w:szCs w:val="22"/>
        </w:rPr>
        <w:t xml:space="preserve">tion and reflexive monitoring). The themes will </w:t>
      </w:r>
      <w:r w:rsidR="00D450F4">
        <w:rPr>
          <w:rFonts w:cs="Arial"/>
          <w:szCs w:val="22"/>
        </w:rPr>
        <w:t xml:space="preserve">be </w:t>
      </w:r>
      <w:r w:rsidR="00D33645" w:rsidRPr="00C46E12">
        <w:rPr>
          <w:rFonts w:cs="Arial"/>
          <w:szCs w:val="22"/>
        </w:rPr>
        <w:t xml:space="preserve">compared across the two sites (Wollongong and Nowra) and </w:t>
      </w:r>
      <w:r w:rsidR="000226A6" w:rsidRPr="00C46E12">
        <w:rPr>
          <w:rFonts w:cs="Arial"/>
          <w:szCs w:val="22"/>
        </w:rPr>
        <w:t xml:space="preserve">triangulated </w:t>
      </w:r>
      <w:r w:rsidR="00D33645" w:rsidRPr="00C46E12">
        <w:rPr>
          <w:rFonts w:cs="Arial"/>
          <w:szCs w:val="22"/>
        </w:rPr>
        <w:t>(</w:t>
      </w:r>
      <w:r w:rsidR="000226A6" w:rsidRPr="00C46E12">
        <w:rPr>
          <w:rFonts w:cs="Arial"/>
          <w:szCs w:val="22"/>
        </w:rPr>
        <w:t xml:space="preserve">between </w:t>
      </w:r>
      <w:r w:rsidR="00D33645" w:rsidRPr="00C46E12">
        <w:rPr>
          <w:rFonts w:cs="Arial"/>
          <w:szCs w:val="22"/>
        </w:rPr>
        <w:t xml:space="preserve">radiation oncologists, patients and general practitioners). </w:t>
      </w:r>
    </w:p>
    <w:p w14:paraId="30C10C7F" w14:textId="77777777" w:rsidR="00583D03" w:rsidRDefault="00583D03" w:rsidP="00CE4DBB">
      <w:pPr>
        <w:jc w:val="both"/>
        <w:rPr>
          <w:rFonts w:cs="Arial"/>
          <w:szCs w:val="22"/>
        </w:rPr>
      </w:pPr>
    </w:p>
    <w:p w14:paraId="79093176" w14:textId="0537022C" w:rsidR="00583D03" w:rsidRPr="00583D03" w:rsidRDefault="00583D03" w:rsidP="00CE4DBB">
      <w:pPr>
        <w:jc w:val="both"/>
        <w:rPr>
          <w:rFonts w:cs="Arial"/>
          <w:sz w:val="24"/>
          <w:szCs w:val="22"/>
        </w:rPr>
      </w:pPr>
      <w:r w:rsidRPr="00583D03">
        <w:rPr>
          <w:rFonts w:cs="Arial"/>
          <w:szCs w:val="20"/>
        </w:rPr>
        <w:t>HS and TS will code the first 10% of the transcripts (1 radiation oncologist, 1 general practitioner and 3 patients). Cohens Kappa will determine inter-rater reliability with a goal of 0.81-1 (near perfect agreement).</w:t>
      </w:r>
      <w:r>
        <w:rPr>
          <w:rFonts w:cs="Arial"/>
          <w:szCs w:val="20"/>
        </w:rPr>
        <w:t xml:space="preserve"> </w:t>
      </w:r>
      <w:r w:rsidRPr="00583D03">
        <w:rPr>
          <w:rFonts w:cs="Arial"/>
          <w:szCs w:val="20"/>
        </w:rPr>
        <w:t>HS and TS will review and discuss any discrepancies and achieve near perfect agreement before TS continues with the remaining transcripts.</w:t>
      </w:r>
    </w:p>
    <w:p w14:paraId="438D9C48" w14:textId="77777777" w:rsidR="00924D8E" w:rsidRPr="00924D8E" w:rsidRDefault="00924D8E" w:rsidP="00CE4DBB">
      <w:pPr>
        <w:pStyle w:val="Heading2"/>
        <w:spacing w:after="0"/>
        <w:rPr>
          <w:b w:val="0"/>
        </w:rPr>
      </w:pPr>
      <w:bookmarkStart w:id="116" w:name="_Toc5734790"/>
      <w:bookmarkStart w:id="117" w:name="_Toc5734901"/>
      <w:bookmarkStart w:id="118" w:name="_Toc5735026"/>
      <w:bookmarkStart w:id="119" w:name="_Toc51588818"/>
      <w:r w:rsidRPr="00924D8E">
        <w:rPr>
          <w:b w:val="0"/>
        </w:rPr>
        <w:t xml:space="preserve">6.3 Data </w:t>
      </w:r>
      <w:r>
        <w:rPr>
          <w:b w:val="0"/>
        </w:rPr>
        <w:t>dissemination</w:t>
      </w:r>
      <w:bookmarkEnd w:id="119"/>
      <w:r>
        <w:rPr>
          <w:b w:val="0"/>
        </w:rPr>
        <w:t xml:space="preserve"> </w:t>
      </w:r>
    </w:p>
    <w:p w14:paraId="6441F11B" w14:textId="2553A1DE" w:rsidR="00C12770" w:rsidRPr="00C2630E" w:rsidRDefault="00924D8E" w:rsidP="00C2630E">
      <w:pPr>
        <w:jc w:val="both"/>
      </w:pPr>
      <w:r w:rsidRPr="00DC5160">
        <w:rPr>
          <w:bCs/>
          <w:iCs/>
        </w:rPr>
        <w:t xml:space="preserve">The data collected in the proposed research is for use in </w:t>
      </w:r>
      <w:r>
        <w:rPr>
          <w:bCs/>
          <w:iCs/>
        </w:rPr>
        <w:t>Tiffany Sandell’s doctoral</w:t>
      </w:r>
      <w:r w:rsidRPr="00DC5160">
        <w:rPr>
          <w:bCs/>
          <w:iCs/>
        </w:rPr>
        <w:t xml:space="preserve"> </w:t>
      </w:r>
      <w:r>
        <w:rPr>
          <w:bCs/>
          <w:iCs/>
        </w:rPr>
        <w:t>thesis</w:t>
      </w:r>
      <w:r w:rsidRPr="00DC5160">
        <w:rPr>
          <w:bCs/>
          <w:iCs/>
        </w:rPr>
        <w:t xml:space="preserve">. The findings from the survey may be presented in peer-reviewed journals or academic conferences. The potential uses of information gathered during the project will be stated </w:t>
      </w:r>
      <w:r w:rsidR="00621BD0">
        <w:rPr>
          <w:bCs/>
          <w:iCs/>
        </w:rPr>
        <w:t>i</w:t>
      </w:r>
      <w:r w:rsidRPr="00DC5160">
        <w:rPr>
          <w:bCs/>
          <w:iCs/>
        </w:rPr>
        <w:t>n the consent form.</w:t>
      </w:r>
    </w:p>
    <w:p w14:paraId="6E42C7B9" w14:textId="77777777" w:rsidR="00E93591" w:rsidRPr="00C46E12" w:rsidRDefault="00134591" w:rsidP="00CE4DBB">
      <w:pPr>
        <w:pStyle w:val="Heading1"/>
        <w:spacing w:after="0"/>
        <w:jc w:val="both"/>
        <w:rPr>
          <w:rFonts w:cs="Arial"/>
        </w:rPr>
      </w:pPr>
      <w:bookmarkStart w:id="120" w:name="_Toc51588819"/>
      <w:r w:rsidRPr="00C46E12">
        <w:rPr>
          <w:rFonts w:cs="Arial"/>
        </w:rPr>
        <w:t xml:space="preserve">7 </w:t>
      </w:r>
      <w:r w:rsidR="00BE38B8" w:rsidRPr="00C46E12">
        <w:rPr>
          <w:rFonts w:cs="Arial"/>
        </w:rPr>
        <w:t>Ethical consideration</w:t>
      </w:r>
      <w:bookmarkStart w:id="121" w:name="_Toc229297243"/>
      <w:bookmarkStart w:id="122" w:name="_Toc229297350"/>
      <w:bookmarkEnd w:id="116"/>
      <w:bookmarkEnd w:id="117"/>
      <w:bookmarkEnd w:id="118"/>
      <w:r w:rsidRPr="00C46E12">
        <w:rPr>
          <w:rFonts w:cs="Arial"/>
        </w:rPr>
        <w:t>s</w:t>
      </w:r>
      <w:bookmarkEnd w:id="120"/>
    </w:p>
    <w:p w14:paraId="12F4E997" w14:textId="77777777" w:rsidR="006F680A" w:rsidRPr="00C46E12" w:rsidRDefault="00134591" w:rsidP="00CE4DBB">
      <w:pPr>
        <w:pStyle w:val="Heading2"/>
        <w:spacing w:before="0" w:after="0"/>
        <w:jc w:val="both"/>
        <w:rPr>
          <w:b w:val="0"/>
        </w:rPr>
      </w:pPr>
      <w:bookmarkStart w:id="123" w:name="_Toc229307342"/>
      <w:bookmarkStart w:id="124" w:name="_Toc229308162"/>
      <w:bookmarkStart w:id="125" w:name="_Toc235338636"/>
      <w:bookmarkStart w:id="126" w:name="_Toc236472639"/>
      <w:bookmarkStart w:id="127" w:name="_Toc236473759"/>
      <w:bookmarkStart w:id="128" w:name="_Toc5734794"/>
      <w:bookmarkStart w:id="129" w:name="_Toc5734905"/>
      <w:bookmarkStart w:id="130" w:name="_Toc5735030"/>
      <w:bookmarkStart w:id="131" w:name="_Toc229298374"/>
      <w:bookmarkStart w:id="132" w:name="_Toc51588820"/>
      <w:r w:rsidRPr="00C46E12">
        <w:rPr>
          <w:b w:val="0"/>
        </w:rPr>
        <w:t>7.1</w:t>
      </w:r>
      <w:r w:rsidR="006F680A" w:rsidRPr="00C46E12">
        <w:rPr>
          <w:b w:val="0"/>
        </w:rPr>
        <w:t xml:space="preserve"> Informed consent</w:t>
      </w:r>
      <w:bookmarkEnd w:id="123"/>
      <w:bookmarkEnd w:id="124"/>
      <w:bookmarkEnd w:id="125"/>
      <w:bookmarkEnd w:id="126"/>
      <w:bookmarkEnd w:id="127"/>
      <w:bookmarkEnd w:id="128"/>
      <w:bookmarkEnd w:id="129"/>
      <w:bookmarkEnd w:id="130"/>
      <w:bookmarkEnd w:id="132"/>
      <w:r w:rsidR="006F680A" w:rsidRPr="00C46E12">
        <w:rPr>
          <w:b w:val="0"/>
        </w:rPr>
        <w:t xml:space="preserve"> </w:t>
      </w:r>
      <w:bookmarkEnd w:id="121"/>
      <w:bookmarkEnd w:id="122"/>
      <w:bookmarkEnd w:id="131"/>
    </w:p>
    <w:p w14:paraId="58B1F030" w14:textId="77777777" w:rsidR="00924D8E" w:rsidRDefault="000226A6" w:rsidP="00C46E12">
      <w:pPr>
        <w:spacing w:after="200"/>
        <w:contextualSpacing/>
        <w:jc w:val="both"/>
        <w:rPr>
          <w:rFonts w:eastAsia="Calibri" w:cs="Arial"/>
          <w:szCs w:val="22"/>
        </w:rPr>
      </w:pPr>
      <w:bookmarkStart w:id="133" w:name="_Toc5734795"/>
      <w:bookmarkStart w:id="134" w:name="_Toc5734906"/>
      <w:bookmarkStart w:id="135" w:name="_Toc5735031"/>
      <w:r w:rsidRPr="00C46E12">
        <w:rPr>
          <w:rFonts w:eastAsia="Calibri" w:cs="Arial"/>
          <w:szCs w:val="22"/>
        </w:rPr>
        <w:t xml:space="preserve">All participants will be provided </w:t>
      </w:r>
      <w:r w:rsidR="00621BD0">
        <w:rPr>
          <w:rFonts w:eastAsia="Calibri" w:cs="Arial"/>
          <w:szCs w:val="22"/>
        </w:rPr>
        <w:t xml:space="preserve">with </w:t>
      </w:r>
      <w:r w:rsidRPr="00C46E12">
        <w:rPr>
          <w:rFonts w:eastAsia="Calibri" w:cs="Arial"/>
          <w:szCs w:val="22"/>
        </w:rPr>
        <w:t xml:space="preserve">the opportunity to read the Participant Information Sheet informing them of the purpose of the study, risks and benefits, and ask any questions before giving informed written consent. All participants will be informed that they have a right to refuse to participate in the study and can withdraw at any time without prejudice and that a decision to withdraw will not affect the care they receive from their general practitioner and radiation oncologist, or their relationship with the University of Wollongong. </w:t>
      </w:r>
    </w:p>
    <w:p w14:paraId="3D585354" w14:textId="77777777" w:rsidR="00924D8E" w:rsidRDefault="00924D8E" w:rsidP="00C46E12">
      <w:pPr>
        <w:spacing w:after="200"/>
        <w:contextualSpacing/>
        <w:jc w:val="both"/>
        <w:rPr>
          <w:rFonts w:eastAsia="Calibri" w:cs="Arial"/>
          <w:szCs w:val="22"/>
        </w:rPr>
      </w:pPr>
    </w:p>
    <w:p w14:paraId="00819AF5" w14:textId="2E99E7CB" w:rsidR="000226A6" w:rsidRDefault="000226A6" w:rsidP="00C46E12">
      <w:pPr>
        <w:spacing w:after="200"/>
        <w:contextualSpacing/>
        <w:jc w:val="both"/>
        <w:rPr>
          <w:rFonts w:eastAsia="Calibri" w:cs="Arial"/>
          <w:szCs w:val="22"/>
        </w:rPr>
      </w:pPr>
      <w:r w:rsidRPr="00C46E12">
        <w:rPr>
          <w:rFonts w:eastAsia="Calibri" w:cs="Arial"/>
          <w:szCs w:val="22"/>
        </w:rPr>
        <w:t xml:space="preserve">All participants will be provided with the details of the </w:t>
      </w:r>
      <w:r w:rsidR="00A55330">
        <w:rPr>
          <w:rFonts w:eastAsia="Calibri" w:cs="Arial"/>
          <w:szCs w:val="22"/>
        </w:rPr>
        <w:t xml:space="preserve">student </w:t>
      </w:r>
      <w:r w:rsidRPr="00C46E12">
        <w:rPr>
          <w:rFonts w:eastAsia="Calibri" w:cs="Arial"/>
          <w:szCs w:val="22"/>
        </w:rPr>
        <w:t xml:space="preserve">researcher, her supervisors, </w:t>
      </w:r>
      <w:r w:rsidR="00A55330">
        <w:rPr>
          <w:rFonts w:eastAsia="Calibri" w:cs="Arial"/>
          <w:szCs w:val="22"/>
        </w:rPr>
        <w:t xml:space="preserve">and </w:t>
      </w:r>
      <w:r w:rsidR="00F75ECE">
        <w:rPr>
          <w:rFonts w:eastAsia="Calibri" w:cs="Arial"/>
          <w:szCs w:val="22"/>
        </w:rPr>
        <w:t xml:space="preserve">the </w:t>
      </w:r>
      <w:r w:rsidRPr="00C46E12">
        <w:rPr>
          <w:rFonts w:eastAsia="Calibri" w:cs="Arial"/>
          <w:szCs w:val="22"/>
        </w:rPr>
        <w:t>University of Wollongong and the Illawarra Shoalhaven Local Health District Human Research Ethics Committee</w:t>
      </w:r>
      <w:r w:rsidR="00A55330">
        <w:rPr>
          <w:rFonts w:eastAsia="Calibri" w:cs="Arial"/>
          <w:szCs w:val="22"/>
        </w:rPr>
        <w:t>,</w:t>
      </w:r>
      <w:r w:rsidRPr="00C46E12">
        <w:rPr>
          <w:rFonts w:eastAsia="Calibri" w:cs="Arial"/>
          <w:szCs w:val="22"/>
        </w:rPr>
        <w:t xml:space="preserve"> should they have any queries regarding the study. </w:t>
      </w:r>
    </w:p>
    <w:p w14:paraId="667B2EB9" w14:textId="77777777" w:rsidR="007D0075" w:rsidRDefault="007D0075" w:rsidP="00C46E12">
      <w:pPr>
        <w:spacing w:after="200"/>
        <w:contextualSpacing/>
        <w:jc w:val="both"/>
        <w:rPr>
          <w:rFonts w:eastAsia="Calibri" w:cs="Arial"/>
          <w:szCs w:val="22"/>
        </w:rPr>
      </w:pPr>
    </w:p>
    <w:p w14:paraId="5B1B6DB1" w14:textId="67B32BD2" w:rsidR="007D0075" w:rsidRPr="007D0075" w:rsidRDefault="007D0075" w:rsidP="007D0075">
      <w:pPr>
        <w:tabs>
          <w:tab w:val="left" w:pos="1134"/>
        </w:tabs>
        <w:jc w:val="both"/>
        <w:rPr>
          <w:rFonts w:cs="Arial"/>
        </w:rPr>
      </w:pPr>
      <w:r>
        <w:rPr>
          <w:rFonts w:cs="Arial"/>
        </w:rPr>
        <w:t xml:space="preserve">Participants </w:t>
      </w:r>
      <w:r w:rsidRPr="00A05F40">
        <w:rPr>
          <w:rFonts w:cs="Arial"/>
        </w:rPr>
        <w:t>will be able to select i</w:t>
      </w:r>
      <w:r>
        <w:rPr>
          <w:rFonts w:cs="Arial"/>
        </w:rPr>
        <w:t>f they would like a summary of the results, and a copy of their</w:t>
      </w:r>
      <w:r w:rsidRPr="00A05F40">
        <w:rPr>
          <w:rFonts w:cs="Arial"/>
        </w:rPr>
        <w:t xml:space="preserve"> interview </w:t>
      </w:r>
      <w:r>
        <w:rPr>
          <w:rFonts w:cs="Arial"/>
        </w:rPr>
        <w:t xml:space="preserve">transcripts after the follow-up interview </w:t>
      </w:r>
      <w:r w:rsidRPr="00A05F40">
        <w:rPr>
          <w:rFonts w:cs="Arial"/>
        </w:rPr>
        <w:t xml:space="preserve">on the consent form. </w:t>
      </w:r>
    </w:p>
    <w:p w14:paraId="07224987" w14:textId="77777777" w:rsidR="006F680A" w:rsidRPr="00C46E12" w:rsidRDefault="00134591" w:rsidP="00CE4DBB">
      <w:pPr>
        <w:pStyle w:val="Heading2"/>
        <w:spacing w:after="0"/>
        <w:jc w:val="both"/>
        <w:rPr>
          <w:b w:val="0"/>
        </w:rPr>
      </w:pPr>
      <w:bookmarkStart w:id="136" w:name="_Toc51588821"/>
      <w:r w:rsidRPr="00C46E12">
        <w:rPr>
          <w:b w:val="0"/>
        </w:rPr>
        <w:t>7.2</w:t>
      </w:r>
      <w:r w:rsidR="006F680A" w:rsidRPr="00C46E12">
        <w:rPr>
          <w:b w:val="0"/>
        </w:rPr>
        <w:t xml:space="preserve"> Confidentiality and Privacy</w:t>
      </w:r>
      <w:bookmarkEnd w:id="133"/>
      <w:bookmarkEnd w:id="134"/>
      <w:bookmarkEnd w:id="135"/>
      <w:bookmarkEnd w:id="136"/>
    </w:p>
    <w:p w14:paraId="28941B73" w14:textId="77777777" w:rsidR="00314E49" w:rsidRDefault="00E93591" w:rsidP="00906F83">
      <w:pPr>
        <w:pStyle w:val="ListParagraph"/>
        <w:tabs>
          <w:tab w:val="left" w:pos="1134"/>
        </w:tabs>
        <w:ind w:left="0"/>
        <w:jc w:val="both"/>
        <w:rPr>
          <w:rFonts w:cs="Arial"/>
        </w:rPr>
      </w:pPr>
      <w:bookmarkStart w:id="137" w:name="_Toc5734796"/>
      <w:bookmarkStart w:id="138" w:name="_Toc5734907"/>
      <w:bookmarkStart w:id="139" w:name="_Toc5735032"/>
      <w:r w:rsidRPr="00C46E12">
        <w:rPr>
          <w:rFonts w:cs="Arial"/>
        </w:rPr>
        <w:t>Confidentiality/anonymity of participants</w:t>
      </w:r>
      <w:r w:rsidR="00314E49">
        <w:rPr>
          <w:rFonts w:cs="Arial"/>
        </w:rPr>
        <w:t xml:space="preserve"> (radiation oncologists, patients and general practitioners)</w:t>
      </w:r>
      <w:r w:rsidRPr="00C46E12">
        <w:rPr>
          <w:rFonts w:cs="Arial"/>
        </w:rPr>
        <w:t xml:space="preserve"> will be maintained by assigning </w:t>
      </w:r>
      <w:r w:rsidR="00A55330">
        <w:rPr>
          <w:rFonts w:cs="Arial"/>
        </w:rPr>
        <w:t xml:space="preserve">unique </w:t>
      </w:r>
      <w:r w:rsidR="00314E49">
        <w:rPr>
          <w:rFonts w:cs="Arial"/>
        </w:rPr>
        <w:t>participant ID numbers, as per the following table:</w:t>
      </w:r>
    </w:p>
    <w:p w14:paraId="496B6D13" w14:textId="54EDCCF0" w:rsidR="00E93591" w:rsidRDefault="00314E49" w:rsidP="00906F83">
      <w:pPr>
        <w:pStyle w:val="ListParagraph"/>
        <w:tabs>
          <w:tab w:val="left" w:pos="1134"/>
        </w:tabs>
        <w:ind w:left="0"/>
        <w:jc w:val="both"/>
        <w:rPr>
          <w:rFonts w:cs="Arial"/>
        </w:rPr>
      </w:pPr>
      <w:r>
        <w:rPr>
          <w:rFonts w:cs="Arial"/>
        </w:rPr>
        <w:t xml:space="preserve"> </w:t>
      </w:r>
    </w:p>
    <w:tbl>
      <w:tblPr>
        <w:tblStyle w:val="TableGrid"/>
        <w:tblW w:w="0" w:type="auto"/>
        <w:tblLayout w:type="fixed"/>
        <w:tblLook w:val="04A0" w:firstRow="1" w:lastRow="0" w:firstColumn="1" w:lastColumn="0" w:noHBand="0" w:noVBand="1"/>
      </w:tblPr>
      <w:tblGrid>
        <w:gridCol w:w="1720"/>
        <w:gridCol w:w="1720"/>
        <w:gridCol w:w="1720"/>
      </w:tblGrid>
      <w:tr w:rsidR="00314E49" w:rsidRPr="00EB007C" w14:paraId="62701D74" w14:textId="77777777" w:rsidTr="00E40026">
        <w:tc>
          <w:tcPr>
            <w:tcW w:w="1720" w:type="dxa"/>
            <w:tcBorders>
              <w:top w:val="nil"/>
              <w:left w:val="nil"/>
            </w:tcBorders>
          </w:tcPr>
          <w:p w14:paraId="46BAAA28" w14:textId="77777777" w:rsidR="00314E49" w:rsidRPr="00EB007C" w:rsidRDefault="00314E49" w:rsidP="00E40026">
            <w:pPr>
              <w:rPr>
                <w:rFonts w:cs="Arial"/>
                <w:sz w:val="20"/>
                <w:szCs w:val="20"/>
              </w:rPr>
            </w:pPr>
          </w:p>
        </w:tc>
        <w:tc>
          <w:tcPr>
            <w:tcW w:w="1720" w:type="dxa"/>
          </w:tcPr>
          <w:p w14:paraId="021EA34A" w14:textId="77777777" w:rsidR="00314E49" w:rsidRPr="00E40026" w:rsidRDefault="00314E49" w:rsidP="00E40026">
            <w:pPr>
              <w:rPr>
                <w:rFonts w:cs="Arial"/>
                <w:b/>
                <w:sz w:val="20"/>
                <w:szCs w:val="20"/>
              </w:rPr>
            </w:pPr>
            <w:r w:rsidRPr="00E40026">
              <w:rPr>
                <w:rFonts w:cs="Arial"/>
                <w:b/>
                <w:sz w:val="20"/>
                <w:szCs w:val="20"/>
              </w:rPr>
              <w:t>Wollongong</w:t>
            </w:r>
          </w:p>
        </w:tc>
        <w:tc>
          <w:tcPr>
            <w:tcW w:w="1720" w:type="dxa"/>
          </w:tcPr>
          <w:p w14:paraId="6C6B10CB" w14:textId="77777777" w:rsidR="00314E49" w:rsidRPr="00E40026" w:rsidRDefault="00314E49" w:rsidP="00E40026">
            <w:pPr>
              <w:rPr>
                <w:rFonts w:cs="Arial"/>
                <w:b/>
                <w:sz w:val="20"/>
                <w:szCs w:val="20"/>
              </w:rPr>
            </w:pPr>
            <w:r w:rsidRPr="00E40026">
              <w:rPr>
                <w:rFonts w:cs="Arial"/>
                <w:b/>
                <w:sz w:val="20"/>
                <w:szCs w:val="20"/>
              </w:rPr>
              <w:t>Shoalhaven</w:t>
            </w:r>
          </w:p>
        </w:tc>
      </w:tr>
      <w:tr w:rsidR="00314E49" w:rsidRPr="00EB007C" w14:paraId="540E335C" w14:textId="77777777" w:rsidTr="00E40026">
        <w:tc>
          <w:tcPr>
            <w:tcW w:w="1720" w:type="dxa"/>
          </w:tcPr>
          <w:p w14:paraId="0226D6AB" w14:textId="77777777" w:rsidR="00314E49" w:rsidRPr="00E40026" w:rsidRDefault="00314E49" w:rsidP="00E40026">
            <w:pPr>
              <w:rPr>
                <w:rFonts w:cs="Arial"/>
                <w:b/>
                <w:sz w:val="20"/>
                <w:szCs w:val="20"/>
              </w:rPr>
            </w:pPr>
            <w:r w:rsidRPr="00E40026">
              <w:rPr>
                <w:rFonts w:cs="Arial"/>
                <w:b/>
                <w:sz w:val="20"/>
                <w:szCs w:val="20"/>
              </w:rPr>
              <w:t>Patient</w:t>
            </w:r>
          </w:p>
        </w:tc>
        <w:tc>
          <w:tcPr>
            <w:tcW w:w="1720" w:type="dxa"/>
          </w:tcPr>
          <w:p w14:paraId="27060456" w14:textId="77777777" w:rsidR="00314E49" w:rsidRPr="00E40026" w:rsidRDefault="00314E49" w:rsidP="00E40026">
            <w:pPr>
              <w:rPr>
                <w:rFonts w:cs="Arial"/>
                <w:sz w:val="20"/>
                <w:szCs w:val="20"/>
              </w:rPr>
            </w:pPr>
            <w:r w:rsidRPr="00E40026">
              <w:rPr>
                <w:rFonts w:cs="Arial"/>
                <w:sz w:val="20"/>
                <w:szCs w:val="20"/>
              </w:rPr>
              <w:t>WOL001…</w:t>
            </w:r>
          </w:p>
        </w:tc>
        <w:tc>
          <w:tcPr>
            <w:tcW w:w="1720" w:type="dxa"/>
          </w:tcPr>
          <w:p w14:paraId="2CE12326" w14:textId="77777777" w:rsidR="00314E49" w:rsidRPr="00E40026" w:rsidRDefault="00314E49" w:rsidP="00E40026">
            <w:pPr>
              <w:rPr>
                <w:rFonts w:cs="Arial"/>
                <w:sz w:val="20"/>
                <w:szCs w:val="20"/>
              </w:rPr>
            </w:pPr>
            <w:r w:rsidRPr="00E40026">
              <w:rPr>
                <w:rFonts w:cs="Arial"/>
                <w:sz w:val="20"/>
                <w:szCs w:val="20"/>
              </w:rPr>
              <w:t>SHO001…</w:t>
            </w:r>
          </w:p>
        </w:tc>
      </w:tr>
      <w:tr w:rsidR="00314E49" w:rsidRPr="00EB007C" w14:paraId="53BD7B21" w14:textId="77777777" w:rsidTr="00E40026">
        <w:tc>
          <w:tcPr>
            <w:tcW w:w="1720" w:type="dxa"/>
          </w:tcPr>
          <w:p w14:paraId="3FD51FFF" w14:textId="77777777" w:rsidR="00314E49" w:rsidRPr="00E40026" w:rsidRDefault="00314E49" w:rsidP="00E40026">
            <w:pPr>
              <w:rPr>
                <w:rFonts w:cs="Arial"/>
                <w:b/>
                <w:sz w:val="20"/>
                <w:szCs w:val="20"/>
              </w:rPr>
            </w:pPr>
            <w:r w:rsidRPr="00E40026">
              <w:rPr>
                <w:rFonts w:cs="Arial"/>
                <w:b/>
                <w:sz w:val="20"/>
                <w:szCs w:val="20"/>
              </w:rPr>
              <w:t>Radiation oncologist</w:t>
            </w:r>
          </w:p>
        </w:tc>
        <w:tc>
          <w:tcPr>
            <w:tcW w:w="1720" w:type="dxa"/>
          </w:tcPr>
          <w:p w14:paraId="6E394FBA" w14:textId="77777777" w:rsidR="00314E49" w:rsidRPr="00E40026" w:rsidRDefault="00314E49" w:rsidP="00E40026">
            <w:pPr>
              <w:rPr>
                <w:rFonts w:cs="Arial"/>
                <w:sz w:val="20"/>
                <w:szCs w:val="20"/>
              </w:rPr>
            </w:pPr>
            <w:r w:rsidRPr="00E40026">
              <w:rPr>
                <w:rFonts w:cs="Arial"/>
                <w:sz w:val="20"/>
                <w:szCs w:val="20"/>
              </w:rPr>
              <w:t>WOLRO001…</w:t>
            </w:r>
          </w:p>
        </w:tc>
        <w:tc>
          <w:tcPr>
            <w:tcW w:w="1720" w:type="dxa"/>
          </w:tcPr>
          <w:p w14:paraId="27B48776" w14:textId="77777777" w:rsidR="00314E49" w:rsidRPr="00E40026" w:rsidRDefault="00314E49" w:rsidP="00E40026">
            <w:pPr>
              <w:rPr>
                <w:rFonts w:cs="Arial"/>
                <w:sz w:val="20"/>
                <w:szCs w:val="20"/>
              </w:rPr>
            </w:pPr>
            <w:r w:rsidRPr="00E40026">
              <w:rPr>
                <w:rFonts w:cs="Arial"/>
                <w:sz w:val="20"/>
                <w:szCs w:val="20"/>
              </w:rPr>
              <w:t>SHORO001…</w:t>
            </w:r>
          </w:p>
        </w:tc>
      </w:tr>
      <w:tr w:rsidR="00314E49" w:rsidRPr="00EB007C" w14:paraId="0F93C771" w14:textId="77777777" w:rsidTr="00E40026">
        <w:tc>
          <w:tcPr>
            <w:tcW w:w="1720" w:type="dxa"/>
          </w:tcPr>
          <w:p w14:paraId="272982D9" w14:textId="77777777" w:rsidR="00314E49" w:rsidRPr="00E40026" w:rsidRDefault="00314E49" w:rsidP="00E40026">
            <w:pPr>
              <w:rPr>
                <w:rFonts w:cs="Arial"/>
                <w:b/>
                <w:sz w:val="20"/>
                <w:szCs w:val="20"/>
              </w:rPr>
            </w:pPr>
            <w:r w:rsidRPr="00E40026">
              <w:rPr>
                <w:rFonts w:cs="Arial"/>
                <w:b/>
                <w:sz w:val="20"/>
                <w:szCs w:val="20"/>
              </w:rPr>
              <w:t>General practitioner</w:t>
            </w:r>
          </w:p>
        </w:tc>
        <w:tc>
          <w:tcPr>
            <w:tcW w:w="1720" w:type="dxa"/>
          </w:tcPr>
          <w:p w14:paraId="7E8D7AD9" w14:textId="77777777" w:rsidR="00314E49" w:rsidRPr="00E40026" w:rsidRDefault="00314E49" w:rsidP="00E40026">
            <w:pPr>
              <w:rPr>
                <w:rFonts w:cs="Arial"/>
                <w:sz w:val="20"/>
                <w:szCs w:val="20"/>
              </w:rPr>
            </w:pPr>
            <w:r w:rsidRPr="00E40026">
              <w:rPr>
                <w:rFonts w:cs="Arial"/>
                <w:sz w:val="20"/>
                <w:szCs w:val="20"/>
              </w:rPr>
              <w:t>WOLGP001…</w:t>
            </w:r>
          </w:p>
        </w:tc>
        <w:tc>
          <w:tcPr>
            <w:tcW w:w="1720" w:type="dxa"/>
          </w:tcPr>
          <w:p w14:paraId="14AEC3A2" w14:textId="77777777" w:rsidR="00314E49" w:rsidRPr="00E40026" w:rsidRDefault="00314E49" w:rsidP="00E40026">
            <w:pPr>
              <w:rPr>
                <w:rFonts w:cs="Arial"/>
                <w:sz w:val="20"/>
                <w:szCs w:val="20"/>
              </w:rPr>
            </w:pPr>
            <w:r w:rsidRPr="00E40026">
              <w:rPr>
                <w:rFonts w:cs="Arial"/>
                <w:sz w:val="20"/>
                <w:szCs w:val="20"/>
              </w:rPr>
              <w:t>SHOGP001….</w:t>
            </w:r>
          </w:p>
        </w:tc>
      </w:tr>
    </w:tbl>
    <w:p w14:paraId="05B9DF5D" w14:textId="12E327EA" w:rsidR="00314E49" w:rsidRPr="00C46E12" w:rsidRDefault="00314E49" w:rsidP="00906F83">
      <w:pPr>
        <w:pStyle w:val="ListParagraph"/>
        <w:tabs>
          <w:tab w:val="left" w:pos="1134"/>
        </w:tabs>
        <w:ind w:left="0"/>
        <w:jc w:val="both"/>
        <w:rPr>
          <w:rFonts w:cs="Arial"/>
        </w:rPr>
      </w:pPr>
      <w:r w:rsidRPr="00314E49">
        <w:rPr>
          <w:rFonts w:cs="Arial"/>
          <w:sz w:val="18"/>
        </w:rPr>
        <w:t xml:space="preserve">Table. Unique identifier system </w:t>
      </w:r>
    </w:p>
    <w:p w14:paraId="39445D9D" w14:textId="77777777" w:rsidR="00E93591" w:rsidRPr="00C46E12" w:rsidRDefault="00E93591" w:rsidP="00906F83">
      <w:pPr>
        <w:pStyle w:val="ListParagraph"/>
        <w:tabs>
          <w:tab w:val="left" w:pos="1134"/>
        </w:tabs>
        <w:ind w:left="0"/>
        <w:jc w:val="both"/>
        <w:rPr>
          <w:rFonts w:cs="Arial"/>
        </w:rPr>
      </w:pPr>
    </w:p>
    <w:p w14:paraId="0EC81AD1" w14:textId="1A85038D" w:rsidR="00E93591" w:rsidRPr="00C46E12" w:rsidRDefault="00E93591" w:rsidP="00906F83">
      <w:pPr>
        <w:pStyle w:val="ListParagraph"/>
        <w:tabs>
          <w:tab w:val="left" w:pos="1134"/>
        </w:tabs>
        <w:ind w:left="0"/>
        <w:jc w:val="both"/>
        <w:rPr>
          <w:rFonts w:cs="Arial"/>
        </w:rPr>
      </w:pPr>
      <w:r w:rsidRPr="00C46E12">
        <w:rPr>
          <w:rFonts w:cs="Arial"/>
        </w:rPr>
        <w:t xml:space="preserve">All interview recordings will be downloaded to a University </w:t>
      </w:r>
      <w:r w:rsidR="00A124B5">
        <w:rPr>
          <w:rFonts w:cs="Arial"/>
        </w:rPr>
        <w:t>of Wollongong Cloudstor</w:t>
      </w:r>
      <w:r w:rsidRPr="00C46E12">
        <w:rPr>
          <w:rFonts w:cs="Arial"/>
        </w:rPr>
        <w:t xml:space="preserve"> that is shared </w:t>
      </w:r>
      <w:r w:rsidR="00924D8E">
        <w:rPr>
          <w:rFonts w:cs="Arial"/>
        </w:rPr>
        <w:t xml:space="preserve">by the study researchers. </w:t>
      </w:r>
      <w:r w:rsidRPr="00C46E12">
        <w:rPr>
          <w:rFonts w:cs="Arial"/>
        </w:rPr>
        <w:t>The recordings will be outsourced for transcription to a reliable transcription company that Research Central at the Illawarra Shoalhaven Local Health District ha</w:t>
      </w:r>
      <w:r w:rsidR="00324B1E">
        <w:rPr>
          <w:rFonts w:cs="Arial"/>
        </w:rPr>
        <w:t>s</w:t>
      </w:r>
      <w:r w:rsidRPr="00C46E12">
        <w:rPr>
          <w:rFonts w:cs="Arial"/>
        </w:rPr>
        <w:t xml:space="preserve"> as an approved provider. </w:t>
      </w:r>
      <w:r w:rsidR="00A55330">
        <w:rPr>
          <w:rFonts w:cs="Arial"/>
        </w:rPr>
        <w:t xml:space="preserve">The transcription service will be directed to remove any identifying information from the transcripts. The student will check all </w:t>
      </w:r>
      <w:r w:rsidRPr="00C46E12">
        <w:rPr>
          <w:rFonts w:cs="Arial"/>
        </w:rPr>
        <w:t>transcript</w:t>
      </w:r>
      <w:r w:rsidR="00A55330">
        <w:rPr>
          <w:rFonts w:cs="Arial"/>
        </w:rPr>
        <w:t>s to ensure this has been done. Transcripts and aud</w:t>
      </w:r>
      <w:r w:rsidR="00AC34E0">
        <w:rPr>
          <w:rFonts w:cs="Arial"/>
        </w:rPr>
        <w:t>io</w:t>
      </w:r>
      <w:r w:rsidR="00A55330">
        <w:rPr>
          <w:rFonts w:cs="Arial"/>
        </w:rPr>
        <w:t xml:space="preserve"> recordings will be </w:t>
      </w:r>
      <w:r w:rsidRPr="00C46E12">
        <w:rPr>
          <w:rFonts w:cs="Arial"/>
        </w:rPr>
        <w:t xml:space="preserve">saved according to </w:t>
      </w:r>
      <w:r w:rsidR="00B63A1F">
        <w:rPr>
          <w:rFonts w:cs="Arial"/>
        </w:rPr>
        <w:t xml:space="preserve">a unique numerical </w:t>
      </w:r>
      <w:r w:rsidRPr="00C46E12">
        <w:rPr>
          <w:rFonts w:cs="Arial"/>
        </w:rPr>
        <w:t xml:space="preserve">participant </w:t>
      </w:r>
      <w:r w:rsidR="00B63A1F">
        <w:rPr>
          <w:rFonts w:cs="Arial"/>
        </w:rPr>
        <w:t>identification number to ensure confidentiality is maintained</w:t>
      </w:r>
      <w:r w:rsidRPr="00C46E12">
        <w:rPr>
          <w:rFonts w:cs="Arial"/>
        </w:rPr>
        <w:t>. The file</w:t>
      </w:r>
      <w:r w:rsidR="005F26DD">
        <w:rPr>
          <w:rFonts w:cs="Arial"/>
        </w:rPr>
        <w:t>s</w:t>
      </w:r>
      <w:r w:rsidRPr="00C46E12">
        <w:rPr>
          <w:rFonts w:cs="Arial"/>
        </w:rPr>
        <w:t xml:space="preserve"> will be stored on a secure password</w:t>
      </w:r>
      <w:r w:rsidR="00621BD0">
        <w:rPr>
          <w:rFonts w:cs="Arial"/>
        </w:rPr>
        <w:t>-</w:t>
      </w:r>
      <w:r w:rsidRPr="00C46E12">
        <w:rPr>
          <w:rFonts w:cs="Arial"/>
        </w:rPr>
        <w:t>protected University of Wollongong computer</w:t>
      </w:r>
      <w:r w:rsidR="005F26DD">
        <w:rPr>
          <w:rFonts w:cs="Arial"/>
        </w:rPr>
        <w:t>, protected by the University firewall</w:t>
      </w:r>
      <w:r w:rsidRPr="00C46E12">
        <w:rPr>
          <w:rFonts w:cs="Arial"/>
        </w:rPr>
        <w:t xml:space="preserve">. </w:t>
      </w:r>
    </w:p>
    <w:p w14:paraId="2DB9820B" w14:textId="77777777" w:rsidR="00E93591" w:rsidRPr="00C46E12" w:rsidRDefault="00E93591" w:rsidP="00906F83">
      <w:pPr>
        <w:pStyle w:val="ListParagraph"/>
        <w:tabs>
          <w:tab w:val="left" w:pos="1134"/>
        </w:tabs>
        <w:ind w:left="0"/>
        <w:jc w:val="both"/>
        <w:rPr>
          <w:rFonts w:cs="Arial"/>
        </w:rPr>
      </w:pPr>
    </w:p>
    <w:p w14:paraId="40BEA9BA" w14:textId="77777777" w:rsidR="00E93591" w:rsidRPr="00C46E12" w:rsidRDefault="00E93591" w:rsidP="00906F83">
      <w:pPr>
        <w:spacing w:after="200"/>
        <w:contextualSpacing/>
        <w:jc w:val="both"/>
        <w:rPr>
          <w:rFonts w:cs="Arial"/>
        </w:rPr>
      </w:pPr>
      <w:r w:rsidRPr="00C46E12">
        <w:rPr>
          <w:rFonts w:cs="Arial"/>
        </w:rPr>
        <w:t>Consent forms will be stored separately and securely in a locked filing cabinet</w:t>
      </w:r>
      <w:r w:rsidR="005F26DD">
        <w:rPr>
          <w:rFonts w:cs="Arial"/>
        </w:rPr>
        <w:t xml:space="preserve"> in Dr Schutze’s office</w:t>
      </w:r>
      <w:r w:rsidRPr="00C46E12">
        <w:rPr>
          <w:rFonts w:cs="Arial"/>
        </w:rPr>
        <w:t>.</w:t>
      </w:r>
    </w:p>
    <w:p w14:paraId="6D821437" w14:textId="77777777" w:rsidR="00E93591" w:rsidRPr="00C46E12" w:rsidRDefault="00E93591" w:rsidP="00906F83">
      <w:pPr>
        <w:spacing w:after="200"/>
        <w:contextualSpacing/>
        <w:jc w:val="both"/>
        <w:rPr>
          <w:rFonts w:cs="Arial"/>
        </w:rPr>
      </w:pPr>
    </w:p>
    <w:p w14:paraId="2E008C79" w14:textId="77784A99" w:rsidR="007D0075" w:rsidRPr="000063D7" w:rsidRDefault="00E93591" w:rsidP="007D0075">
      <w:pPr>
        <w:spacing w:after="200"/>
        <w:contextualSpacing/>
        <w:jc w:val="both"/>
        <w:rPr>
          <w:rFonts w:cs="Arial"/>
          <w:color w:val="000000" w:themeColor="text1"/>
          <w:szCs w:val="22"/>
        </w:rPr>
      </w:pPr>
      <w:r w:rsidRPr="000063D7">
        <w:rPr>
          <w:rFonts w:cs="Arial"/>
          <w:color w:val="000000" w:themeColor="text1"/>
          <w:szCs w:val="22"/>
        </w:rPr>
        <w:t xml:space="preserve">The information in the clinical assessments will be stored in the Oncology Information System at the ISLHD. </w:t>
      </w:r>
    </w:p>
    <w:p w14:paraId="7D414F02" w14:textId="77777777" w:rsidR="000063D7" w:rsidRPr="000063D7" w:rsidRDefault="000063D7" w:rsidP="007D0075">
      <w:pPr>
        <w:spacing w:after="200"/>
        <w:contextualSpacing/>
        <w:jc w:val="both"/>
        <w:rPr>
          <w:rFonts w:cs="Arial"/>
          <w:color w:val="000000" w:themeColor="text1"/>
          <w:szCs w:val="22"/>
        </w:rPr>
      </w:pPr>
    </w:p>
    <w:p w14:paraId="1D536788" w14:textId="0FC2B9C4" w:rsidR="000063D7" w:rsidRPr="000063D7" w:rsidRDefault="000063D7" w:rsidP="007D0075">
      <w:pPr>
        <w:spacing w:after="200"/>
        <w:contextualSpacing/>
        <w:jc w:val="both"/>
        <w:rPr>
          <w:rFonts w:cs="Arial"/>
          <w:color w:val="000000" w:themeColor="text1"/>
          <w:szCs w:val="22"/>
        </w:rPr>
      </w:pPr>
      <w:r w:rsidRPr="000063D7">
        <w:rPr>
          <w:rFonts w:cs="Arial"/>
          <w:color w:val="000000" w:themeColor="text1"/>
          <w:szCs w:val="22"/>
          <w:shd w:val="clear" w:color="auto" w:fill="FFFFFF"/>
        </w:rPr>
        <w:t>The data has to be kept for a minimum of 5 years after publication. After this period, all audio and computer files will be permanently deleted.</w:t>
      </w:r>
    </w:p>
    <w:p w14:paraId="0960B157" w14:textId="77777777" w:rsidR="00E93591" w:rsidRPr="00C46E12" w:rsidRDefault="00134591" w:rsidP="007D0075">
      <w:pPr>
        <w:pStyle w:val="Heading2"/>
        <w:spacing w:before="0" w:after="0"/>
        <w:jc w:val="both"/>
        <w:rPr>
          <w:rFonts w:eastAsia="Calibri"/>
          <w:b w:val="0"/>
        </w:rPr>
      </w:pPr>
      <w:bookmarkStart w:id="140" w:name="_Toc51588822"/>
      <w:bookmarkEnd w:id="137"/>
      <w:bookmarkEnd w:id="138"/>
      <w:bookmarkEnd w:id="139"/>
      <w:r w:rsidRPr="00C46E12">
        <w:rPr>
          <w:rFonts w:eastAsia="Calibri"/>
          <w:b w:val="0"/>
        </w:rPr>
        <w:t xml:space="preserve">7.3 </w:t>
      </w:r>
      <w:r w:rsidR="00E93591" w:rsidRPr="00C46E12">
        <w:rPr>
          <w:rFonts w:eastAsia="Calibri"/>
          <w:b w:val="0"/>
        </w:rPr>
        <w:t>Risk and benefits to participants</w:t>
      </w:r>
      <w:bookmarkEnd w:id="140"/>
    </w:p>
    <w:p w14:paraId="1A5698DC" w14:textId="77777777" w:rsidR="00797503" w:rsidRDefault="00797503" w:rsidP="007D0075">
      <w:pPr>
        <w:contextualSpacing/>
        <w:jc w:val="both"/>
        <w:rPr>
          <w:rFonts w:eastAsia="Calibri" w:cs="Arial"/>
          <w:szCs w:val="22"/>
        </w:rPr>
      </w:pPr>
      <w:r w:rsidRPr="00797503">
        <w:rPr>
          <w:rFonts w:cs="Arial"/>
          <w:color w:val="000000" w:themeColor="text1"/>
          <w:sz w:val="23"/>
          <w:szCs w:val="23"/>
          <w:shd w:val="clear" w:color="auto" w:fill="FFFFFF"/>
        </w:rPr>
        <w:t>There is no foreseeable risk of harm or discomfort; and any fo</w:t>
      </w:r>
      <w:r>
        <w:rPr>
          <w:rFonts w:cs="Arial"/>
          <w:color w:val="000000" w:themeColor="text1"/>
          <w:sz w:val="23"/>
          <w:szCs w:val="23"/>
          <w:shd w:val="clear" w:color="auto" w:fill="FFFFFF"/>
        </w:rPr>
        <w:t>reseeable risk is no more than </w:t>
      </w:r>
      <w:r w:rsidRPr="00797503">
        <w:rPr>
          <w:rFonts w:cs="Arial"/>
          <w:color w:val="000000" w:themeColor="text1"/>
          <w:sz w:val="23"/>
          <w:szCs w:val="23"/>
          <w:shd w:val="clear" w:color="auto" w:fill="FFFFFF"/>
        </w:rPr>
        <w:t>inconvenience</w:t>
      </w:r>
      <w:r>
        <w:rPr>
          <w:rFonts w:cs="Arial"/>
          <w:color w:val="000000" w:themeColor="text1"/>
          <w:sz w:val="23"/>
          <w:szCs w:val="23"/>
          <w:shd w:val="clear" w:color="auto" w:fill="FFFFFF"/>
        </w:rPr>
        <w:t>, being a burden of time</w:t>
      </w:r>
      <w:r w:rsidR="00E93591" w:rsidRPr="00C46E12">
        <w:rPr>
          <w:rFonts w:eastAsia="Calibri" w:cs="Arial"/>
          <w:szCs w:val="22"/>
        </w:rPr>
        <w:t xml:space="preserve">. </w:t>
      </w:r>
    </w:p>
    <w:p w14:paraId="464A91BA" w14:textId="77777777" w:rsidR="00797503" w:rsidRDefault="00797503" w:rsidP="00CE4DBB">
      <w:pPr>
        <w:contextualSpacing/>
        <w:jc w:val="both"/>
        <w:rPr>
          <w:rFonts w:eastAsia="Calibri" w:cs="Arial"/>
          <w:szCs w:val="22"/>
        </w:rPr>
      </w:pPr>
    </w:p>
    <w:p w14:paraId="5D7FFFD1" w14:textId="1E6ACEF3" w:rsidR="00E93591" w:rsidRPr="00C46E12" w:rsidRDefault="00E93591" w:rsidP="00CE4DBB">
      <w:pPr>
        <w:contextualSpacing/>
        <w:jc w:val="both"/>
        <w:rPr>
          <w:rFonts w:eastAsia="Calibri" w:cs="Arial"/>
          <w:b/>
          <w:szCs w:val="22"/>
        </w:rPr>
      </w:pPr>
      <w:r w:rsidRPr="00C46E12">
        <w:rPr>
          <w:rFonts w:eastAsia="Calibri" w:cs="Arial"/>
          <w:szCs w:val="22"/>
        </w:rPr>
        <w:t>There are two additional appointments for the patient to attend their general practitioner; one day before, day of, or day after their scheduled appointment with their radiation oncologist, and one, six months later. This appointment six-months later</w:t>
      </w:r>
      <w:r w:rsidR="007720F5">
        <w:rPr>
          <w:rFonts w:eastAsia="Calibri" w:cs="Arial"/>
          <w:szCs w:val="22"/>
        </w:rPr>
        <w:t xml:space="preserve"> (for a 3.5 year review)</w:t>
      </w:r>
      <w:r w:rsidRPr="00C46E12">
        <w:rPr>
          <w:rFonts w:eastAsia="Calibri" w:cs="Arial"/>
          <w:szCs w:val="22"/>
        </w:rPr>
        <w:t xml:space="preserve"> is provided as an additional opportunity to monitor the patients during the follow-up period. The foundation of this cancer follow-up model with the general practitioner is that clinician communication exchange is</w:t>
      </w:r>
      <w:r w:rsidR="00324B1E">
        <w:rPr>
          <w:rFonts w:eastAsia="Calibri" w:cs="Arial"/>
          <w:szCs w:val="22"/>
        </w:rPr>
        <w:t xml:space="preserve"> in real-time</w:t>
      </w:r>
      <w:r w:rsidRPr="00C46E12">
        <w:rPr>
          <w:rFonts w:eastAsia="Calibri" w:cs="Arial"/>
          <w:szCs w:val="22"/>
        </w:rPr>
        <w:t xml:space="preserve"> and the follow-up care is overseen by the radiation oncologist. The model includes real-time transfer of results, alerts and rapid referral to address any issues that may arise. Patients recruited will maintain their standard follow-up care with their medical oncologist and surgeon. </w:t>
      </w:r>
      <w:r w:rsidR="00324B1E">
        <w:rPr>
          <w:rFonts w:eastAsia="Calibri" w:cs="Arial"/>
          <w:szCs w:val="22"/>
        </w:rPr>
        <w:t>Upon completion of the study, patients maintain standard follow-up care with their radiation oncologist.</w:t>
      </w:r>
    </w:p>
    <w:p w14:paraId="1285CB06" w14:textId="77777777" w:rsidR="00E93591" w:rsidRPr="00C46E12" w:rsidRDefault="00E93591" w:rsidP="00C46E12">
      <w:pPr>
        <w:spacing w:before="240"/>
        <w:contextualSpacing/>
        <w:jc w:val="both"/>
        <w:rPr>
          <w:rFonts w:eastAsia="Calibri" w:cs="Arial"/>
          <w:b/>
          <w:szCs w:val="22"/>
        </w:rPr>
      </w:pPr>
    </w:p>
    <w:p w14:paraId="31CA4D58" w14:textId="2EDA0CE6" w:rsidR="00E93591" w:rsidRPr="00C46E12" w:rsidRDefault="00E93591" w:rsidP="00C46E12">
      <w:pPr>
        <w:contextualSpacing/>
        <w:jc w:val="both"/>
        <w:rPr>
          <w:rFonts w:eastAsia="Calibri" w:cs="Arial"/>
          <w:color w:val="000000"/>
          <w:szCs w:val="22"/>
        </w:rPr>
      </w:pPr>
      <w:r w:rsidRPr="00C46E12">
        <w:rPr>
          <w:rFonts w:eastAsia="Calibri" w:cs="Arial"/>
          <w:color w:val="000000"/>
          <w:szCs w:val="22"/>
        </w:rPr>
        <w:t>General practitioners will be incentivised by</w:t>
      </w:r>
      <w:r w:rsidR="007720F5">
        <w:rPr>
          <w:rFonts w:eastAsia="Calibri" w:cs="Arial"/>
          <w:color w:val="000000"/>
          <w:szCs w:val="22"/>
        </w:rPr>
        <w:t xml:space="preserve"> offering</w:t>
      </w:r>
      <w:r w:rsidR="003513CC">
        <w:rPr>
          <w:rFonts w:eastAsia="Calibri" w:cs="Arial"/>
          <w:color w:val="000000"/>
          <w:szCs w:val="22"/>
        </w:rPr>
        <w:t xml:space="preserve"> </w:t>
      </w:r>
      <w:r w:rsidRPr="00C46E12">
        <w:rPr>
          <w:rFonts w:eastAsia="Calibri" w:cs="Arial"/>
          <w:color w:val="000000"/>
          <w:szCs w:val="22"/>
        </w:rPr>
        <w:t>Continuing Professional Development points.</w:t>
      </w:r>
    </w:p>
    <w:p w14:paraId="3D39BD0D" w14:textId="77777777" w:rsidR="00B63A1F" w:rsidRDefault="00B63A1F" w:rsidP="00B63A1F">
      <w:pPr>
        <w:contextualSpacing/>
        <w:jc w:val="both"/>
        <w:rPr>
          <w:rFonts w:cs="Arial"/>
          <w:szCs w:val="22"/>
        </w:rPr>
      </w:pPr>
    </w:p>
    <w:p w14:paraId="77AD6AC3" w14:textId="3ECF9952" w:rsidR="00B63A1F" w:rsidRPr="00C46E12" w:rsidRDefault="00B63A1F" w:rsidP="00B63A1F">
      <w:pPr>
        <w:contextualSpacing/>
        <w:jc w:val="both"/>
        <w:rPr>
          <w:rFonts w:cs="Arial"/>
          <w:szCs w:val="22"/>
        </w:rPr>
      </w:pPr>
      <w:r w:rsidRPr="00C46E12">
        <w:rPr>
          <w:rFonts w:cs="Arial"/>
          <w:szCs w:val="22"/>
        </w:rPr>
        <w:t xml:space="preserve">Research in general practice is not eligible to be covered by Medicare Benefits Scheme (MBS). The funding of general practice consultation fees will be paid for by ISLHD Research Central. </w:t>
      </w:r>
      <w:r>
        <w:rPr>
          <w:rFonts w:cs="Arial"/>
          <w:szCs w:val="22"/>
        </w:rPr>
        <w:t>Participating GPs will receive $80 for each patient consultation as part of the study, which includes the</w:t>
      </w:r>
      <w:r w:rsidRPr="00C46E12">
        <w:rPr>
          <w:rFonts w:cs="Arial"/>
          <w:szCs w:val="22"/>
        </w:rPr>
        <w:t xml:space="preserve"> MBS standard consultation schedule fee of $36.30</w:t>
      </w:r>
      <w:r>
        <w:rPr>
          <w:rFonts w:cs="Arial"/>
          <w:szCs w:val="22"/>
        </w:rPr>
        <w:t xml:space="preserve"> and any gap payments</w:t>
      </w:r>
      <w:r w:rsidRPr="00C46E12">
        <w:rPr>
          <w:rFonts w:cs="Arial"/>
          <w:szCs w:val="22"/>
        </w:rPr>
        <w:t xml:space="preserve">. The general practice will be required to bill ISLHD Research Central. </w:t>
      </w:r>
    </w:p>
    <w:p w14:paraId="3905EA3B" w14:textId="77777777" w:rsidR="00E93591" w:rsidRPr="00C46E12" w:rsidRDefault="00E93591" w:rsidP="00C46E12">
      <w:pPr>
        <w:contextualSpacing/>
        <w:jc w:val="both"/>
        <w:rPr>
          <w:rFonts w:eastAsia="Calibri" w:cs="Arial"/>
          <w:color w:val="000000"/>
          <w:szCs w:val="22"/>
        </w:rPr>
      </w:pPr>
    </w:p>
    <w:p w14:paraId="32F7BB4B" w14:textId="5B8DF338" w:rsidR="00E93591" w:rsidRPr="00C46E12" w:rsidRDefault="00E93591" w:rsidP="00C46E12">
      <w:pPr>
        <w:contextualSpacing/>
        <w:jc w:val="both"/>
        <w:rPr>
          <w:rFonts w:eastAsia="Calibri" w:cs="Arial"/>
          <w:color w:val="000000"/>
          <w:szCs w:val="22"/>
        </w:rPr>
      </w:pPr>
      <w:r w:rsidRPr="00C46E12">
        <w:rPr>
          <w:rFonts w:eastAsia="Calibri" w:cs="Arial"/>
          <w:color w:val="000000"/>
          <w:szCs w:val="22"/>
        </w:rPr>
        <w:t xml:space="preserve">There is no specific incentive advertised or communicated to the patients to participate in the research. However, </w:t>
      </w:r>
      <w:r w:rsidR="005F26DD">
        <w:rPr>
          <w:rFonts w:eastAsia="Calibri" w:cs="Arial"/>
          <w:color w:val="000000"/>
          <w:szCs w:val="22"/>
        </w:rPr>
        <w:t xml:space="preserve">all patients </w:t>
      </w:r>
      <w:r w:rsidR="005F26DD" w:rsidRPr="00C46E12">
        <w:rPr>
          <w:rFonts w:eastAsia="Calibri" w:cs="Arial"/>
          <w:color w:val="000000"/>
          <w:szCs w:val="22"/>
        </w:rPr>
        <w:t>who participate in the semi-structured interviews</w:t>
      </w:r>
      <w:r w:rsidR="005F26DD">
        <w:rPr>
          <w:rFonts w:eastAsia="Calibri" w:cs="Arial"/>
          <w:color w:val="000000"/>
          <w:szCs w:val="22"/>
        </w:rPr>
        <w:t xml:space="preserve"> will receive a </w:t>
      </w:r>
      <w:r w:rsidR="005F26DD" w:rsidRPr="00C46E12">
        <w:rPr>
          <w:rFonts w:eastAsia="Calibri" w:cs="Arial"/>
          <w:color w:val="000000"/>
          <w:szCs w:val="22"/>
        </w:rPr>
        <w:t xml:space="preserve">$30 </w:t>
      </w:r>
      <w:r w:rsidRPr="00C46E12">
        <w:rPr>
          <w:rFonts w:eastAsia="Calibri" w:cs="Arial"/>
          <w:color w:val="000000"/>
          <w:szCs w:val="22"/>
        </w:rPr>
        <w:t>Coles Myer gift voucher</w:t>
      </w:r>
      <w:r w:rsidR="00D9607C">
        <w:rPr>
          <w:rFonts w:eastAsia="Calibri" w:cs="Arial"/>
          <w:color w:val="000000"/>
          <w:szCs w:val="22"/>
        </w:rPr>
        <w:t xml:space="preserve"> </w:t>
      </w:r>
      <w:r w:rsidR="005F26DD">
        <w:rPr>
          <w:rFonts w:eastAsia="Calibri" w:cs="Arial"/>
          <w:color w:val="000000"/>
          <w:szCs w:val="22"/>
        </w:rPr>
        <w:t>as a token of appreciation for their time</w:t>
      </w:r>
      <w:r w:rsidRPr="00C46E12">
        <w:rPr>
          <w:rFonts w:eastAsia="Calibri" w:cs="Arial"/>
          <w:color w:val="000000"/>
          <w:szCs w:val="22"/>
        </w:rPr>
        <w:t>.</w:t>
      </w:r>
    </w:p>
    <w:p w14:paraId="5EB6E201" w14:textId="02DD3ED1" w:rsidR="009742C2" w:rsidRPr="00C46E12" w:rsidRDefault="00CE4DBB" w:rsidP="00C46E12">
      <w:pPr>
        <w:pStyle w:val="Heading1"/>
        <w:jc w:val="both"/>
        <w:rPr>
          <w:rFonts w:cs="Arial"/>
        </w:rPr>
      </w:pPr>
      <w:bookmarkStart w:id="141" w:name="_Toc224114243"/>
      <w:bookmarkStart w:id="142" w:name="_Toc224114368"/>
      <w:bookmarkStart w:id="143" w:name="_Toc229297249"/>
      <w:bookmarkStart w:id="144" w:name="_Toc229297356"/>
      <w:bookmarkStart w:id="145" w:name="_Toc229298380"/>
      <w:bookmarkStart w:id="146" w:name="_Toc229307348"/>
      <w:bookmarkStart w:id="147" w:name="_Toc229308168"/>
      <w:bookmarkStart w:id="148" w:name="_Toc235338642"/>
      <w:bookmarkStart w:id="149" w:name="_Toc236472645"/>
      <w:bookmarkStart w:id="150" w:name="_Toc236473765"/>
      <w:bookmarkStart w:id="151" w:name="_Toc237834114"/>
      <w:bookmarkStart w:id="152" w:name="_Toc5365095"/>
      <w:bookmarkStart w:id="153" w:name="_Toc5734799"/>
      <w:bookmarkStart w:id="154" w:name="_Toc5734910"/>
      <w:bookmarkStart w:id="155" w:name="_Toc5735035"/>
      <w:r>
        <w:rPr>
          <w:rFonts w:cs="Arial"/>
        </w:rPr>
        <w:br w:type="page"/>
      </w:r>
      <w:bookmarkStart w:id="156" w:name="_Toc51588823"/>
      <w:r w:rsidR="00C96083">
        <w:rPr>
          <w:rFonts w:cs="Arial"/>
        </w:rPr>
        <w:lastRenderedPageBreak/>
        <w:t>8</w:t>
      </w:r>
      <w:r w:rsidR="00BE38B8" w:rsidRPr="00C46E12">
        <w:rPr>
          <w:rFonts w:cs="Arial"/>
        </w:rPr>
        <w:t xml:space="preserve"> References</w:t>
      </w:r>
      <w:bookmarkEnd w:id="153"/>
      <w:bookmarkEnd w:id="154"/>
      <w:bookmarkEnd w:id="155"/>
      <w:bookmarkEnd w:id="156"/>
    </w:p>
    <w:p w14:paraId="29091688" w14:textId="77777777" w:rsidR="00BE38B8" w:rsidRPr="00B457AC" w:rsidRDefault="00BE38B8" w:rsidP="00C46E12">
      <w:pPr>
        <w:jc w:val="both"/>
        <w:rPr>
          <w:rFonts w:cs="Arial"/>
          <w:sz w:val="18"/>
          <w:szCs w:val="22"/>
        </w:rPr>
      </w:pPr>
    </w:p>
    <w:p w14:paraId="55C9E873" w14:textId="77777777" w:rsidR="00B457AC" w:rsidRPr="00B457AC" w:rsidRDefault="00C46E12" w:rsidP="00B457AC">
      <w:pPr>
        <w:pStyle w:val="Bibliography"/>
        <w:rPr>
          <w:rFonts w:cs="Arial"/>
          <w:sz w:val="18"/>
        </w:rPr>
      </w:pPr>
      <w:r w:rsidRPr="00B457AC">
        <w:rPr>
          <w:rFonts w:cs="Arial"/>
          <w:sz w:val="18"/>
          <w:szCs w:val="22"/>
        </w:rPr>
        <w:fldChar w:fldCharType="begin"/>
      </w:r>
      <w:r w:rsidR="003513CC" w:rsidRPr="00B457AC">
        <w:rPr>
          <w:rFonts w:cs="Arial"/>
          <w:sz w:val="18"/>
          <w:szCs w:val="22"/>
        </w:rPr>
        <w:instrText xml:space="preserve"> ADDIN ZOTERO_BIBL {"uncited":[],"omitted":[],"custom":[]} CSL_BIBLIOGRAPHY </w:instrText>
      </w:r>
      <w:r w:rsidRPr="00B457AC">
        <w:rPr>
          <w:rFonts w:cs="Arial"/>
          <w:sz w:val="18"/>
          <w:szCs w:val="22"/>
        </w:rPr>
        <w:fldChar w:fldCharType="separate"/>
      </w:r>
      <w:r w:rsidR="00B457AC" w:rsidRPr="00B457AC">
        <w:rPr>
          <w:rFonts w:cs="Arial"/>
          <w:sz w:val="18"/>
        </w:rPr>
        <w:t xml:space="preserve">(1) </w:t>
      </w:r>
      <w:r w:rsidR="00B457AC" w:rsidRPr="00B457AC">
        <w:rPr>
          <w:rFonts w:cs="Arial"/>
          <w:sz w:val="18"/>
        </w:rPr>
        <w:tab/>
        <w:t xml:space="preserve">Torre, L. A.; Bray, F.; Siegel, R. L.; Ferlay, J.; Lortet‐Tieulent, J.; Jemal, A. Global Cancer Statistics, 2012. </w:t>
      </w:r>
      <w:r w:rsidR="00B457AC" w:rsidRPr="00B457AC">
        <w:rPr>
          <w:rFonts w:cs="Arial"/>
          <w:i/>
          <w:iCs/>
          <w:sz w:val="18"/>
        </w:rPr>
        <w:t>CA: A Cancer Journal for Clinicians</w:t>
      </w:r>
      <w:r w:rsidR="00B457AC" w:rsidRPr="00B457AC">
        <w:rPr>
          <w:rFonts w:cs="Arial"/>
          <w:sz w:val="18"/>
        </w:rPr>
        <w:t xml:space="preserve"> </w:t>
      </w:r>
      <w:r w:rsidR="00B457AC" w:rsidRPr="00B457AC">
        <w:rPr>
          <w:rFonts w:cs="Arial"/>
          <w:b/>
          <w:bCs/>
          <w:sz w:val="18"/>
        </w:rPr>
        <w:t>2015</w:t>
      </w:r>
      <w:r w:rsidR="00B457AC" w:rsidRPr="00B457AC">
        <w:rPr>
          <w:rFonts w:cs="Arial"/>
          <w:sz w:val="18"/>
        </w:rPr>
        <w:t xml:space="preserve">, </w:t>
      </w:r>
      <w:r w:rsidR="00B457AC" w:rsidRPr="00B457AC">
        <w:rPr>
          <w:rFonts w:cs="Arial"/>
          <w:i/>
          <w:iCs/>
          <w:sz w:val="18"/>
        </w:rPr>
        <w:t>65</w:t>
      </w:r>
      <w:r w:rsidR="00B457AC" w:rsidRPr="00B457AC">
        <w:rPr>
          <w:rFonts w:cs="Arial"/>
          <w:sz w:val="18"/>
        </w:rPr>
        <w:t xml:space="preserve"> (2), 87–108. https://doi.org/10.3322/caac.21262.</w:t>
      </w:r>
    </w:p>
    <w:p w14:paraId="3DE777B1" w14:textId="77777777" w:rsidR="00B457AC" w:rsidRPr="00B457AC" w:rsidRDefault="00B457AC" w:rsidP="00B457AC">
      <w:pPr>
        <w:pStyle w:val="Bibliography"/>
        <w:rPr>
          <w:rFonts w:cs="Arial"/>
          <w:sz w:val="18"/>
        </w:rPr>
      </w:pPr>
      <w:r w:rsidRPr="00B457AC">
        <w:rPr>
          <w:rFonts w:cs="Arial"/>
          <w:sz w:val="18"/>
        </w:rPr>
        <w:t xml:space="preserve">(2) </w:t>
      </w:r>
      <w:r w:rsidRPr="00B457AC">
        <w:rPr>
          <w:rFonts w:cs="Arial"/>
          <w:sz w:val="18"/>
        </w:rPr>
        <w:tab/>
        <w:t xml:space="preserve">Adam, R.; Watson, E. The Role of Primary Care in Supporting Patients Living with and beyond Cancer: </w:t>
      </w:r>
      <w:r w:rsidRPr="00B457AC">
        <w:rPr>
          <w:rFonts w:cs="Arial"/>
          <w:i/>
          <w:iCs/>
          <w:sz w:val="18"/>
        </w:rPr>
        <w:t>Supportive Cancer Care,  Oxford OX3 0FL, UK.</w:t>
      </w:r>
      <w:r w:rsidRPr="00B457AC">
        <w:rPr>
          <w:rFonts w:cs="Arial"/>
          <w:sz w:val="18"/>
        </w:rPr>
        <w:t xml:space="preserve"> </w:t>
      </w:r>
      <w:r w:rsidRPr="00B457AC">
        <w:rPr>
          <w:rFonts w:cs="Arial"/>
          <w:b/>
          <w:bCs/>
          <w:sz w:val="18"/>
        </w:rPr>
        <w:t>2018</w:t>
      </w:r>
      <w:r w:rsidRPr="00B457AC">
        <w:rPr>
          <w:rFonts w:cs="Arial"/>
          <w:sz w:val="18"/>
        </w:rPr>
        <w:t>, 1. https://doi.org/10.1097/SPC.0000000000000369.</w:t>
      </w:r>
    </w:p>
    <w:p w14:paraId="73E79B10" w14:textId="77777777" w:rsidR="00B457AC" w:rsidRPr="00B457AC" w:rsidRDefault="00B457AC" w:rsidP="00B457AC">
      <w:pPr>
        <w:pStyle w:val="Bibliography"/>
        <w:rPr>
          <w:rFonts w:cs="Arial"/>
          <w:sz w:val="18"/>
        </w:rPr>
      </w:pPr>
      <w:r w:rsidRPr="00B457AC">
        <w:rPr>
          <w:rFonts w:cs="Arial"/>
          <w:sz w:val="18"/>
        </w:rPr>
        <w:t xml:space="preserve">(3) </w:t>
      </w:r>
      <w:r w:rsidRPr="00B457AC">
        <w:rPr>
          <w:rFonts w:cs="Arial"/>
          <w:sz w:val="18"/>
        </w:rPr>
        <w:tab/>
        <w:t xml:space="preserve">Bray, F.; Ferlay, J.; Soerjomataram, I.; Siegel, R. L.; Torre, L. A.; Jemal, A. Global Cancer Statistics 2018: GLOBOCAN Estimates of Incidence and Mortality Worldwide for 36 Cancers in 185 Countries. </w:t>
      </w:r>
      <w:r w:rsidRPr="00B457AC">
        <w:rPr>
          <w:rFonts w:cs="Arial"/>
          <w:i/>
          <w:iCs/>
          <w:sz w:val="18"/>
        </w:rPr>
        <w:t>CA: A Cancer Journal for Clinicians</w:t>
      </w:r>
      <w:r w:rsidRPr="00B457AC">
        <w:rPr>
          <w:rFonts w:cs="Arial"/>
          <w:sz w:val="18"/>
        </w:rPr>
        <w:t xml:space="preserve"> </w:t>
      </w:r>
      <w:r w:rsidRPr="00B457AC">
        <w:rPr>
          <w:rFonts w:cs="Arial"/>
          <w:b/>
          <w:bCs/>
          <w:sz w:val="18"/>
        </w:rPr>
        <w:t>2018</w:t>
      </w:r>
      <w:r w:rsidRPr="00B457AC">
        <w:rPr>
          <w:rFonts w:cs="Arial"/>
          <w:sz w:val="18"/>
        </w:rPr>
        <w:t xml:space="preserve">, </w:t>
      </w:r>
      <w:r w:rsidRPr="00B457AC">
        <w:rPr>
          <w:rFonts w:cs="Arial"/>
          <w:i/>
          <w:iCs/>
          <w:sz w:val="18"/>
        </w:rPr>
        <w:t>68</w:t>
      </w:r>
      <w:r w:rsidRPr="00B457AC">
        <w:rPr>
          <w:rFonts w:cs="Arial"/>
          <w:sz w:val="18"/>
        </w:rPr>
        <w:t xml:space="preserve"> (6), 394–424. https://doi.org/10.3322/caac.21492.</w:t>
      </w:r>
    </w:p>
    <w:p w14:paraId="1734A5E2" w14:textId="77777777" w:rsidR="00B457AC" w:rsidRPr="00B457AC" w:rsidRDefault="00B457AC" w:rsidP="00B457AC">
      <w:pPr>
        <w:pStyle w:val="Bibliography"/>
        <w:rPr>
          <w:rFonts w:cs="Arial"/>
          <w:sz w:val="18"/>
        </w:rPr>
      </w:pPr>
      <w:r w:rsidRPr="00B457AC">
        <w:rPr>
          <w:rFonts w:cs="Arial"/>
          <w:sz w:val="18"/>
        </w:rPr>
        <w:t xml:space="preserve">(4) </w:t>
      </w:r>
      <w:r w:rsidRPr="00B457AC">
        <w:rPr>
          <w:rFonts w:cs="Arial"/>
          <w:sz w:val="18"/>
        </w:rPr>
        <w:tab/>
        <w:t xml:space="preserve">Berendsen, A. J.; Roorda, C.; Jansen, L.; de Bock, G. H. Patients’ Beliefs about the Aims of Breast Cancer Follow-up: A Qualitative Study. </w:t>
      </w:r>
      <w:r w:rsidRPr="00B457AC">
        <w:rPr>
          <w:rFonts w:cs="Arial"/>
          <w:i/>
          <w:iCs/>
          <w:sz w:val="18"/>
        </w:rPr>
        <w:t>Maturitas</w:t>
      </w:r>
      <w:r w:rsidRPr="00B457AC">
        <w:rPr>
          <w:rFonts w:cs="Arial"/>
          <w:sz w:val="18"/>
        </w:rPr>
        <w:t xml:space="preserve"> </w:t>
      </w:r>
      <w:r w:rsidRPr="00B457AC">
        <w:rPr>
          <w:rFonts w:cs="Arial"/>
          <w:b/>
          <w:bCs/>
          <w:sz w:val="18"/>
        </w:rPr>
        <w:t>2016</w:t>
      </w:r>
      <w:r w:rsidRPr="00B457AC">
        <w:rPr>
          <w:rFonts w:cs="Arial"/>
          <w:sz w:val="18"/>
        </w:rPr>
        <w:t xml:space="preserve">, </w:t>
      </w:r>
      <w:r w:rsidRPr="00B457AC">
        <w:rPr>
          <w:rFonts w:cs="Arial"/>
          <w:i/>
          <w:iCs/>
          <w:sz w:val="18"/>
        </w:rPr>
        <w:t>91</w:t>
      </w:r>
      <w:r w:rsidRPr="00B457AC">
        <w:rPr>
          <w:rFonts w:cs="Arial"/>
          <w:sz w:val="18"/>
        </w:rPr>
        <w:t>, 140–144. https://doi.org/10.1016/j.maturitas.2016.06.014.</w:t>
      </w:r>
    </w:p>
    <w:p w14:paraId="59CC8653" w14:textId="77777777" w:rsidR="00B457AC" w:rsidRPr="00B457AC" w:rsidRDefault="00B457AC" w:rsidP="00B457AC">
      <w:pPr>
        <w:pStyle w:val="Bibliography"/>
        <w:rPr>
          <w:rFonts w:cs="Arial"/>
          <w:sz w:val="18"/>
        </w:rPr>
      </w:pPr>
      <w:r w:rsidRPr="00B457AC">
        <w:rPr>
          <w:rFonts w:cs="Arial"/>
          <w:sz w:val="18"/>
        </w:rPr>
        <w:t xml:space="preserve">(5) </w:t>
      </w:r>
      <w:r w:rsidRPr="00B457AC">
        <w:rPr>
          <w:rFonts w:cs="Arial"/>
          <w:sz w:val="18"/>
        </w:rPr>
        <w:tab/>
        <w:t xml:space="preserve">Roorda, C.; de Bock, G. H.; Scholing, C.; van der Meer, K.; Berger, M. Y.; de Fouw, M.; Berendsen, A. J. Patients’ Preferences for Post-Treatment Breast Cancer Follow-up in Primary Care vs. Secondary Care: A Qualitative Study. </w:t>
      </w:r>
      <w:r w:rsidRPr="00B457AC">
        <w:rPr>
          <w:rFonts w:cs="Arial"/>
          <w:i/>
          <w:iCs/>
          <w:sz w:val="18"/>
        </w:rPr>
        <w:t>Health Expectations</w:t>
      </w:r>
      <w:r w:rsidRPr="00B457AC">
        <w:rPr>
          <w:rFonts w:cs="Arial"/>
          <w:sz w:val="18"/>
        </w:rPr>
        <w:t xml:space="preserve"> </w:t>
      </w:r>
      <w:r w:rsidRPr="00B457AC">
        <w:rPr>
          <w:rFonts w:cs="Arial"/>
          <w:b/>
          <w:bCs/>
          <w:sz w:val="18"/>
        </w:rPr>
        <w:t>2015</w:t>
      </w:r>
      <w:r w:rsidRPr="00B457AC">
        <w:rPr>
          <w:rFonts w:cs="Arial"/>
          <w:sz w:val="18"/>
        </w:rPr>
        <w:t xml:space="preserve">, </w:t>
      </w:r>
      <w:r w:rsidRPr="00B457AC">
        <w:rPr>
          <w:rFonts w:cs="Arial"/>
          <w:i/>
          <w:iCs/>
          <w:sz w:val="18"/>
        </w:rPr>
        <w:t>18</w:t>
      </w:r>
      <w:r w:rsidRPr="00B457AC">
        <w:rPr>
          <w:rFonts w:cs="Arial"/>
          <w:sz w:val="18"/>
        </w:rPr>
        <w:t xml:space="preserve"> (6), 2192–2201. https://doi.org/10.1111/hex.12189.</w:t>
      </w:r>
    </w:p>
    <w:p w14:paraId="1649F2F9" w14:textId="77777777" w:rsidR="00B457AC" w:rsidRPr="00B457AC" w:rsidRDefault="00B457AC" w:rsidP="00B457AC">
      <w:pPr>
        <w:pStyle w:val="Bibliography"/>
        <w:rPr>
          <w:rFonts w:cs="Arial"/>
          <w:sz w:val="18"/>
        </w:rPr>
      </w:pPr>
      <w:r w:rsidRPr="00B457AC">
        <w:rPr>
          <w:rFonts w:cs="Arial"/>
          <w:sz w:val="18"/>
        </w:rPr>
        <w:t xml:space="preserve">(6) </w:t>
      </w:r>
      <w:r w:rsidRPr="00B457AC">
        <w:rPr>
          <w:rFonts w:cs="Arial"/>
          <w:sz w:val="18"/>
        </w:rPr>
        <w:tab/>
        <w:t xml:space="preserve">Bernat, J. K.; Wittman, D. A.; Hawley, S. T.; Hamstra, D. A.; Helfand, A. M.; Haggstrom, D. A.; Darwish-Yassine, M.; Skolarus, T. A. Symptom Burden and Information Needs in Prostate Cancer Survivors: A Case for Tailored Long-Term Survivorship Care. </w:t>
      </w:r>
      <w:r w:rsidRPr="00B457AC">
        <w:rPr>
          <w:rFonts w:cs="Arial"/>
          <w:i/>
          <w:iCs/>
          <w:sz w:val="18"/>
        </w:rPr>
        <w:t>BJU Int.</w:t>
      </w:r>
      <w:r w:rsidRPr="00B457AC">
        <w:rPr>
          <w:rFonts w:cs="Arial"/>
          <w:sz w:val="18"/>
        </w:rPr>
        <w:t xml:space="preserve"> </w:t>
      </w:r>
      <w:r w:rsidRPr="00B457AC">
        <w:rPr>
          <w:rFonts w:cs="Arial"/>
          <w:b/>
          <w:bCs/>
          <w:sz w:val="18"/>
        </w:rPr>
        <w:t>2016</w:t>
      </w:r>
      <w:r w:rsidRPr="00B457AC">
        <w:rPr>
          <w:rFonts w:cs="Arial"/>
          <w:sz w:val="18"/>
        </w:rPr>
        <w:t xml:space="preserve">, </w:t>
      </w:r>
      <w:r w:rsidRPr="00B457AC">
        <w:rPr>
          <w:rFonts w:cs="Arial"/>
          <w:i/>
          <w:iCs/>
          <w:sz w:val="18"/>
        </w:rPr>
        <w:t>118</w:t>
      </w:r>
      <w:r w:rsidRPr="00B457AC">
        <w:rPr>
          <w:rFonts w:cs="Arial"/>
          <w:sz w:val="18"/>
        </w:rPr>
        <w:t xml:space="preserve"> (3), 372–378. https://doi.org/10.1111/bju.13329.</w:t>
      </w:r>
    </w:p>
    <w:p w14:paraId="2DFB059D" w14:textId="77777777" w:rsidR="00B457AC" w:rsidRPr="00B457AC" w:rsidRDefault="00B457AC" w:rsidP="00B457AC">
      <w:pPr>
        <w:pStyle w:val="Bibliography"/>
        <w:rPr>
          <w:rFonts w:cs="Arial"/>
          <w:sz w:val="18"/>
        </w:rPr>
      </w:pPr>
      <w:r w:rsidRPr="00B457AC">
        <w:rPr>
          <w:rFonts w:cs="Arial"/>
          <w:sz w:val="18"/>
        </w:rPr>
        <w:t xml:space="preserve">(7) </w:t>
      </w:r>
      <w:r w:rsidRPr="00B457AC">
        <w:rPr>
          <w:rFonts w:cs="Arial"/>
          <w:sz w:val="18"/>
        </w:rPr>
        <w:tab/>
        <w:t xml:space="preserve">Madarnas, Y.; Joy, A. A.; Verma, S.; Sehdev, S.; Lam, W.; Sideris, L. Models of Care for Early-Stage Breast Cancer in Canada. </w:t>
      </w:r>
      <w:r w:rsidRPr="00B457AC">
        <w:rPr>
          <w:rFonts w:cs="Arial"/>
          <w:i/>
          <w:iCs/>
          <w:sz w:val="18"/>
        </w:rPr>
        <w:t>Current Oncology</w:t>
      </w:r>
      <w:r w:rsidRPr="00B457AC">
        <w:rPr>
          <w:rFonts w:cs="Arial"/>
          <w:sz w:val="18"/>
        </w:rPr>
        <w:t xml:space="preserve"> </w:t>
      </w:r>
      <w:r w:rsidRPr="00B457AC">
        <w:rPr>
          <w:rFonts w:cs="Arial"/>
          <w:b/>
          <w:bCs/>
          <w:sz w:val="18"/>
        </w:rPr>
        <w:t>2011</w:t>
      </w:r>
      <w:r w:rsidRPr="00B457AC">
        <w:rPr>
          <w:rFonts w:cs="Arial"/>
          <w:sz w:val="18"/>
        </w:rPr>
        <w:t xml:space="preserve">, </w:t>
      </w:r>
      <w:r w:rsidRPr="00B457AC">
        <w:rPr>
          <w:rFonts w:cs="Arial"/>
          <w:i/>
          <w:iCs/>
          <w:sz w:val="18"/>
        </w:rPr>
        <w:t>18</w:t>
      </w:r>
      <w:r w:rsidRPr="00B457AC">
        <w:rPr>
          <w:rFonts w:cs="Arial"/>
          <w:sz w:val="18"/>
        </w:rPr>
        <w:t xml:space="preserve"> (Suppl 1), S10.</w:t>
      </w:r>
    </w:p>
    <w:p w14:paraId="121312A2" w14:textId="77777777" w:rsidR="00B457AC" w:rsidRPr="00B457AC" w:rsidRDefault="00B457AC" w:rsidP="00B457AC">
      <w:pPr>
        <w:pStyle w:val="Bibliography"/>
        <w:rPr>
          <w:rFonts w:cs="Arial"/>
          <w:sz w:val="18"/>
        </w:rPr>
      </w:pPr>
      <w:r w:rsidRPr="00B457AC">
        <w:rPr>
          <w:rFonts w:cs="Arial"/>
          <w:sz w:val="18"/>
        </w:rPr>
        <w:t xml:space="preserve">(8) </w:t>
      </w:r>
      <w:r w:rsidRPr="00B457AC">
        <w:rPr>
          <w:rFonts w:cs="Arial"/>
          <w:sz w:val="18"/>
        </w:rPr>
        <w:tab/>
        <w:t xml:space="preserve">McCabe, M. S.; Partridge, A. H.; Grunfeld, E.; Hudson, M. M. Risk-Based Health Care, the Cancer Survivor, the Oncologist, and the Primary Care Physician. </w:t>
      </w:r>
      <w:r w:rsidRPr="00B457AC">
        <w:rPr>
          <w:rFonts w:cs="Arial"/>
          <w:i/>
          <w:iCs/>
          <w:sz w:val="18"/>
        </w:rPr>
        <w:t>Seminars in Oncology</w:t>
      </w:r>
      <w:r w:rsidRPr="00B457AC">
        <w:rPr>
          <w:rFonts w:cs="Arial"/>
          <w:sz w:val="18"/>
        </w:rPr>
        <w:t xml:space="preserve"> </w:t>
      </w:r>
      <w:r w:rsidRPr="00B457AC">
        <w:rPr>
          <w:rFonts w:cs="Arial"/>
          <w:b/>
          <w:bCs/>
          <w:sz w:val="18"/>
        </w:rPr>
        <w:t>2013</w:t>
      </w:r>
      <w:r w:rsidRPr="00B457AC">
        <w:rPr>
          <w:rFonts w:cs="Arial"/>
          <w:sz w:val="18"/>
        </w:rPr>
        <w:t xml:space="preserve">, </w:t>
      </w:r>
      <w:r w:rsidRPr="00B457AC">
        <w:rPr>
          <w:rFonts w:cs="Arial"/>
          <w:i/>
          <w:iCs/>
          <w:sz w:val="18"/>
        </w:rPr>
        <w:t>40</w:t>
      </w:r>
      <w:r w:rsidRPr="00B457AC">
        <w:rPr>
          <w:rFonts w:cs="Arial"/>
          <w:sz w:val="18"/>
        </w:rPr>
        <w:t xml:space="preserve"> (6), 804–812. https://doi.org/10.1053/j.seminoncol.2013.09.004.</w:t>
      </w:r>
    </w:p>
    <w:p w14:paraId="00BE85FB" w14:textId="77777777" w:rsidR="00B457AC" w:rsidRPr="00B457AC" w:rsidRDefault="00B457AC" w:rsidP="00B457AC">
      <w:pPr>
        <w:pStyle w:val="Bibliography"/>
        <w:rPr>
          <w:rFonts w:cs="Arial"/>
          <w:sz w:val="18"/>
        </w:rPr>
      </w:pPr>
      <w:r w:rsidRPr="00B457AC">
        <w:rPr>
          <w:rFonts w:cs="Arial"/>
          <w:sz w:val="18"/>
        </w:rPr>
        <w:t xml:space="preserve">(9) </w:t>
      </w:r>
      <w:r w:rsidRPr="00B457AC">
        <w:rPr>
          <w:rFonts w:cs="Arial"/>
          <w:sz w:val="18"/>
        </w:rPr>
        <w:tab/>
        <w:t xml:space="preserve">Del Giudice, M. E.; Grunfeld, E.; Harvey, B. J.; Piliotis, E.; Verma, S. Primary Care Physicians’ Views of Routine Follow-Up Care of Cancer Survivors. </w:t>
      </w:r>
      <w:r w:rsidRPr="00B457AC">
        <w:rPr>
          <w:rFonts w:cs="Arial"/>
          <w:i/>
          <w:iCs/>
          <w:sz w:val="18"/>
        </w:rPr>
        <w:t>Journal of Clinical Oncology</w:t>
      </w:r>
      <w:r w:rsidRPr="00B457AC">
        <w:rPr>
          <w:rFonts w:cs="Arial"/>
          <w:sz w:val="18"/>
        </w:rPr>
        <w:t xml:space="preserve"> </w:t>
      </w:r>
      <w:r w:rsidRPr="00B457AC">
        <w:rPr>
          <w:rFonts w:cs="Arial"/>
          <w:b/>
          <w:bCs/>
          <w:sz w:val="18"/>
        </w:rPr>
        <w:t>2009</w:t>
      </w:r>
      <w:r w:rsidRPr="00B457AC">
        <w:rPr>
          <w:rFonts w:cs="Arial"/>
          <w:sz w:val="18"/>
        </w:rPr>
        <w:t xml:space="preserve">, </w:t>
      </w:r>
      <w:r w:rsidRPr="00B457AC">
        <w:rPr>
          <w:rFonts w:cs="Arial"/>
          <w:i/>
          <w:iCs/>
          <w:sz w:val="18"/>
        </w:rPr>
        <w:t>27</w:t>
      </w:r>
      <w:r w:rsidRPr="00B457AC">
        <w:rPr>
          <w:rFonts w:cs="Arial"/>
          <w:sz w:val="18"/>
        </w:rPr>
        <w:t xml:space="preserve"> (20), 3338–3345. https://doi.org/10.1200/JCO.2008.20.4883.</w:t>
      </w:r>
    </w:p>
    <w:p w14:paraId="28269958" w14:textId="77777777" w:rsidR="00B457AC" w:rsidRPr="00B457AC" w:rsidRDefault="00B457AC" w:rsidP="00B457AC">
      <w:pPr>
        <w:pStyle w:val="Bibliography"/>
        <w:rPr>
          <w:rFonts w:cs="Arial"/>
          <w:sz w:val="18"/>
        </w:rPr>
      </w:pPr>
      <w:r w:rsidRPr="00B457AC">
        <w:rPr>
          <w:rFonts w:cs="Arial"/>
          <w:sz w:val="18"/>
        </w:rPr>
        <w:t xml:space="preserve">(10) </w:t>
      </w:r>
      <w:r w:rsidRPr="00B457AC">
        <w:rPr>
          <w:rFonts w:cs="Arial"/>
          <w:sz w:val="18"/>
        </w:rPr>
        <w:tab/>
        <w:t xml:space="preserve">Brandenbarg, D.; Berendsen, A. J.; de Bock, G. H. Patients’ Expectations and Preferences Regarding Cancer Follow-up Care. </w:t>
      </w:r>
      <w:r w:rsidRPr="00B457AC">
        <w:rPr>
          <w:rFonts w:cs="Arial"/>
          <w:i/>
          <w:iCs/>
          <w:sz w:val="18"/>
        </w:rPr>
        <w:t>Maturitas</w:t>
      </w:r>
      <w:r w:rsidRPr="00B457AC">
        <w:rPr>
          <w:rFonts w:cs="Arial"/>
          <w:sz w:val="18"/>
        </w:rPr>
        <w:t xml:space="preserve"> </w:t>
      </w:r>
      <w:r w:rsidRPr="00B457AC">
        <w:rPr>
          <w:rFonts w:cs="Arial"/>
          <w:b/>
          <w:bCs/>
          <w:sz w:val="18"/>
        </w:rPr>
        <w:t>2017</w:t>
      </w:r>
      <w:r w:rsidRPr="00B457AC">
        <w:rPr>
          <w:rFonts w:cs="Arial"/>
          <w:sz w:val="18"/>
        </w:rPr>
        <w:t xml:space="preserve">, </w:t>
      </w:r>
      <w:r w:rsidRPr="00B457AC">
        <w:rPr>
          <w:rFonts w:cs="Arial"/>
          <w:i/>
          <w:iCs/>
          <w:sz w:val="18"/>
        </w:rPr>
        <w:t>105</w:t>
      </w:r>
      <w:r w:rsidRPr="00B457AC">
        <w:rPr>
          <w:rFonts w:cs="Arial"/>
          <w:sz w:val="18"/>
        </w:rPr>
        <w:t>, 58–63. https://doi.org/10.1016/j.maturitas.2017.07.001.</w:t>
      </w:r>
    </w:p>
    <w:p w14:paraId="6BD5906C" w14:textId="77777777" w:rsidR="00B457AC" w:rsidRPr="00B457AC" w:rsidRDefault="00B457AC" w:rsidP="00B457AC">
      <w:pPr>
        <w:pStyle w:val="Bibliography"/>
        <w:rPr>
          <w:rFonts w:cs="Arial"/>
          <w:sz w:val="18"/>
        </w:rPr>
      </w:pPr>
      <w:r w:rsidRPr="00B457AC">
        <w:rPr>
          <w:rFonts w:cs="Arial"/>
          <w:sz w:val="18"/>
        </w:rPr>
        <w:t xml:space="preserve">(11) </w:t>
      </w:r>
      <w:r w:rsidRPr="00B457AC">
        <w:rPr>
          <w:rFonts w:cs="Arial"/>
          <w:sz w:val="18"/>
        </w:rPr>
        <w:tab/>
        <w:t xml:space="preserve">Brennan, M. E.; Butow, P.; Spillane, A. J.; Boyle, F. M. Survivorship Care after Breast Cancer: Follow-up Practices of Australian Health Professionals and Attitudes to a Survivorship Care Plan: Breast Cancer Survivorship Care Survey. </w:t>
      </w:r>
      <w:r w:rsidRPr="00B457AC">
        <w:rPr>
          <w:rFonts w:cs="Arial"/>
          <w:i/>
          <w:iCs/>
          <w:sz w:val="18"/>
        </w:rPr>
        <w:t>Asia-Pacific Journal of Clinical Oncology</w:t>
      </w:r>
      <w:r w:rsidRPr="00B457AC">
        <w:rPr>
          <w:rFonts w:cs="Arial"/>
          <w:sz w:val="18"/>
        </w:rPr>
        <w:t xml:space="preserve"> </w:t>
      </w:r>
      <w:r w:rsidRPr="00B457AC">
        <w:rPr>
          <w:rFonts w:cs="Arial"/>
          <w:b/>
          <w:bCs/>
          <w:sz w:val="18"/>
        </w:rPr>
        <w:t>2010</w:t>
      </w:r>
      <w:r w:rsidRPr="00B457AC">
        <w:rPr>
          <w:rFonts w:cs="Arial"/>
          <w:sz w:val="18"/>
        </w:rPr>
        <w:t xml:space="preserve">, </w:t>
      </w:r>
      <w:r w:rsidRPr="00B457AC">
        <w:rPr>
          <w:rFonts w:cs="Arial"/>
          <w:i/>
          <w:iCs/>
          <w:sz w:val="18"/>
        </w:rPr>
        <w:t>6</w:t>
      </w:r>
      <w:r w:rsidRPr="00B457AC">
        <w:rPr>
          <w:rFonts w:cs="Arial"/>
          <w:sz w:val="18"/>
        </w:rPr>
        <w:t xml:space="preserve"> (2), 116–125. https://doi.org/10.1111/j.1743-7563.2010.01286.x.</w:t>
      </w:r>
    </w:p>
    <w:p w14:paraId="7B126133" w14:textId="77777777" w:rsidR="00B457AC" w:rsidRPr="00B457AC" w:rsidRDefault="00B457AC" w:rsidP="00B457AC">
      <w:pPr>
        <w:pStyle w:val="Bibliography"/>
        <w:rPr>
          <w:rFonts w:cs="Arial"/>
          <w:sz w:val="18"/>
        </w:rPr>
      </w:pPr>
      <w:r w:rsidRPr="00B457AC">
        <w:rPr>
          <w:rFonts w:cs="Arial"/>
          <w:sz w:val="18"/>
        </w:rPr>
        <w:t xml:space="preserve">(12) </w:t>
      </w:r>
      <w:r w:rsidRPr="00B457AC">
        <w:rPr>
          <w:rFonts w:cs="Arial"/>
          <w:sz w:val="18"/>
        </w:rPr>
        <w:tab/>
        <w:t xml:space="preserve">Cheung, W. Y.; Neville, B. A.; Cameron, D. B.; Cook, E. F.; Earle, C. C. Comparisons of Patient and Physician Expectations for Cancer Survivorship Care. </w:t>
      </w:r>
      <w:r w:rsidRPr="00B457AC">
        <w:rPr>
          <w:rFonts w:cs="Arial"/>
          <w:i/>
          <w:iCs/>
          <w:sz w:val="18"/>
        </w:rPr>
        <w:t>Journal of Clinical Oncology</w:t>
      </w:r>
      <w:r w:rsidRPr="00B457AC">
        <w:rPr>
          <w:rFonts w:cs="Arial"/>
          <w:sz w:val="18"/>
        </w:rPr>
        <w:t xml:space="preserve"> </w:t>
      </w:r>
      <w:r w:rsidRPr="00B457AC">
        <w:rPr>
          <w:rFonts w:cs="Arial"/>
          <w:b/>
          <w:bCs/>
          <w:sz w:val="18"/>
        </w:rPr>
        <w:t>2009</w:t>
      </w:r>
      <w:r w:rsidRPr="00B457AC">
        <w:rPr>
          <w:rFonts w:cs="Arial"/>
          <w:sz w:val="18"/>
        </w:rPr>
        <w:t xml:space="preserve">, </w:t>
      </w:r>
      <w:r w:rsidRPr="00B457AC">
        <w:rPr>
          <w:rFonts w:cs="Arial"/>
          <w:i/>
          <w:iCs/>
          <w:sz w:val="18"/>
        </w:rPr>
        <w:t>27</w:t>
      </w:r>
      <w:r w:rsidRPr="00B457AC">
        <w:rPr>
          <w:rFonts w:cs="Arial"/>
          <w:sz w:val="18"/>
        </w:rPr>
        <w:t xml:space="preserve"> (15), 2489–2495. https://doi.org/10.1200/JCO.2008.20.3232.</w:t>
      </w:r>
    </w:p>
    <w:p w14:paraId="0B27E195" w14:textId="77777777" w:rsidR="00B457AC" w:rsidRPr="00B457AC" w:rsidRDefault="00B457AC" w:rsidP="00B457AC">
      <w:pPr>
        <w:pStyle w:val="Bibliography"/>
        <w:rPr>
          <w:rFonts w:cs="Arial"/>
          <w:sz w:val="18"/>
        </w:rPr>
      </w:pPr>
      <w:r w:rsidRPr="00B457AC">
        <w:rPr>
          <w:rFonts w:cs="Arial"/>
          <w:sz w:val="18"/>
        </w:rPr>
        <w:t xml:space="preserve">(13) </w:t>
      </w:r>
      <w:r w:rsidRPr="00B457AC">
        <w:rPr>
          <w:rFonts w:cs="Arial"/>
          <w:sz w:val="18"/>
        </w:rPr>
        <w:tab/>
        <w:t xml:space="preserve">Haggstrom, D. A.; Arora, N. K.; Helft, P.; Clayman, M. L.; Oakley-Girvan, I. Follow-up Care Delivery Among Colorectal Cancer Survivors Most Often Seen by Primary and Subspecialty Care Physicians. </w:t>
      </w:r>
      <w:r w:rsidRPr="00B457AC">
        <w:rPr>
          <w:rFonts w:cs="Arial"/>
          <w:i/>
          <w:iCs/>
          <w:sz w:val="18"/>
        </w:rPr>
        <w:t>Journal of General Internal Medicine</w:t>
      </w:r>
      <w:r w:rsidRPr="00B457AC">
        <w:rPr>
          <w:rFonts w:cs="Arial"/>
          <w:sz w:val="18"/>
        </w:rPr>
        <w:t xml:space="preserve"> </w:t>
      </w:r>
      <w:r w:rsidRPr="00B457AC">
        <w:rPr>
          <w:rFonts w:cs="Arial"/>
          <w:b/>
          <w:bCs/>
          <w:sz w:val="18"/>
        </w:rPr>
        <w:t>2009</w:t>
      </w:r>
      <w:r w:rsidRPr="00B457AC">
        <w:rPr>
          <w:rFonts w:cs="Arial"/>
          <w:sz w:val="18"/>
        </w:rPr>
        <w:t xml:space="preserve">, </w:t>
      </w:r>
      <w:r w:rsidRPr="00B457AC">
        <w:rPr>
          <w:rFonts w:cs="Arial"/>
          <w:i/>
          <w:iCs/>
          <w:sz w:val="18"/>
        </w:rPr>
        <w:t>24</w:t>
      </w:r>
      <w:r w:rsidRPr="00B457AC">
        <w:rPr>
          <w:rFonts w:cs="Arial"/>
          <w:sz w:val="18"/>
        </w:rPr>
        <w:t xml:space="preserve"> (S2), 472–479. https://doi.org/10.1007/s11606-009-1017-6.</w:t>
      </w:r>
    </w:p>
    <w:p w14:paraId="1405D4F1" w14:textId="77777777" w:rsidR="00B457AC" w:rsidRPr="00B457AC" w:rsidRDefault="00B457AC" w:rsidP="00B457AC">
      <w:pPr>
        <w:pStyle w:val="Bibliography"/>
        <w:rPr>
          <w:rFonts w:cs="Arial"/>
          <w:sz w:val="18"/>
        </w:rPr>
      </w:pPr>
      <w:r w:rsidRPr="00B457AC">
        <w:rPr>
          <w:rFonts w:cs="Arial"/>
          <w:sz w:val="18"/>
        </w:rPr>
        <w:t xml:space="preserve">(14) </w:t>
      </w:r>
      <w:r w:rsidRPr="00B457AC">
        <w:rPr>
          <w:rFonts w:cs="Arial"/>
          <w:sz w:val="18"/>
        </w:rPr>
        <w:tab/>
        <w:t xml:space="preserve">Kimman, M. L.; Dellaert, B. G. C.; Boersma, L. J.; Lambin, P.; Dirksen, C. D. Follow-up after Treatment for Breast Cancer: One Strategy Fits All? An Investigation of Patient Preferences Using a Discrete Choice Experiment. </w:t>
      </w:r>
      <w:r w:rsidRPr="00B457AC">
        <w:rPr>
          <w:rFonts w:cs="Arial"/>
          <w:i/>
          <w:iCs/>
          <w:sz w:val="18"/>
        </w:rPr>
        <w:t>Acta Oncologica (Stockholm, Sweden)</w:t>
      </w:r>
      <w:r w:rsidRPr="00B457AC">
        <w:rPr>
          <w:rFonts w:cs="Arial"/>
          <w:sz w:val="18"/>
        </w:rPr>
        <w:t xml:space="preserve"> </w:t>
      </w:r>
      <w:r w:rsidRPr="00B457AC">
        <w:rPr>
          <w:rFonts w:cs="Arial"/>
          <w:b/>
          <w:bCs/>
          <w:sz w:val="18"/>
        </w:rPr>
        <w:t>2010</w:t>
      </w:r>
      <w:r w:rsidRPr="00B457AC">
        <w:rPr>
          <w:rFonts w:cs="Arial"/>
          <w:sz w:val="18"/>
        </w:rPr>
        <w:t xml:space="preserve">, </w:t>
      </w:r>
      <w:r w:rsidRPr="00B457AC">
        <w:rPr>
          <w:rFonts w:cs="Arial"/>
          <w:i/>
          <w:iCs/>
          <w:sz w:val="18"/>
        </w:rPr>
        <w:t>49</w:t>
      </w:r>
      <w:r w:rsidRPr="00B457AC">
        <w:rPr>
          <w:rFonts w:cs="Arial"/>
          <w:sz w:val="18"/>
        </w:rPr>
        <w:t xml:space="preserve"> (3), 328–337. https://doi.org/10.3109/02841860903536002.</w:t>
      </w:r>
    </w:p>
    <w:p w14:paraId="3EC6E3CA" w14:textId="77777777" w:rsidR="00B457AC" w:rsidRPr="00B457AC" w:rsidRDefault="00B457AC" w:rsidP="00B457AC">
      <w:pPr>
        <w:pStyle w:val="Bibliography"/>
        <w:rPr>
          <w:rFonts w:cs="Arial"/>
          <w:sz w:val="18"/>
        </w:rPr>
      </w:pPr>
      <w:r w:rsidRPr="00B457AC">
        <w:rPr>
          <w:rFonts w:cs="Arial"/>
          <w:sz w:val="18"/>
        </w:rPr>
        <w:t xml:space="preserve">(15) </w:t>
      </w:r>
      <w:r w:rsidRPr="00B457AC">
        <w:rPr>
          <w:rFonts w:cs="Arial"/>
          <w:sz w:val="18"/>
        </w:rPr>
        <w:tab/>
        <w:t xml:space="preserve">Papagrigoriadis, S. Patients’ Views on Follow up of Colorectal Cancer: Implications for Risk Communication and Decision Making. </w:t>
      </w:r>
      <w:r w:rsidRPr="00B457AC">
        <w:rPr>
          <w:rFonts w:cs="Arial"/>
          <w:i/>
          <w:iCs/>
          <w:sz w:val="18"/>
        </w:rPr>
        <w:t>Postgraduate Medical Journal</w:t>
      </w:r>
      <w:r w:rsidRPr="00B457AC">
        <w:rPr>
          <w:rFonts w:cs="Arial"/>
          <w:sz w:val="18"/>
        </w:rPr>
        <w:t xml:space="preserve"> </w:t>
      </w:r>
      <w:r w:rsidRPr="00B457AC">
        <w:rPr>
          <w:rFonts w:cs="Arial"/>
          <w:b/>
          <w:bCs/>
          <w:sz w:val="18"/>
        </w:rPr>
        <w:t>2003</w:t>
      </w:r>
      <w:r w:rsidRPr="00B457AC">
        <w:rPr>
          <w:rFonts w:cs="Arial"/>
          <w:sz w:val="18"/>
        </w:rPr>
        <w:t xml:space="preserve">, </w:t>
      </w:r>
      <w:r w:rsidRPr="00B457AC">
        <w:rPr>
          <w:rFonts w:cs="Arial"/>
          <w:i/>
          <w:iCs/>
          <w:sz w:val="18"/>
        </w:rPr>
        <w:t>79</w:t>
      </w:r>
      <w:r w:rsidRPr="00B457AC">
        <w:rPr>
          <w:rFonts w:cs="Arial"/>
          <w:sz w:val="18"/>
        </w:rPr>
        <w:t xml:space="preserve"> (933), 403–407. https://doi.org/10.1136/pmj.79.933.403.</w:t>
      </w:r>
    </w:p>
    <w:p w14:paraId="6F1D85BC" w14:textId="77777777" w:rsidR="00B457AC" w:rsidRPr="00B457AC" w:rsidRDefault="00B457AC" w:rsidP="00B457AC">
      <w:pPr>
        <w:pStyle w:val="Bibliography"/>
        <w:rPr>
          <w:rFonts w:cs="Arial"/>
          <w:sz w:val="18"/>
        </w:rPr>
      </w:pPr>
      <w:r w:rsidRPr="00B457AC">
        <w:rPr>
          <w:rFonts w:cs="Arial"/>
          <w:sz w:val="18"/>
        </w:rPr>
        <w:t xml:space="preserve">(16) </w:t>
      </w:r>
      <w:r w:rsidRPr="00B457AC">
        <w:rPr>
          <w:rFonts w:cs="Arial"/>
          <w:sz w:val="18"/>
        </w:rPr>
        <w:tab/>
        <w:t xml:space="preserve">Leeson, S.; Stuart, N.; Sylvestre, Y.; Hall, L.; Whitaker, R. Gynaecological Cancer Follow-up: National Survey of Current Practice in the UK. </w:t>
      </w:r>
      <w:r w:rsidRPr="00B457AC">
        <w:rPr>
          <w:rFonts w:cs="Arial"/>
          <w:i/>
          <w:iCs/>
          <w:sz w:val="18"/>
        </w:rPr>
        <w:t>BMJ Open</w:t>
      </w:r>
      <w:r w:rsidRPr="00B457AC">
        <w:rPr>
          <w:rFonts w:cs="Arial"/>
          <w:sz w:val="18"/>
        </w:rPr>
        <w:t xml:space="preserve"> </w:t>
      </w:r>
      <w:r w:rsidRPr="00B457AC">
        <w:rPr>
          <w:rFonts w:cs="Arial"/>
          <w:b/>
          <w:bCs/>
          <w:sz w:val="18"/>
        </w:rPr>
        <w:t>2013</w:t>
      </w:r>
      <w:r w:rsidRPr="00B457AC">
        <w:rPr>
          <w:rFonts w:cs="Arial"/>
          <w:sz w:val="18"/>
        </w:rPr>
        <w:t xml:space="preserve">, </w:t>
      </w:r>
      <w:r w:rsidRPr="00B457AC">
        <w:rPr>
          <w:rFonts w:cs="Arial"/>
          <w:i/>
          <w:iCs/>
          <w:sz w:val="18"/>
        </w:rPr>
        <w:t>3</w:t>
      </w:r>
      <w:r w:rsidRPr="00B457AC">
        <w:rPr>
          <w:rFonts w:cs="Arial"/>
          <w:sz w:val="18"/>
        </w:rPr>
        <w:t xml:space="preserve"> (7), e002859. https://doi.org/10.1136/bmjopen-2013-002859.</w:t>
      </w:r>
    </w:p>
    <w:p w14:paraId="5AA076D4" w14:textId="77777777" w:rsidR="00B457AC" w:rsidRPr="00B457AC" w:rsidRDefault="00B457AC" w:rsidP="00B457AC">
      <w:pPr>
        <w:pStyle w:val="Bibliography"/>
        <w:rPr>
          <w:rFonts w:cs="Arial"/>
          <w:sz w:val="18"/>
        </w:rPr>
      </w:pPr>
      <w:r w:rsidRPr="00B457AC">
        <w:rPr>
          <w:rFonts w:cs="Arial"/>
          <w:sz w:val="18"/>
        </w:rPr>
        <w:t xml:space="preserve">(17) </w:t>
      </w:r>
      <w:r w:rsidRPr="00B457AC">
        <w:rPr>
          <w:rFonts w:cs="Arial"/>
          <w:sz w:val="18"/>
        </w:rPr>
        <w:tab/>
        <w:t xml:space="preserve">Mao, J. J.; Bowman, M. A.; Stricker, C. T.; DeMichele, A.; Jacobs, L.; Chan, D.; Armstrong, K. Delivery of Survivorship Care by Primary Care Physicians: The Perspective of Breast Cancer Patients. </w:t>
      </w:r>
      <w:r w:rsidRPr="00B457AC">
        <w:rPr>
          <w:rFonts w:cs="Arial"/>
          <w:i/>
          <w:iCs/>
          <w:sz w:val="18"/>
        </w:rPr>
        <w:t>Journal of Clinical Oncology</w:t>
      </w:r>
      <w:r w:rsidRPr="00B457AC">
        <w:rPr>
          <w:rFonts w:cs="Arial"/>
          <w:sz w:val="18"/>
        </w:rPr>
        <w:t xml:space="preserve"> </w:t>
      </w:r>
      <w:r w:rsidRPr="00B457AC">
        <w:rPr>
          <w:rFonts w:cs="Arial"/>
          <w:b/>
          <w:bCs/>
          <w:sz w:val="18"/>
        </w:rPr>
        <w:t>2009</w:t>
      </w:r>
      <w:r w:rsidRPr="00B457AC">
        <w:rPr>
          <w:rFonts w:cs="Arial"/>
          <w:sz w:val="18"/>
        </w:rPr>
        <w:t xml:space="preserve">, </w:t>
      </w:r>
      <w:r w:rsidRPr="00B457AC">
        <w:rPr>
          <w:rFonts w:cs="Arial"/>
          <w:i/>
          <w:iCs/>
          <w:sz w:val="18"/>
        </w:rPr>
        <w:t>27</w:t>
      </w:r>
      <w:r w:rsidRPr="00B457AC">
        <w:rPr>
          <w:rFonts w:cs="Arial"/>
          <w:sz w:val="18"/>
        </w:rPr>
        <w:t xml:space="preserve"> (6), 933–938. https://doi.org/10.1200/JCO.2008.18.0679.</w:t>
      </w:r>
    </w:p>
    <w:p w14:paraId="58FB94D5" w14:textId="77777777" w:rsidR="00B457AC" w:rsidRPr="00B457AC" w:rsidRDefault="00B457AC" w:rsidP="00B457AC">
      <w:pPr>
        <w:pStyle w:val="Bibliography"/>
        <w:rPr>
          <w:rFonts w:cs="Arial"/>
          <w:sz w:val="18"/>
        </w:rPr>
      </w:pPr>
      <w:r w:rsidRPr="00B457AC">
        <w:rPr>
          <w:rFonts w:cs="Arial"/>
          <w:sz w:val="18"/>
        </w:rPr>
        <w:t xml:space="preserve">(18) </w:t>
      </w:r>
      <w:r w:rsidRPr="00B457AC">
        <w:rPr>
          <w:rFonts w:cs="Arial"/>
          <w:sz w:val="18"/>
        </w:rPr>
        <w:tab/>
        <w:t xml:space="preserve">Mayer, E. L.; Gropper, A. B.; Neville, B. A.; Partridge, A. H.; Cameron, D. B.; Winer, E. P.; Earle, C. C. Breast Cancer Survivors’ Perceptions of Survivorship Care Options. </w:t>
      </w:r>
      <w:r w:rsidRPr="00B457AC">
        <w:rPr>
          <w:rFonts w:cs="Arial"/>
          <w:i/>
          <w:iCs/>
          <w:sz w:val="18"/>
        </w:rPr>
        <w:t>Journal of Clinical Oncology</w:t>
      </w:r>
      <w:r w:rsidRPr="00B457AC">
        <w:rPr>
          <w:rFonts w:cs="Arial"/>
          <w:sz w:val="18"/>
        </w:rPr>
        <w:t xml:space="preserve"> </w:t>
      </w:r>
      <w:r w:rsidRPr="00B457AC">
        <w:rPr>
          <w:rFonts w:cs="Arial"/>
          <w:b/>
          <w:bCs/>
          <w:sz w:val="18"/>
        </w:rPr>
        <w:t>2012</w:t>
      </w:r>
      <w:r w:rsidRPr="00B457AC">
        <w:rPr>
          <w:rFonts w:cs="Arial"/>
          <w:sz w:val="18"/>
        </w:rPr>
        <w:t xml:space="preserve">, </w:t>
      </w:r>
      <w:r w:rsidRPr="00B457AC">
        <w:rPr>
          <w:rFonts w:cs="Arial"/>
          <w:i/>
          <w:iCs/>
          <w:sz w:val="18"/>
        </w:rPr>
        <w:t>30</w:t>
      </w:r>
      <w:r w:rsidRPr="00B457AC">
        <w:rPr>
          <w:rFonts w:cs="Arial"/>
          <w:sz w:val="18"/>
        </w:rPr>
        <w:t xml:space="preserve"> (2), 158–163. https://doi.org/10.1200/JCO.2011.36.9264.</w:t>
      </w:r>
    </w:p>
    <w:p w14:paraId="468985D9" w14:textId="77777777" w:rsidR="00B457AC" w:rsidRPr="00B457AC" w:rsidRDefault="00B457AC" w:rsidP="00B457AC">
      <w:pPr>
        <w:pStyle w:val="Bibliography"/>
        <w:rPr>
          <w:rFonts w:cs="Arial"/>
          <w:sz w:val="18"/>
        </w:rPr>
      </w:pPr>
      <w:r w:rsidRPr="00B457AC">
        <w:rPr>
          <w:rFonts w:cs="Arial"/>
          <w:sz w:val="18"/>
        </w:rPr>
        <w:t xml:space="preserve">(19) </w:t>
      </w:r>
      <w:r w:rsidRPr="00B457AC">
        <w:rPr>
          <w:rFonts w:cs="Arial"/>
          <w:sz w:val="18"/>
        </w:rPr>
        <w:tab/>
        <w:t xml:space="preserve">Miedema, B.; MacDonald, I.; Tatemichi, S. Cancer Follow-up Care. Patients’ Perspectives. </w:t>
      </w:r>
      <w:r w:rsidRPr="00B457AC">
        <w:rPr>
          <w:rFonts w:cs="Arial"/>
          <w:i/>
          <w:iCs/>
          <w:sz w:val="18"/>
        </w:rPr>
        <w:t>Can Fam Physician</w:t>
      </w:r>
      <w:r w:rsidRPr="00B457AC">
        <w:rPr>
          <w:rFonts w:cs="Arial"/>
          <w:sz w:val="18"/>
        </w:rPr>
        <w:t xml:space="preserve"> </w:t>
      </w:r>
      <w:r w:rsidRPr="00B457AC">
        <w:rPr>
          <w:rFonts w:cs="Arial"/>
          <w:b/>
          <w:bCs/>
          <w:sz w:val="18"/>
        </w:rPr>
        <w:t>2003</w:t>
      </w:r>
      <w:r w:rsidRPr="00B457AC">
        <w:rPr>
          <w:rFonts w:cs="Arial"/>
          <w:sz w:val="18"/>
        </w:rPr>
        <w:t xml:space="preserve">, </w:t>
      </w:r>
      <w:r w:rsidRPr="00B457AC">
        <w:rPr>
          <w:rFonts w:cs="Arial"/>
          <w:i/>
          <w:iCs/>
          <w:sz w:val="18"/>
        </w:rPr>
        <w:t>49</w:t>
      </w:r>
      <w:r w:rsidRPr="00B457AC">
        <w:rPr>
          <w:rFonts w:cs="Arial"/>
          <w:sz w:val="18"/>
        </w:rPr>
        <w:t>, 890–895.</w:t>
      </w:r>
    </w:p>
    <w:p w14:paraId="24E0A0D6" w14:textId="77777777" w:rsidR="00B457AC" w:rsidRPr="00B457AC" w:rsidRDefault="00B457AC" w:rsidP="00B457AC">
      <w:pPr>
        <w:pStyle w:val="Bibliography"/>
        <w:rPr>
          <w:rFonts w:cs="Arial"/>
          <w:sz w:val="18"/>
        </w:rPr>
      </w:pPr>
      <w:r w:rsidRPr="00B457AC">
        <w:rPr>
          <w:rFonts w:cs="Arial"/>
          <w:sz w:val="18"/>
        </w:rPr>
        <w:t xml:space="preserve">(20) </w:t>
      </w:r>
      <w:r w:rsidRPr="00B457AC">
        <w:rPr>
          <w:rFonts w:cs="Arial"/>
          <w:sz w:val="18"/>
        </w:rPr>
        <w:tab/>
        <w:t xml:space="preserve">Grunfeld, E.; Levine, M. N.; Julian, J. A.; Coyle, D.; Szechtman, B.; Mirsky, D.; Verma, S.; Dent, S.; Sawka, C.; Pritchard, K. I.; et al. Randomized Trial of Long-Term Follow-up for Early-Stage </w:t>
      </w:r>
      <w:r w:rsidRPr="00B457AC">
        <w:rPr>
          <w:rFonts w:cs="Arial"/>
          <w:sz w:val="18"/>
        </w:rPr>
        <w:lastRenderedPageBreak/>
        <w:t xml:space="preserve">Breast Cancer: A Comparison of Family Physician versus Specialist Care. </w:t>
      </w:r>
      <w:r w:rsidRPr="00B457AC">
        <w:rPr>
          <w:rFonts w:cs="Arial"/>
          <w:i/>
          <w:iCs/>
          <w:sz w:val="18"/>
        </w:rPr>
        <w:t>J. Clin. Oncol.</w:t>
      </w:r>
      <w:r w:rsidRPr="00B457AC">
        <w:rPr>
          <w:rFonts w:cs="Arial"/>
          <w:sz w:val="18"/>
        </w:rPr>
        <w:t xml:space="preserve"> </w:t>
      </w:r>
      <w:r w:rsidRPr="00B457AC">
        <w:rPr>
          <w:rFonts w:cs="Arial"/>
          <w:b/>
          <w:bCs/>
          <w:sz w:val="18"/>
        </w:rPr>
        <w:t>2006</w:t>
      </w:r>
      <w:r w:rsidRPr="00B457AC">
        <w:rPr>
          <w:rFonts w:cs="Arial"/>
          <w:sz w:val="18"/>
        </w:rPr>
        <w:t xml:space="preserve">, </w:t>
      </w:r>
      <w:r w:rsidRPr="00B457AC">
        <w:rPr>
          <w:rFonts w:cs="Arial"/>
          <w:i/>
          <w:iCs/>
          <w:sz w:val="18"/>
        </w:rPr>
        <w:t>24</w:t>
      </w:r>
      <w:r w:rsidRPr="00B457AC">
        <w:rPr>
          <w:rFonts w:cs="Arial"/>
          <w:sz w:val="18"/>
        </w:rPr>
        <w:t xml:space="preserve"> (6), 848–855. https://doi.org/10.1200/JCO.2005.03.2235.</w:t>
      </w:r>
    </w:p>
    <w:p w14:paraId="588704C3" w14:textId="77777777" w:rsidR="00B457AC" w:rsidRPr="00B457AC" w:rsidRDefault="00B457AC" w:rsidP="00B457AC">
      <w:pPr>
        <w:pStyle w:val="Bibliography"/>
        <w:rPr>
          <w:rFonts w:cs="Arial"/>
          <w:sz w:val="18"/>
        </w:rPr>
      </w:pPr>
      <w:r w:rsidRPr="00B457AC">
        <w:rPr>
          <w:rFonts w:cs="Arial"/>
          <w:sz w:val="18"/>
        </w:rPr>
        <w:t xml:space="preserve">(21) </w:t>
      </w:r>
      <w:r w:rsidRPr="00B457AC">
        <w:rPr>
          <w:rFonts w:cs="Arial"/>
          <w:sz w:val="18"/>
        </w:rPr>
        <w:tab/>
        <w:t xml:space="preserve">Grunfeld, E.; Julian, J. A.; Pond, G.; Maunsell, E.; Coyle, D.; Folkes, A.; Joy, A. A.; Provencher, L.; Rayson, D.; Rheaume, D. E.; et al. Evaluating Survivorship Care Plans: Results of a Randomized, Clinical Trial of Patients With Breast Cancer. </w:t>
      </w:r>
      <w:r w:rsidRPr="00B457AC">
        <w:rPr>
          <w:rFonts w:cs="Arial"/>
          <w:i/>
          <w:iCs/>
          <w:sz w:val="18"/>
        </w:rPr>
        <w:t>Journal of Clinical Oncology</w:t>
      </w:r>
      <w:r w:rsidRPr="00B457AC">
        <w:rPr>
          <w:rFonts w:cs="Arial"/>
          <w:sz w:val="18"/>
        </w:rPr>
        <w:t xml:space="preserve"> </w:t>
      </w:r>
      <w:r w:rsidRPr="00B457AC">
        <w:rPr>
          <w:rFonts w:cs="Arial"/>
          <w:b/>
          <w:bCs/>
          <w:sz w:val="18"/>
        </w:rPr>
        <w:t>2011</w:t>
      </w:r>
      <w:r w:rsidRPr="00B457AC">
        <w:rPr>
          <w:rFonts w:cs="Arial"/>
          <w:sz w:val="18"/>
        </w:rPr>
        <w:t xml:space="preserve">, </w:t>
      </w:r>
      <w:r w:rsidRPr="00B457AC">
        <w:rPr>
          <w:rFonts w:cs="Arial"/>
          <w:i/>
          <w:iCs/>
          <w:sz w:val="18"/>
        </w:rPr>
        <w:t>29</w:t>
      </w:r>
      <w:r w:rsidRPr="00B457AC">
        <w:rPr>
          <w:rFonts w:cs="Arial"/>
          <w:sz w:val="18"/>
        </w:rPr>
        <w:t xml:space="preserve"> (36), 4755–4762. https://doi.org/10.1200/JCO.2011.36.8373.</w:t>
      </w:r>
    </w:p>
    <w:p w14:paraId="4ECE9092" w14:textId="77777777" w:rsidR="00B457AC" w:rsidRPr="00B457AC" w:rsidRDefault="00B457AC" w:rsidP="00B457AC">
      <w:pPr>
        <w:pStyle w:val="Bibliography"/>
        <w:rPr>
          <w:rFonts w:cs="Arial"/>
          <w:sz w:val="18"/>
        </w:rPr>
      </w:pPr>
      <w:r w:rsidRPr="00B457AC">
        <w:rPr>
          <w:rFonts w:cs="Arial"/>
          <w:sz w:val="18"/>
        </w:rPr>
        <w:t xml:space="preserve">(22) </w:t>
      </w:r>
      <w:r w:rsidRPr="00B457AC">
        <w:rPr>
          <w:rFonts w:cs="Arial"/>
          <w:sz w:val="18"/>
        </w:rPr>
        <w:tab/>
        <w:t xml:space="preserve">Johnson, C. E.; Saunders, C. M.; Phillips, M.; Emery, J. D.; Nowak, A. K.; Overheu, K.; Ward, A. M.; Joske, D. J. L. Randomized Controlled Trial of Shared Care for Patients With Cancer Involving General Practitioners and Cancer Specialists. </w:t>
      </w:r>
      <w:r w:rsidRPr="00B457AC">
        <w:rPr>
          <w:rFonts w:cs="Arial"/>
          <w:i/>
          <w:iCs/>
          <w:sz w:val="18"/>
        </w:rPr>
        <w:t>Journal of Oncology Practice</w:t>
      </w:r>
      <w:r w:rsidRPr="00B457AC">
        <w:rPr>
          <w:rFonts w:cs="Arial"/>
          <w:sz w:val="18"/>
        </w:rPr>
        <w:t xml:space="preserve"> </w:t>
      </w:r>
      <w:r w:rsidRPr="00B457AC">
        <w:rPr>
          <w:rFonts w:cs="Arial"/>
          <w:b/>
          <w:bCs/>
          <w:sz w:val="18"/>
        </w:rPr>
        <w:t>2015</w:t>
      </w:r>
      <w:r w:rsidRPr="00B457AC">
        <w:rPr>
          <w:rFonts w:cs="Arial"/>
          <w:sz w:val="18"/>
        </w:rPr>
        <w:t xml:space="preserve">, </w:t>
      </w:r>
      <w:r w:rsidRPr="00B457AC">
        <w:rPr>
          <w:rFonts w:cs="Arial"/>
          <w:i/>
          <w:iCs/>
          <w:sz w:val="18"/>
        </w:rPr>
        <w:t>11</w:t>
      </w:r>
      <w:r w:rsidRPr="00B457AC">
        <w:rPr>
          <w:rFonts w:cs="Arial"/>
          <w:sz w:val="18"/>
        </w:rPr>
        <w:t xml:space="preserve"> (5), 349–355. https://doi.org/10.1200/JOP.2014.001569.</w:t>
      </w:r>
    </w:p>
    <w:p w14:paraId="658D01CF" w14:textId="77777777" w:rsidR="00B457AC" w:rsidRPr="00B457AC" w:rsidRDefault="00B457AC" w:rsidP="00B457AC">
      <w:pPr>
        <w:pStyle w:val="Bibliography"/>
        <w:rPr>
          <w:rFonts w:cs="Arial"/>
          <w:sz w:val="18"/>
        </w:rPr>
      </w:pPr>
      <w:r w:rsidRPr="00B457AC">
        <w:rPr>
          <w:rFonts w:cs="Arial"/>
          <w:sz w:val="18"/>
        </w:rPr>
        <w:t xml:space="preserve">(23) </w:t>
      </w:r>
      <w:r w:rsidRPr="00B457AC">
        <w:rPr>
          <w:rFonts w:cs="Arial"/>
          <w:sz w:val="18"/>
        </w:rPr>
        <w:tab/>
        <w:t xml:space="preserve">Grunfeld, E. Cancer Survivorship: A Challenge for Primary Care Physicians. </w:t>
      </w:r>
      <w:r w:rsidRPr="00B457AC">
        <w:rPr>
          <w:rFonts w:cs="Arial"/>
          <w:i/>
          <w:iCs/>
          <w:sz w:val="18"/>
        </w:rPr>
        <w:t>Br J Gen Pract</w:t>
      </w:r>
      <w:r w:rsidRPr="00B457AC">
        <w:rPr>
          <w:rFonts w:cs="Arial"/>
          <w:sz w:val="18"/>
        </w:rPr>
        <w:t xml:space="preserve"> </w:t>
      </w:r>
      <w:r w:rsidRPr="00B457AC">
        <w:rPr>
          <w:rFonts w:cs="Arial"/>
          <w:b/>
          <w:bCs/>
          <w:sz w:val="18"/>
        </w:rPr>
        <w:t>2005</w:t>
      </w:r>
      <w:r w:rsidRPr="00B457AC">
        <w:rPr>
          <w:rFonts w:cs="Arial"/>
          <w:sz w:val="18"/>
        </w:rPr>
        <w:t xml:space="preserve">, </w:t>
      </w:r>
      <w:r w:rsidRPr="00B457AC">
        <w:rPr>
          <w:rFonts w:cs="Arial"/>
          <w:i/>
          <w:iCs/>
          <w:sz w:val="18"/>
        </w:rPr>
        <w:t>55</w:t>
      </w:r>
      <w:r w:rsidRPr="00B457AC">
        <w:rPr>
          <w:rFonts w:cs="Arial"/>
          <w:sz w:val="18"/>
        </w:rPr>
        <w:t xml:space="preserve"> (519), 741–742.</w:t>
      </w:r>
    </w:p>
    <w:p w14:paraId="6D8B5B0E" w14:textId="77777777" w:rsidR="00B457AC" w:rsidRPr="00B457AC" w:rsidRDefault="00B457AC" w:rsidP="00B457AC">
      <w:pPr>
        <w:pStyle w:val="Bibliography"/>
        <w:rPr>
          <w:rFonts w:cs="Arial"/>
          <w:sz w:val="18"/>
        </w:rPr>
      </w:pPr>
      <w:r w:rsidRPr="00B457AC">
        <w:rPr>
          <w:rFonts w:cs="Arial"/>
          <w:sz w:val="18"/>
        </w:rPr>
        <w:t xml:space="preserve">(24) </w:t>
      </w:r>
      <w:r w:rsidRPr="00B457AC">
        <w:rPr>
          <w:rFonts w:cs="Arial"/>
          <w:sz w:val="18"/>
        </w:rPr>
        <w:tab/>
        <w:t xml:space="preserve">Ghezzi, P.; Magnanini, S.; Rinaldini, M.; Berardi, F.; Biagio, G. D.; Testare, F.; Tavoni, N.; Schittulli, F.; D’Amico, C.; Pedicini, T.; et al. Impact of Follow-up Testing on Survival and Health-Related Quality of Life in Breast Cancer Patients: A Multicenter Randomized Controlled Trial. </w:t>
      </w:r>
      <w:r w:rsidRPr="00B457AC">
        <w:rPr>
          <w:rFonts w:cs="Arial"/>
          <w:i/>
          <w:iCs/>
          <w:sz w:val="18"/>
        </w:rPr>
        <w:t>JAMA</w:t>
      </w:r>
      <w:r w:rsidRPr="00B457AC">
        <w:rPr>
          <w:rFonts w:cs="Arial"/>
          <w:sz w:val="18"/>
        </w:rPr>
        <w:t xml:space="preserve"> </w:t>
      </w:r>
      <w:r w:rsidRPr="00B457AC">
        <w:rPr>
          <w:rFonts w:cs="Arial"/>
          <w:b/>
          <w:bCs/>
          <w:sz w:val="18"/>
        </w:rPr>
        <w:t>1994</w:t>
      </w:r>
      <w:r w:rsidRPr="00B457AC">
        <w:rPr>
          <w:rFonts w:cs="Arial"/>
          <w:sz w:val="18"/>
        </w:rPr>
        <w:t xml:space="preserve">, </w:t>
      </w:r>
      <w:r w:rsidRPr="00B457AC">
        <w:rPr>
          <w:rFonts w:cs="Arial"/>
          <w:i/>
          <w:iCs/>
          <w:sz w:val="18"/>
        </w:rPr>
        <w:t>271</w:t>
      </w:r>
      <w:r w:rsidRPr="00B457AC">
        <w:rPr>
          <w:rFonts w:cs="Arial"/>
          <w:sz w:val="18"/>
        </w:rPr>
        <w:t xml:space="preserve"> (20), 1587–1592. https://doi.org/10.1001/jama.1994.03510440047031.</w:t>
      </w:r>
    </w:p>
    <w:p w14:paraId="163127C4" w14:textId="77777777" w:rsidR="00B457AC" w:rsidRPr="00B457AC" w:rsidRDefault="00B457AC" w:rsidP="00B457AC">
      <w:pPr>
        <w:pStyle w:val="Bibliography"/>
        <w:rPr>
          <w:rFonts w:cs="Arial"/>
          <w:sz w:val="18"/>
        </w:rPr>
      </w:pPr>
      <w:r w:rsidRPr="00B457AC">
        <w:rPr>
          <w:rFonts w:cs="Arial"/>
          <w:sz w:val="18"/>
        </w:rPr>
        <w:t xml:space="preserve">(25) </w:t>
      </w:r>
      <w:r w:rsidRPr="00B457AC">
        <w:rPr>
          <w:rFonts w:cs="Arial"/>
          <w:sz w:val="18"/>
        </w:rPr>
        <w:tab/>
        <w:t xml:space="preserve">Barnes, E. A.; Chow, E.; Danjoux, C.; Tsao, M. Collaboration between Primary Care Physicians and Radiation Oncologists. </w:t>
      </w:r>
      <w:r w:rsidRPr="00B457AC">
        <w:rPr>
          <w:rFonts w:cs="Arial"/>
          <w:i/>
          <w:iCs/>
          <w:sz w:val="18"/>
        </w:rPr>
        <w:t>Annals of Palliative Medicine</w:t>
      </w:r>
      <w:r w:rsidRPr="00B457AC">
        <w:rPr>
          <w:rFonts w:cs="Arial"/>
          <w:sz w:val="18"/>
        </w:rPr>
        <w:t xml:space="preserve"> </w:t>
      </w:r>
      <w:r w:rsidRPr="00B457AC">
        <w:rPr>
          <w:rFonts w:cs="Arial"/>
          <w:b/>
          <w:bCs/>
          <w:sz w:val="18"/>
        </w:rPr>
        <w:t>2017</w:t>
      </w:r>
      <w:r w:rsidRPr="00B457AC">
        <w:rPr>
          <w:rFonts w:cs="Arial"/>
          <w:sz w:val="18"/>
        </w:rPr>
        <w:t xml:space="preserve">, </w:t>
      </w:r>
      <w:r w:rsidRPr="00B457AC">
        <w:rPr>
          <w:rFonts w:cs="Arial"/>
          <w:i/>
          <w:iCs/>
          <w:sz w:val="18"/>
        </w:rPr>
        <w:t>6</w:t>
      </w:r>
      <w:r w:rsidRPr="00B457AC">
        <w:rPr>
          <w:rFonts w:cs="Arial"/>
          <w:sz w:val="18"/>
        </w:rPr>
        <w:t xml:space="preserve"> (1), 81–86. https://doi.org/10.21037/apm.2016.11.03.</w:t>
      </w:r>
    </w:p>
    <w:p w14:paraId="76CF5175" w14:textId="77777777" w:rsidR="00B457AC" w:rsidRPr="00B457AC" w:rsidRDefault="00B457AC" w:rsidP="00B457AC">
      <w:pPr>
        <w:pStyle w:val="Bibliography"/>
        <w:rPr>
          <w:rFonts w:cs="Arial"/>
          <w:sz w:val="18"/>
        </w:rPr>
      </w:pPr>
      <w:r w:rsidRPr="00B457AC">
        <w:rPr>
          <w:rFonts w:cs="Arial"/>
          <w:sz w:val="18"/>
        </w:rPr>
        <w:t xml:space="preserve">(26) </w:t>
      </w:r>
      <w:r w:rsidRPr="00B457AC">
        <w:rPr>
          <w:rFonts w:cs="Arial"/>
          <w:sz w:val="18"/>
        </w:rPr>
        <w:tab/>
        <w:t>Braun, T. C.; Hagen, N. A.; Smith, C.; Summers, N. Oncologists and Family Physicians. 5.</w:t>
      </w:r>
    </w:p>
    <w:p w14:paraId="0A74EBBF" w14:textId="77777777" w:rsidR="00B457AC" w:rsidRPr="00B457AC" w:rsidRDefault="00B457AC" w:rsidP="00B457AC">
      <w:pPr>
        <w:pStyle w:val="Bibliography"/>
        <w:rPr>
          <w:rFonts w:cs="Arial"/>
          <w:sz w:val="18"/>
        </w:rPr>
      </w:pPr>
      <w:r w:rsidRPr="00B457AC">
        <w:rPr>
          <w:rFonts w:cs="Arial"/>
          <w:sz w:val="18"/>
        </w:rPr>
        <w:t xml:space="preserve">(27) </w:t>
      </w:r>
      <w:r w:rsidRPr="00B457AC">
        <w:rPr>
          <w:rFonts w:cs="Arial"/>
          <w:sz w:val="18"/>
        </w:rPr>
        <w:tab/>
        <w:t xml:space="preserve">O’Brien, M. A.; Grunfeld, E.; Sussman, J.; Porter, G.; Hammond Mobilio, M. Views of Family Physicians about Survivorship Care Plans to Provide Breast Cancer Follow-up Care: Exploration of Results from a Randomized Controlled Trial. </w:t>
      </w:r>
      <w:r w:rsidRPr="00B457AC">
        <w:rPr>
          <w:rFonts w:cs="Arial"/>
          <w:i/>
          <w:iCs/>
          <w:sz w:val="18"/>
        </w:rPr>
        <w:t>Current Oncology</w:t>
      </w:r>
      <w:r w:rsidRPr="00B457AC">
        <w:rPr>
          <w:rFonts w:cs="Arial"/>
          <w:sz w:val="18"/>
        </w:rPr>
        <w:t xml:space="preserve"> </w:t>
      </w:r>
      <w:r w:rsidRPr="00B457AC">
        <w:rPr>
          <w:rFonts w:cs="Arial"/>
          <w:b/>
          <w:bCs/>
          <w:sz w:val="18"/>
        </w:rPr>
        <w:t>2015</w:t>
      </w:r>
      <w:r w:rsidRPr="00B457AC">
        <w:rPr>
          <w:rFonts w:cs="Arial"/>
          <w:sz w:val="18"/>
        </w:rPr>
        <w:t xml:space="preserve">, </w:t>
      </w:r>
      <w:r w:rsidRPr="00B457AC">
        <w:rPr>
          <w:rFonts w:cs="Arial"/>
          <w:i/>
          <w:iCs/>
          <w:sz w:val="18"/>
        </w:rPr>
        <w:t>22</w:t>
      </w:r>
      <w:r w:rsidRPr="00B457AC">
        <w:rPr>
          <w:rFonts w:cs="Arial"/>
          <w:sz w:val="18"/>
        </w:rPr>
        <w:t xml:space="preserve"> (4), 252. https://doi.org/10.3747/co.22.2368.</w:t>
      </w:r>
    </w:p>
    <w:p w14:paraId="4284A3C7" w14:textId="77777777" w:rsidR="00B457AC" w:rsidRPr="00B457AC" w:rsidRDefault="00B457AC" w:rsidP="00B457AC">
      <w:pPr>
        <w:pStyle w:val="Bibliography"/>
        <w:rPr>
          <w:rFonts w:cs="Arial"/>
          <w:sz w:val="18"/>
        </w:rPr>
      </w:pPr>
      <w:r w:rsidRPr="00B457AC">
        <w:rPr>
          <w:rFonts w:cs="Arial"/>
          <w:sz w:val="18"/>
        </w:rPr>
        <w:t xml:space="preserve">(28) </w:t>
      </w:r>
      <w:r w:rsidRPr="00B457AC">
        <w:rPr>
          <w:rFonts w:cs="Arial"/>
          <w:sz w:val="18"/>
        </w:rPr>
        <w:tab/>
        <w:t xml:space="preserve">Ranganathan, P.; Pramesh, C. S.; Aggarwal, R. Common Pitfalls in Statistical Analysis: Measures of Agreement. </w:t>
      </w:r>
      <w:r w:rsidRPr="00B457AC">
        <w:rPr>
          <w:rFonts w:cs="Arial"/>
          <w:i/>
          <w:iCs/>
          <w:sz w:val="18"/>
        </w:rPr>
        <w:t>Perspect Clin Res</w:t>
      </w:r>
      <w:r w:rsidRPr="00B457AC">
        <w:rPr>
          <w:rFonts w:cs="Arial"/>
          <w:sz w:val="18"/>
        </w:rPr>
        <w:t xml:space="preserve"> </w:t>
      </w:r>
      <w:r w:rsidRPr="00B457AC">
        <w:rPr>
          <w:rFonts w:cs="Arial"/>
          <w:b/>
          <w:bCs/>
          <w:sz w:val="18"/>
        </w:rPr>
        <w:t>2017</w:t>
      </w:r>
      <w:r w:rsidRPr="00B457AC">
        <w:rPr>
          <w:rFonts w:cs="Arial"/>
          <w:sz w:val="18"/>
        </w:rPr>
        <w:t xml:space="preserve">, </w:t>
      </w:r>
      <w:r w:rsidRPr="00B457AC">
        <w:rPr>
          <w:rFonts w:cs="Arial"/>
          <w:i/>
          <w:iCs/>
          <w:sz w:val="18"/>
        </w:rPr>
        <w:t>8</w:t>
      </w:r>
      <w:r w:rsidRPr="00B457AC">
        <w:rPr>
          <w:rFonts w:cs="Arial"/>
          <w:sz w:val="18"/>
        </w:rPr>
        <w:t xml:space="preserve"> (4), 187–191. https://doi.org/10.4103/picr.PICR_123_17.</w:t>
      </w:r>
    </w:p>
    <w:p w14:paraId="758BD544" w14:textId="77777777" w:rsidR="00B457AC" w:rsidRPr="00B457AC" w:rsidRDefault="00B457AC" w:rsidP="00B457AC">
      <w:pPr>
        <w:pStyle w:val="Bibliography"/>
        <w:rPr>
          <w:rFonts w:cs="Arial"/>
          <w:sz w:val="18"/>
        </w:rPr>
      </w:pPr>
      <w:r w:rsidRPr="00B457AC">
        <w:rPr>
          <w:rFonts w:cs="Arial"/>
          <w:sz w:val="18"/>
        </w:rPr>
        <w:t xml:space="preserve">(29) </w:t>
      </w:r>
      <w:r w:rsidRPr="00B457AC">
        <w:rPr>
          <w:rFonts w:cs="Arial"/>
          <w:sz w:val="18"/>
        </w:rPr>
        <w:tab/>
        <w:t xml:space="preserve">Nowell, L. S.; Norris, J. M.; White, D. E.; Moules, N. J. Thematic Analysis: Striving to Meet the Trustworthiness Criteria. </w:t>
      </w:r>
      <w:r w:rsidRPr="00B457AC">
        <w:rPr>
          <w:rFonts w:cs="Arial"/>
          <w:i/>
          <w:iCs/>
          <w:sz w:val="18"/>
        </w:rPr>
        <w:t>International Journal of Qualitative Methods</w:t>
      </w:r>
      <w:r w:rsidRPr="00B457AC">
        <w:rPr>
          <w:rFonts w:cs="Arial"/>
          <w:sz w:val="18"/>
        </w:rPr>
        <w:t xml:space="preserve"> </w:t>
      </w:r>
      <w:r w:rsidRPr="00B457AC">
        <w:rPr>
          <w:rFonts w:cs="Arial"/>
          <w:b/>
          <w:bCs/>
          <w:sz w:val="18"/>
        </w:rPr>
        <w:t>2017</w:t>
      </w:r>
      <w:r w:rsidRPr="00B457AC">
        <w:rPr>
          <w:rFonts w:cs="Arial"/>
          <w:sz w:val="18"/>
        </w:rPr>
        <w:t xml:space="preserve">, </w:t>
      </w:r>
      <w:r w:rsidRPr="00B457AC">
        <w:rPr>
          <w:rFonts w:cs="Arial"/>
          <w:i/>
          <w:iCs/>
          <w:sz w:val="18"/>
        </w:rPr>
        <w:t>16</w:t>
      </w:r>
      <w:r w:rsidRPr="00B457AC">
        <w:rPr>
          <w:rFonts w:cs="Arial"/>
          <w:sz w:val="18"/>
        </w:rPr>
        <w:t xml:space="preserve"> (1), 160940691773384. https://doi.org/10.1177/1609406917733847.</w:t>
      </w:r>
    </w:p>
    <w:p w14:paraId="108198F4" w14:textId="77777777" w:rsidR="00B457AC" w:rsidRPr="00B457AC" w:rsidRDefault="00B457AC" w:rsidP="00B457AC">
      <w:pPr>
        <w:pStyle w:val="Bibliography"/>
        <w:rPr>
          <w:rFonts w:cs="Arial"/>
          <w:sz w:val="18"/>
        </w:rPr>
      </w:pPr>
      <w:r w:rsidRPr="00B457AC">
        <w:rPr>
          <w:rFonts w:cs="Arial"/>
          <w:sz w:val="18"/>
        </w:rPr>
        <w:t xml:space="preserve">(30) </w:t>
      </w:r>
      <w:r w:rsidRPr="00B457AC">
        <w:rPr>
          <w:rFonts w:cs="Arial"/>
          <w:sz w:val="18"/>
        </w:rPr>
        <w:tab/>
        <w:t xml:space="preserve">Murray, E.; Treweek, S.; Pope, C.; MacFarlane, A.; Ballini, L.; Dowrick, C.; Finch, T.; Kennedy, A.; Mair, F.; O’Donnell, C.; et al. Normalisation Process Theory: A Framework for Developing, Evaluating and Implementing Complex Interventions. </w:t>
      </w:r>
      <w:r w:rsidRPr="00B457AC">
        <w:rPr>
          <w:rFonts w:cs="Arial"/>
          <w:i/>
          <w:iCs/>
          <w:sz w:val="18"/>
        </w:rPr>
        <w:t>BMC Medicine</w:t>
      </w:r>
      <w:r w:rsidRPr="00B457AC">
        <w:rPr>
          <w:rFonts w:cs="Arial"/>
          <w:sz w:val="18"/>
        </w:rPr>
        <w:t xml:space="preserve"> </w:t>
      </w:r>
      <w:r w:rsidRPr="00B457AC">
        <w:rPr>
          <w:rFonts w:cs="Arial"/>
          <w:b/>
          <w:bCs/>
          <w:sz w:val="18"/>
        </w:rPr>
        <w:t>2010</w:t>
      </w:r>
      <w:r w:rsidRPr="00B457AC">
        <w:rPr>
          <w:rFonts w:cs="Arial"/>
          <w:sz w:val="18"/>
        </w:rPr>
        <w:t xml:space="preserve">, </w:t>
      </w:r>
      <w:r w:rsidRPr="00B457AC">
        <w:rPr>
          <w:rFonts w:cs="Arial"/>
          <w:i/>
          <w:iCs/>
          <w:sz w:val="18"/>
        </w:rPr>
        <w:t>8</w:t>
      </w:r>
      <w:r w:rsidRPr="00B457AC">
        <w:rPr>
          <w:rFonts w:cs="Arial"/>
          <w:sz w:val="18"/>
        </w:rPr>
        <w:t xml:space="preserve"> (1). https://doi.org/10.1186/1741-7015-8-63.</w:t>
      </w:r>
    </w:p>
    <w:p w14:paraId="2061A048" w14:textId="56D576DF" w:rsidR="00B97526" w:rsidRPr="00C46E12" w:rsidRDefault="00C46E12" w:rsidP="00C46E12">
      <w:pPr>
        <w:jc w:val="both"/>
        <w:rPr>
          <w:rFonts w:cs="Arial"/>
          <w:szCs w:val="22"/>
        </w:rPr>
      </w:pPr>
      <w:r w:rsidRPr="00B457AC">
        <w:rPr>
          <w:rFonts w:cs="Arial"/>
          <w:sz w:val="18"/>
          <w:szCs w:val="22"/>
        </w:rPr>
        <w:fldChar w:fldCharType="end"/>
      </w:r>
      <w:bookmarkEnd w:id="41"/>
      <w:bookmarkEnd w:id="42"/>
      <w:bookmarkEnd w:id="43"/>
      <w:bookmarkEnd w:id="44"/>
      <w:bookmarkEnd w:id="45"/>
      <w:bookmarkEnd w:id="46"/>
      <w:bookmarkEnd w:id="47"/>
      <w:bookmarkEnd w:id="48"/>
      <w:bookmarkEnd w:id="49"/>
      <w:bookmarkEnd w:id="50"/>
      <w:bookmarkEnd w:id="51"/>
      <w:bookmarkEnd w:id="52"/>
      <w:bookmarkEnd w:id="141"/>
      <w:bookmarkEnd w:id="142"/>
      <w:bookmarkEnd w:id="143"/>
      <w:bookmarkEnd w:id="144"/>
      <w:bookmarkEnd w:id="145"/>
      <w:bookmarkEnd w:id="146"/>
      <w:bookmarkEnd w:id="147"/>
      <w:bookmarkEnd w:id="148"/>
      <w:bookmarkEnd w:id="149"/>
      <w:bookmarkEnd w:id="150"/>
      <w:bookmarkEnd w:id="151"/>
      <w:bookmarkEnd w:id="152"/>
    </w:p>
    <w:sectPr w:rsidR="00B97526" w:rsidRPr="00C46E12" w:rsidSect="002C7A13">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ED39B" w14:textId="77777777" w:rsidR="00DF5E52" w:rsidRDefault="00DF5E52">
      <w:r>
        <w:separator/>
      </w:r>
    </w:p>
  </w:endnote>
  <w:endnote w:type="continuationSeparator" w:id="0">
    <w:p w14:paraId="3DC9C021" w14:textId="77777777" w:rsidR="00DF5E52" w:rsidRDefault="00DF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1"/>
    <w:family w:val="roman"/>
    <w:notTrueType/>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DCC10" w14:textId="27371554" w:rsidR="00D25F7E" w:rsidRPr="00C24B4B" w:rsidRDefault="00D25F7E" w:rsidP="00675F07">
    <w:pPr>
      <w:pStyle w:val="Footer"/>
      <w:tabs>
        <w:tab w:val="clear" w:pos="4153"/>
        <w:tab w:val="center" w:pos="6521"/>
      </w:tabs>
      <w:rPr>
        <w:rFonts w:cs="Arial"/>
        <w:sz w:val="20"/>
        <w:szCs w:val="20"/>
      </w:rPr>
    </w:pPr>
    <w:r w:rsidRPr="00CE4DBB">
      <w:rPr>
        <w:rFonts w:cs="Arial"/>
        <w:sz w:val="14"/>
        <w:szCs w:val="20"/>
      </w:rPr>
      <w:t>Research Protocol - Radiation oncology shared</w:t>
    </w:r>
    <w:r>
      <w:rPr>
        <w:rFonts w:cs="Arial"/>
        <w:sz w:val="14"/>
        <w:szCs w:val="20"/>
      </w:rPr>
      <w:t>-care -  Version 2.  1 April 2020</w:t>
    </w:r>
    <w:r>
      <w:rPr>
        <w:rFonts w:cs="Arial"/>
        <w:sz w:val="20"/>
        <w:szCs w:val="20"/>
      </w:rPr>
      <w:tab/>
    </w:r>
    <w:r>
      <w:rPr>
        <w:rFonts w:cs="Arial"/>
        <w:sz w:val="20"/>
        <w:szCs w:val="20"/>
      </w:rPr>
      <w:tab/>
    </w:r>
    <w:r w:rsidRPr="00C24B4B">
      <w:rPr>
        <w:rFonts w:cs="Arial"/>
        <w:sz w:val="20"/>
        <w:szCs w:val="20"/>
      </w:rPr>
      <w:fldChar w:fldCharType="begin"/>
    </w:r>
    <w:r w:rsidRPr="00C24B4B">
      <w:rPr>
        <w:rFonts w:cs="Arial"/>
        <w:sz w:val="20"/>
        <w:szCs w:val="20"/>
      </w:rPr>
      <w:instrText xml:space="preserve"> PAGE   \* MERGEFORMAT </w:instrText>
    </w:r>
    <w:r w:rsidRPr="00C24B4B">
      <w:rPr>
        <w:rFonts w:cs="Arial"/>
        <w:sz w:val="20"/>
        <w:szCs w:val="20"/>
      </w:rPr>
      <w:fldChar w:fldCharType="separate"/>
    </w:r>
    <w:r w:rsidR="00C96083">
      <w:rPr>
        <w:rFonts w:cs="Arial"/>
        <w:noProof/>
        <w:sz w:val="20"/>
        <w:szCs w:val="20"/>
      </w:rPr>
      <w:t>11</w:t>
    </w:r>
    <w:r w:rsidRPr="00C24B4B">
      <w:rP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C1C4" w14:textId="77777777" w:rsidR="00DF5E52" w:rsidRDefault="00DF5E52">
      <w:r>
        <w:separator/>
      </w:r>
    </w:p>
  </w:footnote>
  <w:footnote w:type="continuationSeparator" w:id="0">
    <w:p w14:paraId="0BEE68F1" w14:textId="77777777" w:rsidR="00DF5E52" w:rsidRDefault="00DF5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E46A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C215F"/>
    <w:multiLevelType w:val="hybridMultilevel"/>
    <w:tmpl w:val="92A421EA"/>
    <w:lvl w:ilvl="0" w:tplc="619E624C">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02406"/>
    <w:multiLevelType w:val="multilevel"/>
    <w:tmpl w:val="5DD641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050661B9"/>
    <w:multiLevelType w:val="hybridMultilevel"/>
    <w:tmpl w:val="7A44E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26429"/>
    <w:multiLevelType w:val="hybridMultilevel"/>
    <w:tmpl w:val="A650C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14B90"/>
    <w:multiLevelType w:val="hybridMultilevel"/>
    <w:tmpl w:val="E7067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307F9"/>
    <w:multiLevelType w:val="hybridMultilevel"/>
    <w:tmpl w:val="0F50E312"/>
    <w:lvl w:ilvl="0" w:tplc="72C426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0622DB1"/>
    <w:multiLevelType w:val="hybridMultilevel"/>
    <w:tmpl w:val="E2E4F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D329E3"/>
    <w:multiLevelType w:val="hybridMultilevel"/>
    <w:tmpl w:val="272652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18BB79BF"/>
    <w:multiLevelType w:val="hybridMultilevel"/>
    <w:tmpl w:val="C77683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07A1EB4"/>
    <w:multiLevelType w:val="hybridMultilevel"/>
    <w:tmpl w:val="0DB2B9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E51F8C"/>
    <w:multiLevelType w:val="hybridMultilevel"/>
    <w:tmpl w:val="A61624EE"/>
    <w:lvl w:ilvl="0" w:tplc="B3EA9878">
      <w:start w:val="6"/>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DFC5928"/>
    <w:multiLevelType w:val="hybridMultilevel"/>
    <w:tmpl w:val="389AF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A660E"/>
    <w:multiLevelType w:val="hybridMultilevel"/>
    <w:tmpl w:val="FAFAD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72C21"/>
    <w:multiLevelType w:val="hybridMultilevel"/>
    <w:tmpl w:val="449CA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C94B0E"/>
    <w:multiLevelType w:val="hybridMultilevel"/>
    <w:tmpl w:val="350209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A0DA2"/>
    <w:multiLevelType w:val="hybridMultilevel"/>
    <w:tmpl w:val="51104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40F80"/>
    <w:multiLevelType w:val="hybridMultilevel"/>
    <w:tmpl w:val="B48627D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BA86C63"/>
    <w:multiLevelType w:val="multilevel"/>
    <w:tmpl w:val="D102BCD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3BC648B9"/>
    <w:multiLevelType w:val="hybridMultilevel"/>
    <w:tmpl w:val="0C4E5D60"/>
    <w:lvl w:ilvl="0" w:tplc="B6403F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0664C3F"/>
    <w:multiLevelType w:val="hybridMultilevel"/>
    <w:tmpl w:val="C77683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433141E"/>
    <w:multiLevelType w:val="hybridMultilevel"/>
    <w:tmpl w:val="BF84D720"/>
    <w:lvl w:ilvl="0" w:tplc="37D2FB7E">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4FD5E95"/>
    <w:multiLevelType w:val="multilevel"/>
    <w:tmpl w:val="A0A684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47DD2033"/>
    <w:multiLevelType w:val="hybridMultilevel"/>
    <w:tmpl w:val="E60637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7EF6AB2"/>
    <w:multiLevelType w:val="hybridMultilevel"/>
    <w:tmpl w:val="DD1C2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983FD9"/>
    <w:multiLevelType w:val="hybridMultilevel"/>
    <w:tmpl w:val="017EAE38"/>
    <w:lvl w:ilvl="0" w:tplc="619C0CBA">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8C0E68"/>
    <w:multiLevelType w:val="hybridMultilevel"/>
    <w:tmpl w:val="C78AAE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569964FD"/>
    <w:multiLevelType w:val="hybridMultilevel"/>
    <w:tmpl w:val="F904C55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8FB6665"/>
    <w:multiLevelType w:val="multilevel"/>
    <w:tmpl w:val="16D438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63015883"/>
    <w:multiLevelType w:val="hybridMultilevel"/>
    <w:tmpl w:val="C0528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905FE3"/>
    <w:multiLevelType w:val="hybridMultilevel"/>
    <w:tmpl w:val="82C2C3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DE652E"/>
    <w:multiLevelType w:val="hybridMultilevel"/>
    <w:tmpl w:val="B978B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2D31B8"/>
    <w:multiLevelType w:val="multilevel"/>
    <w:tmpl w:val="F21221DC"/>
    <w:lvl w:ilvl="0">
      <w:start w:val="1"/>
      <w:numFmt w:val="decimal"/>
      <w:lvlText w:val="%1."/>
      <w:lvlJc w:val="left"/>
      <w:pPr>
        <w:tabs>
          <w:tab w:val="num" w:pos="720"/>
        </w:tabs>
        <w:ind w:left="720" w:hanging="360"/>
      </w:pPr>
    </w:lvl>
    <w:lvl w:ilvl="1">
      <w:start w:val="1"/>
      <w:numFmt w:val="lowerLetter"/>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DE953F7"/>
    <w:multiLevelType w:val="multilevel"/>
    <w:tmpl w:val="A22C118E"/>
    <w:lvl w:ilvl="0">
      <w:start w:val="1"/>
      <w:numFmt w:val="decimal"/>
      <w:lvlText w:val="%1."/>
      <w:lvlJc w:val="left"/>
      <w:pPr>
        <w:ind w:left="720" w:hanging="360"/>
      </w:pPr>
      <w:rPr>
        <w:rFonts w:hint="default"/>
        <w:b/>
        <w:i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F5C6D07"/>
    <w:multiLevelType w:val="hybridMultilevel"/>
    <w:tmpl w:val="CDAA8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934BC3"/>
    <w:multiLevelType w:val="hybridMultilevel"/>
    <w:tmpl w:val="9760C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0E5873"/>
    <w:multiLevelType w:val="hybridMultilevel"/>
    <w:tmpl w:val="FF7494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7EF67BC7"/>
    <w:multiLevelType w:val="hybridMultilevel"/>
    <w:tmpl w:val="9908386A"/>
    <w:lvl w:ilvl="0" w:tplc="C312302A">
      <w:start w:val="1"/>
      <w:numFmt w:val="bullet"/>
      <w:lvlText w:val="•"/>
      <w:lvlJc w:val="left"/>
      <w:pPr>
        <w:tabs>
          <w:tab w:val="num" w:pos="720"/>
        </w:tabs>
        <w:ind w:left="720" w:hanging="360"/>
      </w:pPr>
      <w:rPr>
        <w:rFonts w:ascii="Gill Sans MT" w:hAnsi="Gill Sans MT" w:hint="default"/>
      </w:rPr>
    </w:lvl>
    <w:lvl w:ilvl="1" w:tplc="43E66434">
      <w:start w:val="184"/>
      <w:numFmt w:val="bullet"/>
      <w:lvlText w:val=""/>
      <w:lvlJc w:val="left"/>
      <w:pPr>
        <w:tabs>
          <w:tab w:val="num" w:pos="1440"/>
        </w:tabs>
        <w:ind w:left="1440" w:hanging="360"/>
      </w:pPr>
      <w:rPr>
        <w:rFonts w:ascii="Wingdings" w:hAnsi="Wingdings" w:hint="default"/>
      </w:rPr>
    </w:lvl>
    <w:lvl w:ilvl="2" w:tplc="9DB6C2EA">
      <w:start w:val="184"/>
      <w:numFmt w:val="bullet"/>
      <w:lvlText w:val="•"/>
      <w:lvlJc w:val="left"/>
      <w:pPr>
        <w:tabs>
          <w:tab w:val="num" w:pos="2160"/>
        </w:tabs>
        <w:ind w:left="2160" w:hanging="360"/>
      </w:pPr>
      <w:rPr>
        <w:rFonts w:ascii="Gill Sans MT" w:hAnsi="Gill Sans MT" w:hint="default"/>
      </w:rPr>
    </w:lvl>
    <w:lvl w:ilvl="3" w:tplc="108E587A" w:tentative="1">
      <w:start w:val="1"/>
      <w:numFmt w:val="bullet"/>
      <w:lvlText w:val="•"/>
      <w:lvlJc w:val="left"/>
      <w:pPr>
        <w:tabs>
          <w:tab w:val="num" w:pos="2880"/>
        </w:tabs>
        <w:ind w:left="2880" w:hanging="360"/>
      </w:pPr>
      <w:rPr>
        <w:rFonts w:ascii="Gill Sans MT" w:hAnsi="Gill Sans MT" w:hint="default"/>
      </w:rPr>
    </w:lvl>
    <w:lvl w:ilvl="4" w:tplc="B7884FC6" w:tentative="1">
      <w:start w:val="1"/>
      <w:numFmt w:val="bullet"/>
      <w:lvlText w:val="•"/>
      <w:lvlJc w:val="left"/>
      <w:pPr>
        <w:tabs>
          <w:tab w:val="num" w:pos="3600"/>
        </w:tabs>
        <w:ind w:left="3600" w:hanging="360"/>
      </w:pPr>
      <w:rPr>
        <w:rFonts w:ascii="Gill Sans MT" w:hAnsi="Gill Sans MT" w:hint="default"/>
      </w:rPr>
    </w:lvl>
    <w:lvl w:ilvl="5" w:tplc="C804D46C" w:tentative="1">
      <w:start w:val="1"/>
      <w:numFmt w:val="bullet"/>
      <w:lvlText w:val="•"/>
      <w:lvlJc w:val="left"/>
      <w:pPr>
        <w:tabs>
          <w:tab w:val="num" w:pos="4320"/>
        </w:tabs>
        <w:ind w:left="4320" w:hanging="360"/>
      </w:pPr>
      <w:rPr>
        <w:rFonts w:ascii="Gill Sans MT" w:hAnsi="Gill Sans MT" w:hint="default"/>
      </w:rPr>
    </w:lvl>
    <w:lvl w:ilvl="6" w:tplc="CD5008CC" w:tentative="1">
      <w:start w:val="1"/>
      <w:numFmt w:val="bullet"/>
      <w:lvlText w:val="•"/>
      <w:lvlJc w:val="left"/>
      <w:pPr>
        <w:tabs>
          <w:tab w:val="num" w:pos="5040"/>
        </w:tabs>
        <w:ind w:left="5040" w:hanging="360"/>
      </w:pPr>
      <w:rPr>
        <w:rFonts w:ascii="Gill Sans MT" w:hAnsi="Gill Sans MT" w:hint="default"/>
      </w:rPr>
    </w:lvl>
    <w:lvl w:ilvl="7" w:tplc="CA70CBE8" w:tentative="1">
      <w:start w:val="1"/>
      <w:numFmt w:val="bullet"/>
      <w:lvlText w:val="•"/>
      <w:lvlJc w:val="left"/>
      <w:pPr>
        <w:tabs>
          <w:tab w:val="num" w:pos="5760"/>
        </w:tabs>
        <w:ind w:left="5760" w:hanging="360"/>
      </w:pPr>
      <w:rPr>
        <w:rFonts w:ascii="Gill Sans MT" w:hAnsi="Gill Sans MT" w:hint="default"/>
      </w:rPr>
    </w:lvl>
    <w:lvl w:ilvl="8" w:tplc="1284C082" w:tentative="1">
      <w:start w:val="1"/>
      <w:numFmt w:val="bullet"/>
      <w:lvlText w:val="•"/>
      <w:lvlJc w:val="left"/>
      <w:pPr>
        <w:tabs>
          <w:tab w:val="num" w:pos="6480"/>
        </w:tabs>
        <w:ind w:left="6480" w:hanging="360"/>
      </w:pPr>
      <w:rPr>
        <w:rFonts w:ascii="Gill Sans MT" w:hAnsi="Gill Sans MT" w:hint="default"/>
      </w:rPr>
    </w:lvl>
  </w:abstractNum>
  <w:num w:numId="1">
    <w:abstractNumId w:val="37"/>
  </w:num>
  <w:num w:numId="2">
    <w:abstractNumId w:val="11"/>
  </w:num>
  <w:num w:numId="3">
    <w:abstractNumId w:val="27"/>
  </w:num>
  <w:num w:numId="4">
    <w:abstractNumId w:val="17"/>
  </w:num>
  <w:num w:numId="5">
    <w:abstractNumId w:val="2"/>
  </w:num>
  <w:num w:numId="6">
    <w:abstractNumId w:val="22"/>
  </w:num>
  <w:num w:numId="7">
    <w:abstractNumId w:val="28"/>
  </w:num>
  <w:num w:numId="8">
    <w:abstractNumId w:val="15"/>
  </w:num>
  <w:num w:numId="9">
    <w:abstractNumId w:val="30"/>
  </w:num>
  <w:num w:numId="10">
    <w:abstractNumId w:val="18"/>
  </w:num>
  <w:num w:numId="11">
    <w:abstractNumId w:val="10"/>
  </w:num>
  <w:num w:numId="12">
    <w:abstractNumId w:val="23"/>
  </w:num>
  <w:num w:numId="13">
    <w:abstractNumId w:val="35"/>
  </w:num>
  <w:num w:numId="14">
    <w:abstractNumId w:val="31"/>
  </w:num>
  <w:num w:numId="15">
    <w:abstractNumId w:val="16"/>
  </w:num>
  <w:num w:numId="16">
    <w:abstractNumId w:val="14"/>
  </w:num>
  <w:num w:numId="17">
    <w:abstractNumId w:val="4"/>
  </w:num>
  <w:num w:numId="18">
    <w:abstractNumId w:val="0"/>
  </w:num>
  <w:num w:numId="19">
    <w:abstractNumId w:val="9"/>
  </w:num>
  <w:num w:numId="20">
    <w:abstractNumId w:val="32"/>
  </w:num>
  <w:num w:numId="21">
    <w:abstractNumId w:val="7"/>
  </w:num>
  <w:num w:numId="22">
    <w:abstractNumId w:val="34"/>
  </w:num>
  <w:num w:numId="23">
    <w:abstractNumId w:val="24"/>
  </w:num>
  <w:num w:numId="24">
    <w:abstractNumId w:val="5"/>
  </w:num>
  <w:num w:numId="25">
    <w:abstractNumId w:val="12"/>
  </w:num>
  <w:num w:numId="26">
    <w:abstractNumId w:val="21"/>
  </w:num>
  <w:num w:numId="27">
    <w:abstractNumId w:val="33"/>
  </w:num>
  <w:num w:numId="28">
    <w:abstractNumId w:val="25"/>
  </w:num>
  <w:num w:numId="29">
    <w:abstractNumId w:val="20"/>
  </w:num>
  <w:num w:numId="30">
    <w:abstractNumId w:val="6"/>
  </w:num>
  <w:num w:numId="31">
    <w:abstractNumId w:val="19"/>
  </w:num>
  <w:num w:numId="32">
    <w:abstractNumId w:val="13"/>
  </w:num>
  <w:num w:numId="33">
    <w:abstractNumId w:val="26"/>
  </w:num>
  <w:num w:numId="34">
    <w:abstractNumId w:val="36"/>
  </w:num>
  <w:num w:numId="35">
    <w:abstractNumId w:val="3"/>
  </w:num>
  <w:num w:numId="36">
    <w:abstractNumId w:val="8"/>
  </w:num>
  <w:num w:numId="37">
    <w:abstractNumId w:val="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B0IjMwMTQwtDSyUdpeDU4uLM/DyQAiPjWgBRBzDQLQAAAA=="/>
  </w:docVars>
  <w:rsids>
    <w:rsidRoot w:val="003C11F9"/>
    <w:rsid w:val="000047E3"/>
    <w:rsid w:val="00005207"/>
    <w:rsid w:val="000063D7"/>
    <w:rsid w:val="00013A06"/>
    <w:rsid w:val="000202A6"/>
    <w:rsid w:val="00021CF5"/>
    <w:rsid w:val="000226A6"/>
    <w:rsid w:val="000226DA"/>
    <w:rsid w:val="00026359"/>
    <w:rsid w:val="00026DB9"/>
    <w:rsid w:val="00027306"/>
    <w:rsid w:val="00027646"/>
    <w:rsid w:val="000316B0"/>
    <w:rsid w:val="0003245E"/>
    <w:rsid w:val="0003482F"/>
    <w:rsid w:val="00035978"/>
    <w:rsid w:val="000436BF"/>
    <w:rsid w:val="0005269E"/>
    <w:rsid w:val="00055914"/>
    <w:rsid w:val="00055FEC"/>
    <w:rsid w:val="0006195F"/>
    <w:rsid w:val="00063E17"/>
    <w:rsid w:val="00066613"/>
    <w:rsid w:val="00084BE0"/>
    <w:rsid w:val="00086265"/>
    <w:rsid w:val="0009408E"/>
    <w:rsid w:val="00095567"/>
    <w:rsid w:val="000955C7"/>
    <w:rsid w:val="00096366"/>
    <w:rsid w:val="000963A0"/>
    <w:rsid w:val="000A07DB"/>
    <w:rsid w:val="000A1B64"/>
    <w:rsid w:val="000A38A9"/>
    <w:rsid w:val="000B1514"/>
    <w:rsid w:val="000B15C6"/>
    <w:rsid w:val="000B5E6D"/>
    <w:rsid w:val="000B7A67"/>
    <w:rsid w:val="000C1902"/>
    <w:rsid w:val="000D12D1"/>
    <w:rsid w:val="000D1DDB"/>
    <w:rsid w:val="000D5084"/>
    <w:rsid w:val="000E10D9"/>
    <w:rsid w:val="000E16CE"/>
    <w:rsid w:val="000F1770"/>
    <w:rsid w:val="000F1C3F"/>
    <w:rsid w:val="000F4193"/>
    <w:rsid w:val="001062A7"/>
    <w:rsid w:val="00107F6D"/>
    <w:rsid w:val="00111FE9"/>
    <w:rsid w:val="0011407B"/>
    <w:rsid w:val="00114A35"/>
    <w:rsid w:val="00116BA3"/>
    <w:rsid w:val="0011700D"/>
    <w:rsid w:val="00120AFC"/>
    <w:rsid w:val="00121697"/>
    <w:rsid w:val="001225C8"/>
    <w:rsid w:val="00132104"/>
    <w:rsid w:val="001332A2"/>
    <w:rsid w:val="00134591"/>
    <w:rsid w:val="00145C58"/>
    <w:rsid w:val="001471CD"/>
    <w:rsid w:val="001507AB"/>
    <w:rsid w:val="001519D4"/>
    <w:rsid w:val="00152813"/>
    <w:rsid w:val="0015662B"/>
    <w:rsid w:val="00157BBD"/>
    <w:rsid w:val="00161B03"/>
    <w:rsid w:val="00162224"/>
    <w:rsid w:val="00162681"/>
    <w:rsid w:val="0016364C"/>
    <w:rsid w:val="00164507"/>
    <w:rsid w:val="00164EC5"/>
    <w:rsid w:val="0016738D"/>
    <w:rsid w:val="00173821"/>
    <w:rsid w:val="001739E6"/>
    <w:rsid w:val="0017560E"/>
    <w:rsid w:val="00177297"/>
    <w:rsid w:val="00181926"/>
    <w:rsid w:val="00183F67"/>
    <w:rsid w:val="00185360"/>
    <w:rsid w:val="00185CE2"/>
    <w:rsid w:val="00185D22"/>
    <w:rsid w:val="00193FEF"/>
    <w:rsid w:val="00194C84"/>
    <w:rsid w:val="001A00F7"/>
    <w:rsid w:val="001A0C4F"/>
    <w:rsid w:val="001A67A4"/>
    <w:rsid w:val="001B0DC2"/>
    <w:rsid w:val="001B1EC7"/>
    <w:rsid w:val="001B421B"/>
    <w:rsid w:val="001C1CB1"/>
    <w:rsid w:val="001C2109"/>
    <w:rsid w:val="001C4A7C"/>
    <w:rsid w:val="001D0D4D"/>
    <w:rsid w:val="001D1813"/>
    <w:rsid w:val="001D2688"/>
    <w:rsid w:val="001E2394"/>
    <w:rsid w:val="001E59DC"/>
    <w:rsid w:val="001E6AD2"/>
    <w:rsid w:val="00200A73"/>
    <w:rsid w:val="00206D4D"/>
    <w:rsid w:val="00216526"/>
    <w:rsid w:val="002220A2"/>
    <w:rsid w:val="00232B08"/>
    <w:rsid w:val="00232CFD"/>
    <w:rsid w:val="002419EB"/>
    <w:rsid w:val="00241D6E"/>
    <w:rsid w:val="002501C4"/>
    <w:rsid w:val="00254A99"/>
    <w:rsid w:val="00257B23"/>
    <w:rsid w:val="00263F1A"/>
    <w:rsid w:val="00266F48"/>
    <w:rsid w:val="00271E7B"/>
    <w:rsid w:val="00272E29"/>
    <w:rsid w:val="0027607E"/>
    <w:rsid w:val="00280119"/>
    <w:rsid w:val="00281C10"/>
    <w:rsid w:val="00297572"/>
    <w:rsid w:val="002A1EB9"/>
    <w:rsid w:val="002A54A3"/>
    <w:rsid w:val="002B0F54"/>
    <w:rsid w:val="002B1633"/>
    <w:rsid w:val="002B5315"/>
    <w:rsid w:val="002B76A3"/>
    <w:rsid w:val="002C155D"/>
    <w:rsid w:val="002C1780"/>
    <w:rsid w:val="002C77A9"/>
    <w:rsid w:val="002C7A13"/>
    <w:rsid w:val="002D4381"/>
    <w:rsid w:val="002E14BA"/>
    <w:rsid w:val="002E217F"/>
    <w:rsid w:val="002E3BA1"/>
    <w:rsid w:val="002F0596"/>
    <w:rsid w:val="002F17A8"/>
    <w:rsid w:val="003030F6"/>
    <w:rsid w:val="00311306"/>
    <w:rsid w:val="00314A1C"/>
    <w:rsid w:val="00314E49"/>
    <w:rsid w:val="00316145"/>
    <w:rsid w:val="00316F06"/>
    <w:rsid w:val="00324B1E"/>
    <w:rsid w:val="00325D70"/>
    <w:rsid w:val="00332724"/>
    <w:rsid w:val="00336660"/>
    <w:rsid w:val="00345A96"/>
    <w:rsid w:val="00346493"/>
    <w:rsid w:val="003513CC"/>
    <w:rsid w:val="00352A7E"/>
    <w:rsid w:val="00352B1A"/>
    <w:rsid w:val="003627A0"/>
    <w:rsid w:val="00363E18"/>
    <w:rsid w:val="003655D3"/>
    <w:rsid w:val="003678F2"/>
    <w:rsid w:val="00377E64"/>
    <w:rsid w:val="00380DFE"/>
    <w:rsid w:val="00393BA2"/>
    <w:rsid w:val="00393D09"/>
    <w:rsid w:val="003A459D"/>
    <w:rsid w:val="003B5C93"/>
    <w:rsid w:val="003C11F9"/>
    <w:rsid w:val="003C7D54"/>
    <w:rsid w:val="003D2874"/>
    <w:rsid w:val="003D40D6"/>
    <w:rsid w:val="003D56ED"/>
    <w:rsid w:val="003E4C02"/>
    <w:rsid w:val="003E582A"/>
    <w:rsid w:val="003E745F"/>
    <w:rsid w:val="003F1232"/>
    <w:rsid w:val="003F1C13"/>
    <w:rsid w:val="003F2FA9"/>
    <w:rsid w:val="003F41D8"/>
    <w:rsid w:val="003F446E"/>
    <w:rsid w:val="003F5BE6"/>
    <w:rsid w:val="00410D69"/>
    <w:rsid w:val="00411CB5"/>
    <w:rsid w:val="004134E2"/>
    <w:rsid w:val="004151E7"/>
    <w:rsid w:val="00415D40"/>
    <w:rsid w:val="00422EBF"/>
    <w:rsid w:val="004249E5"/>
    <w:rsid w:val="00424D47"/>
    <w:rsid w:val="00435F70"/>
    <w:rsid w:val="00441120"/>
    <w:rsid w:val="0044232A"/>
    <w:rsid w:val="00445A5D"/>
    <w:rsid w:val="004477AE"/>
    <w:rsid w:val="0045061C"/>
    <w:rsid w:val="00451CE5"/>
    <w:rsid w:val="00452775"/>
    <w:rsid w:val="00455620"/>
    <w:rsid w:val="004562DE"/>
    <w:rsid w:val="00456A56"/>
    <w:rsid w:val="00461CEC"/>
    <w:rsid w:val="004622B7"/>
    <w:rsid w:val="00470314"/>
    <w:rsid w:val="00471815"/>
    <w:rsid w:val="00472A33"/>
    <w:rsid w:val="00474738"/>
    <w:rsid w:val="004761B9"/>
    <w:rsid w:val="00477850"/>
    <w:rsid w:val="004805DD"/>
    <w:rsid w:val="00482597"/>
    <w:rsid w:val="0048429D"/>
    <w:rsid w:val="00484FB6"/>
    <w:rsid w:val="004906D8"/>
    <w:rsid w:val="004A1F2A"/>
    <w:rsid w:val="004A6824"/>
    <w:rsid w:val="004A6F46"/>
    <w:rsid w:val="004B0605"/>
    <w:rsid w:val="004B6616"/>
    <w:rsid w:val="004C4AF7"/>
    <w:rsid w:val="004C4B01"/>
    <w:rsid w:val="004D049E"/>
    <w:rsid w:val="004D6C6F"/>
    <w:rsid w:val="004E2F62"/>
    <w:rsid w:val="004F3454"/>
    <w:rsid w:val="00510B13"/>
    <w:rsid w:val="00521F02"/>
    <w:rsid w:val="00526D09"/>
    <w:rsid w:val="00536834"/>
    <w:rsid w:val="005379E1"/>
    <w:rsid w:val="00542E27"/>
    <w:rsid w:val="005438B1"/>
    <w:rsid w:val="00545C87"/>
    <w:rsid w:val="00553D7F"/>
    <w:rsid w:val="00556E53"/>
    <w:rsid w:val="00564F93"/>
    <w:rsid w:val="005677DE"/>
    <w:rsid w:val="00572D20"/>
    <w:rsid w:val="00572F44"/>
    <w:rsid w:val="0057317D"/>
    <w:rsid w:val="00574EB3"/>
    <w:rsid w:val="005753E7"/>
    <w:rsid w:val="00580241"/>
    <w:rsid w:val="00582568"/>
    <w:rsid w:val="00583428"/>
    <w:rsid w:val="00583875"/>
    <w:rsid w:val="00583D03"/>
    <w:rsid w:val="00584C7F"/>
    <w:rsid w:val="00587BB2"/>
    <w:rsid w:val="005916F7"/>
    <w:rsid w:val="00596EDA"/>
    <w:rsid w:val="0059707E"/>
    <w:rsid w:val="005A0CA1"/>
    <w:rsid w:val="005A47A6"/>
    <w:rsid w:val="005A62C8"/>
    <w:rsid w:val="005A6B6B"/>
    <w:rsid w:val="005C225C"/>
    <w:rsid w:val="005C6564"/>
    <w:rsid w:val="005D2F50"/>
    <w:rsid w:val="005E048A"/>
    <w:rsid w:val="005E0FAD"/>
    <w:rsid w:val="005E1DC5"/>
    <w:rsid w:val="005E6033"/>
    <w:rsid w:val="005F2379"/>
    <w:rsid w:val="005F26DD"/>
    <w:rsid w:val="005F3C27"/>
    <w:rsid w:val="005F47BB"/>
    <w:rsid w:val="005F5BF9"/>
    <w:rsid w:val="0060025A"/>
    <w:rsid w:val="00606728"/>
    <w:rsid w:val="006105E0"/>
    <w:rsid w:val="00615D94"/>
    <w:rsid w:val="006215C1"/>
    <w:rsid w:val="00621BD0"/>
    <w:rsid w:val="006250AF"/>
    <w:rsid w:val="00633A63"/>
    <w:rsid w:val="00634370"/>
    <w:rsid w:val="00635129"/>
    <w:rsid w:val="00635644"/>
    <w:rsid w:val="00637B28"/>
    <w:rsid w:val="00642BFB"/>
    <w:rsid w:val="00647019"/>
    <w:rsid w:val="00651964"/>
    <w:rsid w:val="00653929"/>
    <w:rsid w:val="00662DE1"/>
    <w:rsid w:val="00663F26"/>
    <w:rsid w:val="006647D1"/>
    <w:rsid w:val="00667A8C"/>
    <w:rsid w:val="00672BBC"/>
    <w:rsid w:val="006756BD"/>
    <w:rsid w:val="00675F07"/>
    <w:rsid w:val="00677C15"/>
    <w:rsid w:val="00681C08"/>
    <w:rsid w:val="00684029"/>
    <w:rsid w:val="00687493"/>
    <w:rsid w:val="006960B0"/>
    <w:rsid w:val="006A2451"/>
    <w:rsid w:val="006A2B14"/>
    <w:rsid w:val="006A3838"/>
    <w:rsid w:val="006A3C2C"/>
    <w:rsid w:val="006A5831"/>
    <w:rsid w:val="006A683E"/>
    <w:rsid w:val="006B259E"/>
    <w:rsid w:val="006B6D7B"/>
    <w:rsid w:val="006B7B89"/>
    <w:rsid w:val="006C0995"/>
    <w:rsid w:val="006C0E1E"/>
    <w:rsid w:val="006C1293"/>
    <w:rsid w:val="006C2503"/>
    <w:rsid w:val="006C3DAB"/>
    <w:rsid w:val="006C4517"/>
    <w:rsid w:val="006C5123"/>
    <w:rsid w:val="006C657F"/>
    <w:rsid w:val="006C6C50"/>
    <w:rsid w:val="006C73C3"/>
    <w:rsid w:val="006D1088"/>
    <w:rsid w:val="006D2233"/>
    <w:rsid w:val="006D59C3"/>
    <w:rsid w:val="006D5FF4"/>
    <w:rsid w:val="006D74CC"/>
    <w:rsid w:val="006E1BF1"/>
    <w:rsid w:val="006E236F"/>
    <w:rsid w:val="006E2E74"/>
    <w:rsid w:val="006E498B"/>
    <w:rsid w:val="006F06CF"/>
    <w:rsid w:val="006F239E"/>
    <w:rsid w:val="006F31C2"/>
    <w:rsid w:val="006F340C"/>
    <w:rsid w:val="006F43A5"/>
    <w:rsid w:val="006F4CD7"/>
    <w:rsid w:val="006F6264"/>
    <w:rsid w:val="006F680A"/>
    <w:rsid w:val="006F6F09"/>
    <w:rsid w:val="006F7698"/>
    <w:rsid w:val="006F79EA"/>
    <w:rsid w:val="0070035A"/>
    <w:rsid w:val="0070049F"/>
    <w:rsid w:val="00714A49"/>
    <w:rsid w:val="00721196"/>
    <w:rsid w:val="007237BF"/>
    <w:rsid w:val="00723A00"/>
    <w:rsid w:val="00724E85"/>
    <w:rsid w:val="00730D6B"/>
    <w:rsid w:val="007369DB"/>
    <w:rsid w:val="007401CF"/>
    <w:rsid w:val="00744DD4"/>
    <w:rsid w:val="0074649C"/>
    <w:rsid w:val="00746B66"/>
    <w:rsid w:val="00750236"/>
    <w:rsid w:val="00751883"/>
    <w:rsid w:val="007540DE"/>
    <w:rsid w:val="007637D1"/>
    <w:rsid w:val="00764D77"/>
    <w:rsid w:val="007665B4"/>
    <w:rsid w:val="007720F5"/>
    <w:rsid w:val="00774C0A"/>
    <w:rsid w:val="00774F4F"/>
    <w:rsid w:val="00775364"/>
    <w:rsid w:val="00777188"/>
    <w:rsid w:val="00782C4C"/>
    <w:rsid w:val="0078334D"/>
    <w:rsid w:val="00787F74"/>
    <w:rsid w:val="0079161E"/>
    <w:rsid w:val="00794313"/>
    <w:rsid w:val="00794A76"/>
    <w:rsid w:val="007957D9"/>
    <w:rsid w:val="00797503"/>
    <w:rsid w:val="007A3101"/>
    <w:rsid w:val="007A5BB2"/>
    <w:rsid w:val="007A66CA"/>
    <w:rsid w:val="007B6B87"/>
    <w:rsid w:val="007C5563"/>
    <w:rsid w:val="007C7228"/>
    <w:rsid w:val="007D0075"/>
    <w:rsid w:val="007D28BE"/>
    <w:rsid w:val="007D2B8C"/>
    <w:rsid w:val="007D73A8"/>
    <w:rsid w:val="00800306"/>
    <w:rsid w:val="00800AEF"/>
    <w:rsid w:val="0080234B"/>
    <w:rsid w:val="0080404F"/>
    <w:rsid w:val="0080503C"/>
    <w:rsid w:val="008065F3"/>
    <w:rsid w:val="00820617"/>
    <w:rsid w:val="00821520"/>
    <w:rsid w:val="0083063E"/>
    <w:rsid w:val="00842AC8"/>
    <w:rsid w:val="00843D0E"/>
    <w:rsid w:val="00851B25"/>
    <w:rsid w:val="00853676"/>
    <w:rsid w:val="00857EBC"/>
    <w:rsid w:val="00860285"/>
    <w:rsid w:val="00861919"/>
    <w:rsid w:val="00862A0E"/>
    <w:rsid w:val="00863841"/>
    <w:rsid w:val="00863DA5"/>
    <w:rsid w:val="0086468C"/>
    <w:rsid w:val="008720C5"/>
    <w:rsid w:val="00872FA0"/>
    <w:rsid w:val="00875AEB"/>
    <w:rsid w:val="00877A58"/>
    <w:rsid w:val="00877B85"/>
    <w:rsid w:val="0088176E"/>
    <w:rsid w:val="00881B55"/>
    <w:rsid w:val="00881BBD"/>
    <w:rsid w:val="00887DDE"/>
    <w:rsid w:val="008911AE"/>
    <w:rsid w:val="00896298"/>
    <w:rsid w:val="008A1579"/>
    <w:rsid w:val="008A23AE"/>
    <w:rsid w:val="008A24CB"/>
    <w:rsid w:val="008A3874"/>
    <w:rsid w:val="008A58BB"/>
    <w:rsid w:val="008B13E7"/>
    <w:rsid w:val="008B5F95"/>
    <w:rsid w:val="008C1407"/>
    <w:rsid w:val="008C2600"/>
    <w:rsid w:val="008C7990"/>
    <w:rsid w:val="008C7EE9"/>
    <w:rsid w:val="008D268C"/>
    <w:rsid w:val="008D28BF"/>
    <w:rsid w:val="008D53A6"/>
    <w:rsid w:val="008D730E"/>
    <w:rsid w:val="008E21BD"/>
    <w:rsid w:val="008E40A3"/>
    <w:rsid w:val="008E489C"/>
    <w:rsid w:val="008E7012"/>
    <w:rsid w:val="008F0C4C"/>
    <w:rsid w:val="008F40E0"/>
    <w:rsid w:val="008F7561"/>
    <w:rsid w:val="008F770A"/>
    <w:rsid w:val="00900CFB"/>
    <w:rsid w:val="00901BEC"/>
    <w:rsid w:val="00906F83"/>
    <w:rsid w:val="00912356"/>
    <w:rsid w:val="00916565"/>
    <w:rsid w:val="009173EC"/>
    <w:rsid w:val="00921457"/>
    <w:rsid w:val="00924D8E"/>
    <w:rsid w:val="00926B92"/>
    <w:rsid w:val="00937474"/>
    <w:rsid w:val="0094120E"/>
    <w:rsid w:val="0094151B"/>
    <w:rsid w:val="00942C18"/>
    <w:rsid w:val="00943C4A"/>
    <w:rsid w:val="009441D7"/>
    <w:rsid w:val="00944882"/>
    <w:rsid w:val="0095120C"/>
    <w:rsid w:val="009606D7"/>
    <w:rsid w:val="0097191F"/>
    <w:rsid w:val="009742C2"/>
    <w:rsid w:val="00980F81"/>
    <w:rsid w:val="00983511"/>
    <w:rsid w:val="0098418B"/>
    <w:rsid w:val="009848BB"/>
    <w:rsid w:val="00985426"/>
    <w:rsid w:val="00990C90"/>
    <w:rsid w:val="00993A55"/>
    <w:rsid w:val="009967B3"/>
    <w:rsid w:val="00996959"/>
    <w:rsid w:val="009A0453"/>
    <w:rsid w:val="009A1294"/>
    <w:rsid w:val="009A2197"/>
    <w:rsid w:val="009A29EC"/>
    <w:rsid w:val="009A2AE5"/>
    <w:rsid w:val="009A4BA5"/>
    <w:rsid w:val="009B2E48"/>
    <w:rsid w:val="009B58A6"/>
    <w:rsid w:val="009C04EF"/>
    <w:rsid w:val="009C06EA"/>
    <w:rsid w:val="009C3020"/>
    <w:rsid w:val="009C4B32"/>
    <w:rsid w:val="009C4DDE"/>
    <w:rsid w:val="009C6053"/>
    <w:rsid w:val="009D5F0D"/>
    <w:rsid w:val="009D76A4"/>
    <w:rsid w:val="009D7D77"/>
    <w:rsid w:val="009E11F7"/>
    <w:rsid w:val="009E12B8"/>
    <w:rsid w:val="009E1A7D"/>
    <w:rsid w:val="009E67EE"/>
    <w:rsid w:val="009E7552"/>
    <w:rsid w:val="009E7AB7"/>
    <w:rsid w:val="009F2770"/>
    <w:rsid w:val="009F2F74"/>
    <w:rsid w:val="00A030E5"/>
    <w:rsid w:val="00A061A6"/>
    <w:rsid w:val="00A06F16"/>
    <w:rsid w:val="00A070E5"/>
    <w:rsid w:val="00A10EB6"/>
    <w:rsid w:val="00A124B5"/>
    <w:rsid w:val="00A1290E"/>
    <w:rsid w:val="00A142C1"/>
    <w:rsid w:val="00A1590D"/>
    <w:rsid w:val="00A21A6D"/>
    <w:rsid w:val="00A24196"/>
    <w:rsid w:val="00A30A0E"/>
    <w:rsid w:val="00A311E5"/>
    <w:rsid w:val="00A31BC8"/>
    <w:rsid w:val="00A32207"/>
    <w:rsid w:val="00A33A90"/>
    <w:rsid w:val="00A5239E"/>
    <w:rsid w:val="00A5297B"/>
    <w:rsid w:val="00A55330"/>
    <w:rsid w:val="00A564F6"/>
    <w:rsid w:val="00A56B94"/>
    <w:rsid w:val="00A60F36"/>
    <w:rsid w:val="00A63999"/>
    <w:rsid w:val="00A67F1F"/>
    <w:rsid w:val="00A70E3F"/>
    <w:rsid w:val="00A74400"/>
    <w:rsid w:val="00A77ED3"/>
    <w:rsid w:val="00A82273"/>
    <w:rsid w:val="00A8546E"/>
    <w:rsid w:val="00A875CF"/>
    <w:rsid w:val="00A90D39"/>
    <w:rsid w:val="00AA08FD"/>
    <w:rsid w:val="00AA6A52"/>
    <w:rsid w:val="00AA75CB"/>
    <w:rsid w:val="00AB2C22"/>
    <w:rsid w:val="00AB4FBC"/>
    <w:rsid w:val="00AB54AE"/>
    <w:rsid w:val="00AC15D9"/>
    <w:rsid w:val="00AC34E0"/>
    <w:rsid w:val="00AC5BD7"/>
    <w:rsid w:val="00AC667A"/>
    <w:rsid w:val="00AC6C10"/>
    <w:rsid w:val="00AD4109"/>
    <w:rsid w:val="00AD68B8"/>
    <w:rsid w:val="00AE14CD"/>
    <w:rsid w:val="00AE37D7"/>
    <w:rsid w:val="00AE3E7F"/>
    <w:rsid w:val="00AE3F43"/>
    <w:rsid w:val="00AE4DF5"/>
    <w:rsid w:val="00AF149D"/>
    <w:rsid w:val="00AF4DB0"/>
    <w:rsid w:val="00AF511D"/>
    <w:rsid w:val="00B03D42"/>
    <w:rsid w:val="00B053B5"/>
    <w:rsid w:val="00B100C8"/>
    <w:rsid w:val="00B110DF"/>
    <w:rsid w:val="00B12390"/>
    <w:rsid w:val="00B14A90"/>
    <w:rsid w:val="00B15357"/>
    <w:rsid w:val="00B21BB0"/>
    <w:rsid w:val="00B26533"/>
    <w:rsid w:val="00B26570"/>
    <w:rsid w:val="00B30D16"/>
    <w:rsid w:val="00B3218D"/>
    <w:rsid w:val="00B3247D"/>
    <w:rsid w:val="00B33AF6"/>
    <w:rsid w:val="00B34BA1"/>
    <w:rsid w:val="00B37E04"/>
    <w:rsid w:val="00B42040"/>
    <w:rsid w:val="00B42C38"/>
    <w:rsid w:val="00B43181"/>
    <w:rsid w:val="00B4331C"/>
    <w:rsid w:val="00B43A61"/>
    <w:rsid w:val="00B457AC"/>
    <w:rsid w:val="00B549D5"/>
    <w:rsid w:val="00B63A1F"/>
    <w:rsid w:val="00B72039"/>
    <w:rsid w:val="00B800FB"/>
    <w:rsid w:val="00B82231"/>
    <w:rsid w:val="00B84E95"/>
    <w:rsid w:val="00B85378"/>
    <w:rsid w:val="00B85A0D"/>
    <w:rsid w:val="00B85EA0"/>
    <w:rsid w:val="00B86026"/>
    <w:rsid w:val="00B86D0C"/>
    <w:rsid w:val="00B87727"/>
    <w:rsid w:val="00B944EA"/>
    <w:rsid w:val="00B962FF"/>
    <w:rsid w:val="00B97526"/>
    <w:rsid w:val="00BA6239"/>
    <w:rsid w:val="00BB1F3F"/>
    <w:rsid w:val="00BB77AB"/>
    <w:rsid w:val="00BC0261"/>
    <w:rsid w:val="00BC0954"/>
    <w:rsid w:val="00BC3414"/>
    <w:rsid w:val="00BC46CA"/>
    <w:rsid w:val="00BC4C42"/>
    <w:rsid w:val="00BC77DF"/>
    <w:rsid w:val="00BD0AC5"/>
    <w:rsid w:val="00BD19AE"/>
    <w:rsid w:val="00BD304C"/>
    <w:rsid w:val="00BD699C"/>
    <w:rsid w:val="00BD74B4"/>
    <w:rsid w:val="00BE38B8"/>
    <w:rsid w:val="00BE39E5"/>
    <w:rsid w:val="00BE3E63"/>
    <w:rsid w:val="00BE5FBC"/>
    <w:rsid w:val="00BF3D1C"/>
    <w:rsid w:val="00BF5881"/>
    <w:rsid w:val="00C00FE6"/>
    <w:rsid w:val="00C07DF5"/>
    <w:rsid w:val="00C12770"/>
    <w:rsid w:val="00C15541"/>
    <w:rsid w:val="00C20A13"/>
    <w:rsid w:val="00C230D0"/>
    <w:rsid w:val="00C240A5"/>
    <w:rsid w:val="00C24B4B"/>
    <w:rsid w:val="00C2630E"/>
    <w:rsid w:val="00C30F99"/>
    <w:rsid w:val="00C41490"/>
    <w:rsid w:val="00C423CF"/>
    <w:rsid w:val="00C46E12"/>
    <w:rsid w:val="00C544A3"/>
    <w:rsid w:val="00C558B1"/>
    <w:rsid w:val="00C7408B"/>
    <w:rsid w:val="00C82358"/>
    <w:rsid w:val="00C82D7F"/>
    <w:rsid w:val="00C95DE2"/>
    <w:rsid w:val="00C96083"/>
    <w:rsid w:val="00CA42A3"/>
    <w:rsid w:val="00CA4528"/>
    <w:rsid w:val="00CA5C6F"/>
    <w:rsid w:val="00CA62F7"/>
    <w:rsid w:val="00CB12E2"/>
    <w:rsid w:val="00CB47AA"/>
    <w:rsid w:val="00CC1E02"/>
    <w:rsid w:val="00CC24FA"/>
    <w:rsid w:val="00CC33E8"/>
    <w:rsid w:val="00CD4722"/>
    <w:rsid w:val="00CD59F7"/>
    <w:rsid w:val="00CD7A84"/>
    <w:rsid w:val="00CE3FD4"/>
    <w:rsid w:val="00CE4DBB"/>
    <w:rsid w:val="00CF203B"/>
    <w:rsid w:val="00CF2142"/>
    <w:rsid w:val="00CF6CBD"/>
    <w:rsid w:val="00CF6FDB"/>
    <w:rsid w:val="00D004F7"/>
    <w:rsid w:val="00D05751"/>
    <w:rsid w:val="00D13A8A"/>
    <w:rsid w:val="00D14BF9"/>
    <w:rsid w:val="00D22C3C"/>
    <w:rsid w:val="00D25F7E"/>
    <w:rsid w:val="00D2611A"/>
    <w:rsid w:val="00D3286B"/>
    <w:rsid w:val="00D33645"/>
    <w:rsid w:val="00D34465"/>
    <w:rsid w:val="00D35424"/>
    <w:rsid w:val="00D429FC"/>
    <w:rsid w:val="00D44E3D"/>
    <w:rsid w:val="00D44F1E"/>
    <w:rsid w:val="00D450F4"/>
    <w:rsid w:val="00D5765A"/>
    <w:rsid w:val="00D57C03"/>
    <w:rsid w:val="00D62753"/>
    <w:rsid w:val="00D63525"/>
    <w:rsid w:val="00D6365F"/>
    <w:rsid w:val="00D63C19"/>
    <w:rsid w:val="00D63F42"/>
    <w:rsid w:val="00D7260A"/>
    <w:rsid w:val="00D75FCB"/>
    <w:rsid w:val="00D80906"/>
    <w:rsid w:val="00D81B35"/>
    <w:rsid w:val="00D85700"/>
    <w:rsid w:val="00D85C9C"/>
    <w:rsid w:val="00D94825"/>
    <w:rsid w:val="00D9607C"/>
    <w:rsid w:val="00DA1D41"/>
    <w:rsid w:val="00DA26C9"/>
    <w:rsid w:val="00DA3296"/>
    <w:rsid w:val="00DA3919"/>
    <w:rsid w:val="00DA4960"/>
    <w:rsid w:val="00DA4BB6"/>
    <w:rsid w:val="00DA50C7"/>
    <w:rsid w:val="00DA5DEF"/>
    <w:rsid w:val="00DB3443"/>
    <w:rsid w:val="00DB3824"/>
    <w:rsid w:val="00DB5BC0"/>
    <w:rsid w:val="00DB782E"/>
    <w:rsid w:val="00DC3823"/>
    <w:rsid w:val="00DD48B2"/>
    <w:rsid w:val="00DD7A8A"/>
    <w:rsid w:val="00DE01EA"/>
    <w:rsid w:val="00DE03CE"/>
    <w:rsid w:val="00DE39B4"/>
    <w:rsid w:val="00DE5E10"/>
    <w:rsid w:val="00DE60EC"/>
    <w:rsid w:val="00DE6235"/>
    <w:rsid w:val="00DE6511"/>
    <w:rsid w:val="00DF131E"/>
    <w:rsid w:val="00DF22C1"/>
    <w:rsid w:val="00DF44D5"/>
    <w:rsid w:val="00DF5E52"/>
    <w:rsid w:val="00DF5FBC"/>
    <w:rsid w:val="00E03DEF"/>
    <w:rsid w:val="00E073CE"/>
    <w:rsid w:val="00E11F18"/>
    <w:rsid w:val="00E15A16"/>
    <w:rsid w:val="00E22234"/>
    <w:rsid w:val="00E248CE"/>
    <w:rsid w:val="00E314B1"/>
    <w:rsid w:val="00E34D03"/>
    <w:rsid w:val="00E36700"/>
    <w:rsid w:val="00E40026"/>
    <w:rsid w:val="00E411B9"/>
    <w:rsid w:val="00E4472D"/>
    <w:rsid w:val="00E451BF"/>
    <w:rsid w:val="00E51BA3"/>
    <w:rsid w:val="00E5209B"/>
    <w:rsid w:val="00E52B63"/>
    <w:rsid w:val="00E55919"/>
    <w:rsid w:val="00E604CE"/>
    <w:rsid w:val="00E644DE"/>
    <w:rsid w:val="00E65CD3"/>
    <w:rsid w:val="00E6669C"/>
    <w:rsid w:val="00E70835"/>
    <w:rsid w:val="00E71921"/>
    <w:rsid w:val="00E72C7F"/>
    <w:rsid w:val="00E73466"/>
    <w:rsid w:val="00E800A0"/>
    <w:rsid w:val="00E90B28"/>
    <w:rsid w:val="00E918F2"/>
    <w:rsid w:val="00E93591"/>
    <w:rsid w:val="00E935BE"/>
    <w:rsid w:val="00E9699B"/>
    <w:rsid w:val="00E97ECE"/>
    <w:rsid w:val="00EA2E2C"/>
    <w:rsid w:val="00EA39F8"/>
    <w:rsid w:val="00EB4699"/>
    <w:rsid w:val="00EB5874"/>
    <w:rsid w:val="00EB58A7"/>
    <w:rsid w:val="00EB7388"/>
    <w:rsid w:val="00EE2C34"/>
    <w:rsid w:val="00EE2FDD"/>
    <w:rsid w:val="00EE3426"/>
    <w:rsid w:val="00EF3115"/>
    <w:rsid w:val="00EF595A"/>
    <w:rsid w:val="00F019F0"/>
    <w:rsid w:val="00F14DB7"/>
    <w:rsid w:val="00F20029"/>
    <w:rsid w:val="00F242D8"/>
    <w:rsid w:val="00F25076"/>
    <w:rsid w:val="00F30D48"/>
    <w:rsid w:val="00F32771"/>
    <w:rsid w:val="00F33FE2"/>
    <w:rsid w:val="00F34DD0"/>
    <w:rsid w:val="00F413D5"/>
    <w:rsid w:val="00F433BE"/>
    <w:rsid w:val="00F43E26"/>
    <w:rsid w:val="00F440D4"/>
    <w:rsid w:val="00F47820"/>
    <w:rsid w:val="00F53FDC"/>
    <w:rsid w:val="00F54407"/>
    <w:rsid w:val="00F55510"/>
    <w:rsid w:val="00F57D2B"/>
    <w:rsid w:val="00F62A0D"/>
    <w:rsid w:val="00F7103C"/>
    <w:rsid w:val="00F75ECE"/>
    <w:rsid w:val="00F80A02"/>
    <w:rsid w:val="00F8391B"/>
    <w:rsid w:val="00F86016"/>
    <w:rsid w:val="00F91391"/>
    <w:rsid w:val="00F94A20"/>
    <w:rsid w:val="00F95568"/>
    <w:rsid w:val="00F97B77"/>
    <w:rsid w:val="00FA1182"/>
    <w:rsid w:val="00FA4311"/>
    <w:rsid w:val="00FA618B"/>
    <w:rsid w:val="00FA6847"/>
    <w:rsid w:val="00FA73B5"/>
    <w:rsid w:val="00FB069D"/>
    <w:rsid w:val="00FB0ACE"/>
    <w:rsid w:val="00FB0B7E"/>
    <w:rsid w:val="00FB5AEC"/>
    <w:rsid w:val="00FB7462"/>
    <w:rsid w:val="00FC3775"/>
    <w:rsid w:val="00FC5ECE"/>
    <w:rsid w:val="00FC60B5"/>
    <w:rsid w:val="00FC655F"/>
    <w:rsid w:val="00FD1B7E"/>
    <w:rsid w:val="00FD1FB7"/>
    <w:rsid w:val="00FE412E"/>
    <w:rsid w:val="00FF01D2"/>
    <w:rsid w:val="00FF1E8F"/>
    <w:rsid w:val="00FF4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C9D12"/>
  <w15:docId w15:val="{34F57514-B5A2-4468-A9BB-474C1355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53"/>
    <w:rPr>
      <w:rFonts w:ascii="Arial" w:hAnsi="Arial"/>
      <w:sz w:val="22"/>
      <w:szCs w:val="24"/>
    </w:rPr>
  </w:style>
  <w:style w:type="paragraph" w:styleId="Heading1">
    <w:name w:val="heading 1"/>
    <w:basedOn w:val="Normal"/>
    <w:next w:val="Normal"/>
    <w:link w:val="Heading1Char"/>
    <w:qFormat/>
    <w:rsid w:val="00BE38B8"/>
    <w:pPr>
      <w:keepNext/>
      <w:spacing w:before="240" w:after="60"/>
      <w:outlineLvl w:val="0"/>
    </w:pPr>
    <w:rPr>
      <w:b/>
      <w:bCs/>
      <w:color w:val="1F4E79"/>
      <w:kern w:val="32"/>
      <w:szCs w:val="32"/>
    </w:rPr>
  </w:style>
  <w:style w:type="paragraph" w:styleId="Heading2">
    <w:name w:val="heading 2"/>
    <w:basedOn w:val="Normal"/>
    <w:next w:val="Normal"/>
    <w:qFormat/>
    <w:rsid w:val="00BE38B8"/>
    <w:pPr>
      <w:keepNext/>
      <w:spacing w:before="240" w:after="60"/>
      <w:outlineLvl w:val="1"/>
    </w:pPr>
    <w:rPr>
      <w:rFonts w:cs="Arial"/>
      <w:b/>
      <w:bCs/>
      <w:iCs/>
      <w:color w:val="1F4E79"/>
      <w:szCs w:val="28"/>
    </w:rPr>
  </w:style>
  <w:style w:type="paragraph" w:styleId="Heading3">
    <w:name w:val="heading 3"/>
    <w:basedOn w:val="Normal"/>
    <w:next w:val="Normal"/>
    <w:link w:val="Heading3Char"/>
    <w:semiHidden/>
    <w:unhideWhenUsed/>
    <w:qFormat/>
    <w:rsid w:val="00F62A0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11F9"/>
    <w:pPr>
      <w:tabs>
        <w:tab w:val="center" w:pos="4153"/>
        <w:tab w:val="right" w:pos="8306"/>
      </w:tabs>
    </w:pPr>
  </w:style>
  <w:style w:type="paragraph" w:styleId="Footer">
    <w:name w:val="footer"/>
    <w:basedOn w:val="Normal"/>
    <w:link w:val="FooterChar"/>
    <w:uiPriority w:val="99"/>
    <w:rsid w:val="003C11F9"/>
    <w:pPr>
      <w:tabs>
        <w:tab w:val="center" w:pos="4153"/>
        <w:tab w:val="right" w:pos="8306"/>
      </w:tabs>
    </w:pPr>
  </w:style>
  <w:style w:type="paragraph" w:styleId="TOC1">
    <w:name w:val="toc 1"/>
    <w:basedOn w:val="Normal"/>
    <w:next w:val="Normal"/>
    <w:autoRedefine/>
    <w:uiPriority w:val="39"/>
    <w:rsid w:val="00875AEB"/>
    <w:pPr>
      <w:spacing w:before="120" w:after="120"/>
    </w:pPr>
    <w:rPr>
      <w:rFonts w:ascii="Calibri" w:hAnsi="Calibri" w:cs="Calibri"/>
      <w:b/>
      <w:bCs/>
      <w:caps/>
      <w:sz w:val="20"/>
      <w:szCs w:val="20"/>
    </w:rPr>
  </w:style>
  <w:style w:type="character" w:styleId="Hyperlink">
    <w:name w:val="Hyperlink"/>
    <w:uiPriority w:val="99"/>
    <w:rsid w:val="00672BBC"/>
    <w:rPr>
      <w:color w:val="0000FF"/>
      <w:u w:val="single"/>
    </w:rPr>
  </w:style>
  <w:style w:type="paragraph" w:styleId="TOC2">
    <w:name w:val="toc 2"/>
    <w:basedOn w:val="Normal"/>
    <w:next w:val="Normal"/>
    <w:autoRedefine/>
    <w:uiPriority w:val="39"/>
    <w:rsid w:val="002B0F54"/>
    <w:pPr>
      <w:ind w:left="240"/>
    </w:pPr>
    <w:rPr>
      <w:rFonts w:ascii="Calibri" w:hAnsi="Calibri" w:cs="Calibri"/>
      <w:smallCaps/>
      <w:sz w:val="20"/>
      <w:szCs w:val="20"/>
    </w:rPr>
  </w:style>
  <w:style w:type="paragraph" w:styleId="BalloonText">
    <w:name w:val="Balloon Text"/>
    <w:basedOn w:val="Normal"/>
    <w:link w:val="BalloonTextChar"/>
    <w:uiPriority w:val="99"/>
    <w:semiHidden/>
    <w:rsid w:val="006E1BF1"/>
    <w:rPr>
      <w:rFonts w:ascii="Tahoma" w:hAnsi="Tahoma" w:cs="Tahoma"/>
      <w:sz w:val="16"/>
      <w:szCs w:val="16"/>
    </w:rPr>
  </w:style>
  <w:style w:type="character" w:customStyle="1" w:styleId="PlainTextChar">
    <w:name w:val="Plain Text Char"/>
    <w:link w:val="PlainText"/>
    <w:locked/>
    <w:rsid w:val="00AC6C10"/>
    <w:rPr>
      <w:rFonts w:ascii="Consolas" w:hAnsi="Consolas"/>
      <w:sz w:val="21"/>
      <w:szCs w:val="21"/>
      <w:lang w:bidi="ar-SA"/>
    </w:rPr>
  </w:style>
  <w:style w:type="paragraph" w:styleId="PlainText">
    <w:name w:val="Plain Text"/>
    <w:basedOn w:val="Normal"/>
    <w:link w:val="PlainTextChar"/>
    <w:rsid w:val="00AC6C10"/>
    <w:rPr>
      <w:rFonts w:ascii="Consolas" w:hAnsi="Consolas"/>
      <w:sz w:val="21"/>
      <w:szCs w:val="21"/>
    </w:rPr>
  </w:style>
  <w:style w:type="character" w:styleId="PageNumber">
    <w:name w:val="page number"/>
    <w:basedOn w:val="DefaultParagraphFont"/>
    <w:rsid w:val="00194C84"/>
  </w:style>
  <w:style w:type="paragraph" w:styleId="TOC3">
    <w:name w:val="toc 3"/>
    <w:basedOn w:val="Normal"/>
    <w:next w:val="Normal"/>
    <w:autoRedefine/>
    <w:uiPriority w:val="39"/>
    <w:rsid w:val="008E7012"/>
    <w:pPr>
      <w:ind w:left="480"/>
    </w:pPr>
    <w:rPr>
      <w:rFonts w:ascii="Calibri" w:hAnsi="Calibri" w:cs="Calibri"/>
      <w:i/>
      <w:iCs/>
      <w:sz w:val="20"/>
      <w:szCs w:val="20"/>
    </w:rPr>
  </w:style>
  <w:style w:type="paragraph" w:styleId="TOC4">
    <w:name w:val="toc 4"/>
    <w:basedOn w:val="Normal"/>
    <w:next w:val="Normal"/>
    <w:autoRedefine/>
    <w:semiHidden/>
    <w:rsid w:val="008E7012"/>
    <w:pPr>
      <w:ind w:left="720"/>
    </w:pPr>
    <w:rPr>
      <w:rFonts w:ascii="Calibri" w:hAnsi="Calibri" w:cs="Calibri"/>
      <w:sz w:val="18"/>
      <w:szCs w:val="18"/>
    </w:rPr>
  </w:style>
  <w:style w:type="paragraph" w:styleId="TOC5">
    <w:name w:val="toc 5"/>
    <w:basedOn w:val="Normal"/>
    <w:next w:val="Normal"/>
    <w:autoRedefine/>
    <w:semiHidden/>
    <w:rsid w:val="008E7012"/>
    <w:pPr>
      <w:ind w:left="960"/>
    </w:pPr>
    <w:rPr>
      <w:rFonts w:ascii="Calibri" w:hAnsi="Calibri" w:cs="Calibri"/>
      <w:sz w:val="18"/>
      <w:szCs w:val="18"/>
    </w:rPr>
  </w:style>
  <w:style w:type="paragraph" w:styleId="TOC6">
    <w:name w:val="toc 6"/>
    <w:basedOn w:val="Normal"/>
    <w:next w:val="Normal"/>
    <w:autoRedefine/>
    <w:semiHidden/>
    <w:rsid w:val="008E7012"/>
    <w:pPr>
      <w:ind w:left="1200"/>
    </w:pPr>
    <w:rPr>
      <w:rFonts w:ascii="Calibri" w:hAnsi="Calibri" w:cs="Calibri"/>
      <w:sz w:val="18"/>
      <w:szCs w:val="18"/>
    </w:rPr>
  </w:style>
  <w:style w:type="paragraph" w:styleId="TOC7">
    <w:name w:val="toc 7"/>
    <w:basedOn w:val="Normal"/>
    <w:next w:val="Normal"/>
    <w:autoRedefine/>
    <w:semiHidden/>
    <w:rsid w:val="008E7012"/>
    <w:pPr>
      <w:ind w:left="1440"/>
    </w:pPr>
    <w:rPr>
      <w:rFonts w:ascii="Calibri" w:hAnsi="Calibri" w:cs="Calibri"/>
      <w:sz w:val="18"/>
      <w:szCs w:val="18"/>
    </w:rPr>
  </w:style>
  <w:style w:type="paragraph" w:styleId="TOC8">
    <w:name w:val="toc 8"/>
    <w:basedOn w:val="Normal"/>
    <w:next w:val="Normal"/>
    <w:autoRedefine/>
    <w:semiHidden/>
    <w:rsid w:val="008E7012"/>
    <w:pPr>
      <w:ind w:left="1680"/>
    </w:pPr>
    <w:rPr>
      <w:rFonts w:ascii="Calibri" w:hAnsi="Calibri" w:cs="Calibri"/>
      <w:sz w:val="18"/>
      <w:szCs w:val="18"/>
    </w:rPr>
  </w:style>
  <w:style w:type="paragraph" w:styleId="TOC9">
    <w:name w:val="toc 9"/>
    <w:basedOn w:val="Normal"/>
    <w:next w:val="Normal"/>
    <w:autoRedefine/>
    <w:semiHidden/>
    <w:rsid w:val="008E7012"/>
    <w:pPr>
      <w:ind w:left="1920"/>
    </w:pPr>
    <w:rPr>
      <w:rFonts w:ascii="Calibri" w:hAnsi="Calibri" w:cs="Calibri"/>
      <w:sz w:val="18"/>
      <w:szCs w:val="18"/>
    </w:rPr>
  </w:style>
  <w:style w:type="character" w:customStyle="1" w:styleId="FooterChar">
    <w:name w:val="Footer Char"/>
    <w:link w:val="Footer"/>
    <w:uiPriority w:val="99"/>
    <w:rsid w:val="006C6C50"/>
    <w:rPr>
      <w:sz w:val="24"/>
      <w:szCs w:val="24"/>
      <w:lang w:val="en-AU" w:eastAsia="en-AU" w:bidi="ar-SA"/>
    </w:rPr>
  </w:style>
  <w:style w:type="paragraph" w:customStyle="1" w:styleId="CompanyName">
    <w:name w:val="Company Name"/>
    <w:basedOn w:val="Normal"/>
    <w:rsid w:val="00587BB2"/>
    <w:pPr>
      <w:keepNext/>
      <w:keepLines/>
      <w:framePr w:w="4080" w:h="840" w:hSpace="180" w:wrap="notBeside" w:vAnchor="page" w:hAnchor="margin" w:y="913"/>
      <w:widowControl w:val="0"/>
      <w:spacing w:line="220" w:lineRule="auto"/>
    </w:pPr>
    <w:rPr>
      <w:rFonts w:ascii="Arial Black" w:hAnsi="Arial Black"/>
      <w:spacing w:val="-25"/>
      <w:kern w:val="28"/>
      <w:sz w:val="32"/>
      <w:szCs w:val="20"/>
      <w:lang w:eastAsia="en-US"/>
    </w:rPr>
  </w:style>
  <w:style w:type="paragraph" w:customStyle="1" w:styleId="ReturnAddress">
    <w:name w:val="Return Address"/>
    <w:basedOn w:val="Normal"/>
    <w:rsid w:val="00587BB2"/>
    <w:pPr>
      <w:keepLines/>
      <w:spacing w:line="200" w:lineRule="atLeast"/>
    </w:pPr>
    <w:rPr>
      <w:spacing w:val="-2"/>
      <w:sz w:val="16"/>
      <w:szCs w:val="20"/>
      <w:lang w:eastAsia="en-US"/>
    </w:rPr>
  </w:style>
  <w:style w:type="paragraph" w:customStyle="1" w:styleId="ColorfulList-Accent11">
    <w:name w:val="Colorful List - Accent 11"/>
    <w:basedOn w:val="Normal"/>
    <w:uiPriority w:val="34"/>
    <w:qFormat/>
    <w:rsid w:val="00BE3E63"/>
    <w:pPr>
      <w:ind w:left="720"/>
    </w:pPr>
  </w:style>
  <w:style w:type="table" w:styleId="TableGrid">
    <w:name w:val="Table Grid"/>
    <w:basedOn w:val="TableNormal"/>
    <w:uiPriority w:val="39"/>
    <w:rsid w:val="00352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B64"/>
    <w:pPr>
      <w:ind w:left="720"/>
    </w:pPr>
    <w:rPr>
      <w:lang w:eastAsia="en-US"/>
    </w:rPr>
  </w:style>
  <w:style w:type="character" w:customStyle="1" w:styleId="Heading3Char">
    <w:name w:val="Heading 3 Char"/>
    <w:link w:val="Heading3"/>
    <w:semiHidden/>
    <w:rsid w:val="00F62A0D"/>
    <w:rPr>
      <w:rFonts w:ascii="Cambria" w:eastAsia="Times New Roman" w:hAnsi="Cambria" w:cs="Times New Roman"/>
      <w:b/>
      <w:bCs/>
      <w:sz w:val="26"/>
      <w:szCs w:val="26"/>
    </w:rPr>
  </w:style>
  <w:style w:type="character" w:customStyle="1" w:styleId="Heading1Char">
    <w:name w:val="Heading 1 Char"/>
    <w:link w:val="Heading1"/>
    <w:rsid w:val="00BE38B8"/>
    <w:rPr>
      <w:rFonts w:ascii="Arial" w:hAnsi="Arial"/>
      <w:b/>
      <w:bCs/>
      <w:color w:val="1F4E79"/>
      <w:kern w:val="32"/>
      <w:sz w:val="24"/>
      <w:szCs w:val="32"/>
    </w:rPr>
  </w:style>
  <w:style w:type="paragraph" w:styleId="TOCHeading">
    <w:name w:val="TOC Heading"/>
    <w:basedOn w:val="Heading1"/>
    <w:next w:val="Normal"/>
    <w:uiPriority w:val="39"/>
    <w:unhideWhenUsed/>
    <w:qFormat/>
    <w:rsid w:val="00F413D5"/>
    <w:pPr>
      <w:keepLines/>
      <w:spacing w:before="480" w:after="0" w:line="276" w:lineRule="auto"/>
      <w:outlineLvl w:val="9"/>
    </w:pPr>
    <w:rPr>
      <w:color w:val="365F91"/>
      <w:kern w:val="0"/>
      <w:sz w:val="28"/>
      <w:szCs w:val="28"/>
      <w:lang w:val="en-US" w:eastAsia="ja-JP"/>
    </w:rPr>
  </w:style>
  <w:style w:type="paragraph" w:styleId="Caption">
    <w:name w:val="caption"/>
    <w:basedOn w:val="Normal"/>
    <w:next w:val="Normal"/>
    <w:uiPriority w:val="35"/>
    <w:unhideWhenUsed/>
    <w:qFormat/>
    <w:rsid w:val="006F340C"/>
    <w:rPr>
      <w:b/>
      <w:bCs/>
      <w:sz w:val="20"/>
      <w:szCs w:val="20"/>
    </w:rPr>
  </w:style>
  <w:style w:type="paragraph" w:styleId="TableofFigures">
    <w:name w:val="table of figures"/>
    <w:basedOn w:val="Normal"/>
    <w:next w:val="Normal"/>
    <w:uiPriority w:val="99"/>
    <w:rsid w:val="006F340C"/>
  </w:style>
  <w:style w:type="paragraph" w:styleId="NormalWeb">
    <w:name w:val="Normal (Web)"/>
    <w:basedOn w:val="Normal"/>
    <w:uiPriority w:val="99"/>
    <w:unhideWhenUsed/>
    <w:rsid w:val="00D14BF9"/>
    <w:pPr>
      <w:spacing w:before="100" w:beforeAutospacing="1" w:after="100" w:afterAutospacing="1"/>
    </w:pPr>
  </w:style>
  <w:style w:type="paragraph" w:customStyle="1" w:styleId="Heading31">
    <w:name w:val="Heading 31"/>
    <w:basedOn w:val="Heading3"/>
    <w:link w:val="heading3Char0"/>
    <w:qFormat/>
    <w:rsid w:val="00800AEF"/>
    <w:pPr>
      <w:ind w:left="720"/>
    </w:pPr>
    <w:rPr>
      <w:rFonts w:ascii="Arial" w:hAnsi="Arial"/>
      <w:b w:val="0"/>
      <w:color w:val="1F4E79"/>
      <w:sz w:val="22"/>
    </w:rPr>
  </w:style>
  <w:style w:type="character" w:customStyle="1" w:styleId="BalloonTextChar">
    <w:name w:val="Balloon Text Char"/>
    <w:link w:val="BalloonText"/>
    <w:uiPriority w:val="99"/>
    <w:semiHidden/>
    <w:rsid w:val="00F94A20"/>
    <w:rPr>
      <w:rFonts w:ascii="Tahoma" w:hAnsi="Tahoma" w:cs="Tahoma"/>
      <w:sz w:val="16"/>
      <w:szCs w:val="16"/>
    </w:rPr>
  </w:style>
  <w:style w:type="character" w:customStyle="1" w:styleId="heading3Char0">
    <w:name w:val="heading 3 Char"/>
    <w:link w:val="Heading31"/>
    <w:rsid w:val="00800AEF"/>
    <w:rPr>
      <w:rFonts w:ascii="Arial" w:hAnsi="Arial"/>
      <w:bCs/>
      <w:color w:val="1F4E79"/>
      <w:sz w:val="22"/>
      <w:szCs w:val="26"/>
    </w:rPr>
  </w:style>
  <w:style w:type="paragraph" w:customStyle="1" w:styleId="Heading311">
    <w:name w:val="Heading 311"/>
    <w:basedOn w:val="Heading3"/>
    <w:qFormat/>
    <w:rsid w:val="00F94A20"/>
    <w:rPr>
      <w:rFonts w:ascii="Arial" w:hAnsi="Arial"/>
      <w:b w:val="0"/>
      <w:color w:val="1F4E79"/>
      <w:sz w:val="22"/>
    </w:rPr>
  </w:style>
  <w:style w:type="paragraph" w:styleId="Bibliography">
    <w:name w:val="Bibliography"/>
    <w:basedOn w:val="Normal"/>
    <w:next w:val="Normal"/>
    <w:uiPriority w:val="37"/>
    <w:unhideWhenUsed/>
    <w:rsid w:val="00C46E12"/>
    <w:pPr>
      <w:tabs>
        <w:tab w:val="left" w:pos="624"/>
      </w:tabs>
      <w:ind w:left="624" w:hanging="624"/>
    </w:pPr>
  </w:style>
  <w:style w:type="character" w:styleId="CommentReference">
    <w:name w:val="annotation reference"/>
    <w:rsid w:val="002C155D"/>
    <w:rPr>
      <w:sz w:val="16"/>
      <w:szCs w:val="16"/>
    </w:rPr>
  </w:style>
  <w:style w:type="paragraph" w:styleId="CommentText">
    <w:name w:val="annotation text"/>
    <w:basedOn w:val="Normal"/>
    <w:link w:val="CommentTextChar"/>
    <w:rsid w:val="002C155D"/>
    <w:rPr>
      <w:sz w:val="20"/>
      <w:szCs w:val="20"/>
    </w:rPr>
  </w:style>
  <w:style w:type="character" w:customStyle="1" w:styleId="CommentTextChar">
    <w:name w:val="Comment Text Char"/>
    <w:link w:val="CommentText"/>
    <w:rsid w:val="002C155D"/>
    <w:rPr>
      <w:rFonts w:ascii="Arial" w:hAnsi="Arial"/>
    </w:rPr>
  </w:style>
  <w:style w:type="paragraph" w:styleId="CommentSubject">
    <w:name w:val="annotation subject"/>
    <w:basedOn w:val="CommentText"/>
    <w:next w:val="CommentText"/>
    <w:link w:val="CommentSubjectChar"/>
    <w:rsid w:val="002C155D"/>
    <w:rPr>
      <w:b/>
      <w:bCs/>
    </w:rPr>
  </w:style>
  <w:style w:type="character" w:customStyle="1" w:styleId="CommentSubjectChar">
    <w:name w:val="Comment Subject Char"/>
    <w:link w:val="CommentSubject"/>
    <w:rsid w:val="002C155D"/>
    <w:rPr>
      <w:rFonts w:ascii="Arial" w:hAnsi="Arial"/>
      <w:b/>
      <w:bCs/>
    </w:rPr>
  </w:style>
  <w:style w:type="character" w:customStyle="1" w:styleId="gmaildefault">
    <w:name w:val="gmail_default"/>
    <w:rsid w:val="00185360"/>
  </w:style>
  <w:style w:type="character" w:customStyle="1" w:styleId="HeaderChar">
    <w:name w:val="Header Char"/>
    <w:basedOn w:val="DefaultParagraphFont"/>
    <w:link w:val="Header"/>
    <w:uiPriority w:val="99"/>
    <w:rsid w:val="00380DF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7909">
      <w:bodyDiv w:val="1"/>
      <w:marLeft w:val="0"/>
      <w:marRight w:val="0"/>
      <w:marTop w:val="0"/>
      <w:marBottom w:val="0"/>
      <w:divBdr>
        <w:top w:val="none" w:sz="0" w:space="0" w:color="auto"/>
        <w:left w:val="none" w:sz="0" w:space="0" w:color="auto"/>
        <w:bottom w:val="none" w:sz="0" w:space="0" w:color="auto"/>
        <w:right w:val="none" w:sz="0" w:space="0" w:color="auto"/>
      </w:divBdr>
      <w:divsChild>
        <w:div w:id="1888834316">
          <w:marLeft w:val="0"/>
          <w:marRight w:val="0"/>
          <w:marTop w:val="0"/>
          <w:marBottom w:val="0"/>
          <w:divBdr>
            <w:top w:val="none" w:sz="0" w:space="0" w:color="auto"/>
            <w:left w:val="none" w:sz="0" w:space="0" w:color="auto"/>
            <w:bottom w:val="none" w:sz="0" w:space="0" w:color="auto"/>
            <w:right w:val="none" w:sz="0" w:space="0" w:color="auto"/>
          </w:divBdr>
          <w:divsChild>
            <w:div w:id="118766142">
              <w:marLeft w:val="0"/>
              <w:marRight w:val="0"/>
              <w:marTop w:val="0"/>
              <w:marBottom w:val="0"/>
              <w:divBdr>
                <w:top w:val="none" w:sz="0" w:space="0" w:color="auto"/>
                <w:left w:val="none" w:sz="0" w:space="0" w:color="auto"/>
                <w:bottom w:val="none" w:sz="0" w:space="0" w:color="auto"/>
                <w:right w:val="none" w:sz="0" w:space="0" w:color="auto"/>
              </w:divBdr>
            </w:div>
            <w:div w:id="143550179">
              <w:marLeft w:val="0"/>
              <w:marRight w:val="0"/>
              <w:marTop w:val="0"/>
              <w:marBottom w:val="0"/>
              <w:divBdr>
                <w:top w:val="none" w:sz="0" w:space="0" w:color="auto"/>
                <w:left w:val="none" w:sz="0" w:space="0" w:color="auto"/>
                <w:bottom w:val="none" w:sz="0" w:space="0" w:color="auto"/>
                <w:right w:val="none" w:sz="0" w:space="0" w:color="auto"/>
              </w:divBdr>
            </w:div>
            <w:div w:id="916674035">
              <w:marLeft w:val="0"/>
              <w:marRight w:val="0"/>
              <w:marTop w:val="0"/>
              <w:marBottom w:val="0"/>
              <w:divBdr>
                <w:top w:val="none" w:sz="0" w:space="0" w:color="auto"/>
                <w:left w:val="none" w:sz="0" w:space="0" w:color="auto"/>
                <w:bottom w:val="none" w:sz="0" w:space="0" w:color="auto"/>
                <w:right w:val="none" w:sz="0" w:space="0" w:color="auto"/>
              </w:divBdr>
            </w:div>
            <w:div w:id="967204710">
              <w:marLeft w:val="0"/>
              <w:marRight w:val="0"/>
              <w:marTop w:val="0"/>
              <w:marBottom w:val="0"/>
              <w:divBdr>
                <w:top w:val="none" w:sz="0" w:space="0" w:color="auto"/>
                <w:left w:val="none" w:sz="0" w:space="0" w:color="auto"/>
                <w:bottom w:val="none" w:sz="0" w:space="0" w:color="auto"/>
                <w:right w:val="none" w:sz="0" w:space="0" w:color="auto"/>
              </w:divBdr>
            </w:div>
            <w:div w:id="1136725181">
              <w:marLeft w:val="0"/>
              <w:marRight w:val="0"/>
              <w:marTop w:val="0"/>
              <w:marBottom w:val="0"/>
              <w:divBdr>
                <w:top w:val="none" w:sz="0" w:space="0" w:color="auto"/>
                <w:left w:val="none" w:sz="0" w:space="0" w:color="auto"/>
                <w:bottom w:val="none" w:sz="0" w:space="0" w:color="auto"/>
                <w:right w:val="none" w:sz="0" w:space="0" w:color="auto"/>
              </w:divBdr>
            </w:div>
            <w:div w:id="1269508468">
              <w:marLeft w:val="0"/>
              <w:marRight w:val="0"/>
              <w:marTop w:val="0"/>
              <w:marBottom w:val="0"/>
              <w:divBdr>
                <w:top w:val="none" w:sz="0" w:space="0" w:color="auto"/>
                <w:left w:val="none" w:sz="0" w:space="0" w:color="auto"/>
                <w:bottom w:val="none" w:sz="0" w:space="0" w:color="auto"/>
                <w:right w:val="none" w:sz="0" w:space="0" w:color="auto"/>
              </w:divBdr>
            </w:div>
            <w:div w:id="1385956101">
              <w:marLeft w:val="0"/>
              <w:marRight w:val="0"/>
              <w:marTop w:val="0"/>
              <w:marBottom w:val="0"/>
              <w:divBdr>
                <w:top w:val="none" w:sz="0" w:space="0" w:color="auto"/>
                <w:left w:val="none" w:sz="0" w:space="0" w:color="auto"/>
                <w:bottom w:val="none" w:sz="0" w:space="0" w:color="auto"/>
                <w:right w:val="none" w:sz="0" w:space="0" w:color="auto"/>
              </w:divBdr>
            </w:div>
            <w:div w:id="1693412847">
              <w:marLeft w:val="0"/>
              <w:marRight w:val="0"/>
              <w:marTop w:val="0"/>
              <w:marBottom w:val="0"/>
              <w:divBdr>
                <w:top w:val="none" w:sz="0" w:space="0" w:color="auto"/>
                <w:left w:val="none" w:sz="0" w:space="0" w:color="auto"/>
                <w:bottom w:val="none" w:sz="0" w:space="0" w:color="auto"/>
                <w:right w:val="none" w:sz="0" w:space="0" w:color="auto"/>
              </w:divBdr>
            </w:div>
            <w:div w:id="1735470062">
              <w:marLeft w:val="0"/>
              <w:marRight w:val="0"/>
              <w:marTop w:val="0"/>
              <w:marBottom w:val="0"/>
              <w:divBdr>
                <w:top w:val="none" w:sz="0" w:space="0" w:color="auto"/>
                <w:left w:val="none" w:sz="0" w:space="0" w:color="auto"/>
                <w:bottom w:val="none" w:sz="0" w:space="0" w:color="auto"/>
                <w:right w:val="none" w:sz="0" w:space="0" w:color="auto"/>
              </w:divBdr>
            </w:div>
            <w:div w:id="1811243392">
              <w:marLeft w:val="0"/>
              <w:marRight w:val="0"/>
              <w:marTop w:val="0"/>
              <w:marBottom w:val="0"/>
              <w:divBdr>
                <w:top w:val="none" w:sz="0" w:space="0" w:color="auto"/>
                <w:left w:val="none" w:sz="0" w:space="0" w:color="auto"/>
                <w:bottom w:val="none" w:sz="0" w:space="0" w:color="auto"/>
                <w:right w:val="none" w:sz="0" w:space="0" w:color="auto"/>
              </w:divBdr>
            </w:div>
            <w:div w:id="1929607234">
              <w:marLeft w:val="0"/>
              <w:marRight w:val="0"/>
              <w:marTop w:val="0"/>
              <w:marBottom w:val="0"/>
              <w:divBdr>
                <w:top w:val="none" w:sz="0" w:space="0" w:color="auto"/>
                <w:left w:val="none" w:sz="0" w:space="0" w:color="auto"/>
                <w:bottom w:val="none" w:sz="0" w:space="0" w:color="auto"/>
                <w:right w:val="none" w:sz="0" w:space="0" w:color="auto"/>
              </w:divBdr>
            </w:div>
            <w:div w:id="19494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3040">
      <w:bodyDiv w:val="1"/>
      <w:marLeft w:val="0"/>
      <w:marRight w:val="0"/>
      <w:marTop w:val="0"/>
      <w:marBottom w:val="0"/>
      <w:divBdr>
        <w:top w:val="none" w:sz="0" w:space="0" w:color="auto"/>
        <w:left w:val="none" w:sz="0" w:space="0" w:color="auto"/>
        <w:bottom w:val="none" w:sz="0" w:space="0" w:color="auto"/>
        <w:right w:val="none" w:sz="0" w:space="0" w:color="auto"/>
      </w:divBdr>
    </w:div>
    <w:div w:id="894782508">
      <w:bodyDiv w:val="1"/>
      <w:marLeft w:val="0"/>
      <w:marRight w:val="0"/>
      <w:marTop w:val="0"/>
      <w:marBottom w:val="0"/>
      <w:divBdr>
        <w:top w:val="none" w:sz="0" w:space="0" w:color="auto"/>
        <w:left w:val="none" w:sz="0" w:space="0" w:color="auto"/>
        <w:bottom w:val="none" w:sz="0" w:space="0" w:color="auto"/>
        <w:right w:val="none" w:sz="0" w:space="0" w:color="auto"/>
      </w:divBdr>
      <w:divsChild>
        <w:div w:id="561987395">
          <w:marLeft w:val="547"/>
          <w:marRight w:val="0"/>
          <w:marTop w:val="0"/>
          <w:marBottom w:val="0"/>
          <w:divBdr>
            <w:top w:val="none" w:sz="0" w:space="0" w:color="auto"/>
            <w:left w:val="none" w:sz="0" w:space="0" w:color="auto"/>
            <w:bottom w:val="none" w:sz="0" w:space="0" w:color="auto"/>
            <w:right w:val="none" w:sz="0" w:space="0" w:color="auto"/>
          </w:divBdr>
        </w:div>
        <w:div w:id="721707744">
          <w:marLeft w:val="547"/>
          <w:marRight w:val="0"/>
          <w:marTop w:val="0"/>
          <w:marBottom w:val="0"/>
          <w:divBdr>
            <w:top w:val="none" w:sz="0" w:space="0" w:color="auto"/>
            <w:left w:val="none" w:sz="0" w:space="0" w:color="auto"/>
            <w:bottom w:val="none" w:sz="0" w:space="0" w:color="auto"/>
            <w:right w:val="none" w:sz="0" w:space="0" w:color="auto"/>
          </w:divBdr>
        </w:div>
        <w:div w:id="1113019613">
          <w:marLeft w:val="1166"/>
          <w:marRight w:val="0"/>
          <w:marTop w:val="0"/>
          <w:marBottom w:val="0"/>
          <w:divBdr>
            <w:top w:val="none" w:sz="0" w:space="0" w:color="auto"/>
            <w:left w:val="none" w:sz="0" w:space="0" w:color="auto"/>
            <w:bottom w:val="none" w:sz="0" w:space="0" w:color="auto"/>
            <w:right w:val="none" w:sz="0" w:space="0" w:color="auto"/>
          </w:divBdr>
        </w:div>
        <w:div w:id="1241450779">
          <w:marLeft w:val="1166"/>
          <w:marRight w:val="0"/>
          <w:marTop w:val="0"/>
          <w:marBottom w:val="0"/>
          <w:divBdr>
            <w:top w:val="none" w:sz="0" w:space="0" w:color="auto"/>
            <w:left w:val="none" w:sz="0" w:space="0" w:color="auto"/>
            <w:bottom w:val="none" w:sz="0" w:space="0" w:color="auto"/>
            <w:right w:val="none" w:sz="0" w:space="0" w:color="auto"/>
          </w:divBdr>
        </w:div>
      </w:divsChild>
    </w:div>
    <w:div w:id="1027029457">
      <w:bodyDiv w:val="1"/>
      <w:marLeft w:val="0"/>
      <w:marRight w:val="0"/>
      <w:marTop w:val="0"/>
      <w:marBottom w:val="0"/>
      <w:divBdr>
        <w:top w:val="none" w:sz="0" w:space="0" w:color="auto"/>
        <w:left w:val="none" w:sz="0" w:space="0" w:color="auto"/>
        <w:bottom w:val="none" w:sz="0" w:space="0" w:color="auto"/>
        <w:right w:val="none" w:sz="0" w:space="0" w:color="auto"/>
      </w:divBdr>
    </w:div>
    <w:div w:id="1569995752">
      <w:bodyDiv w:val="1"/>
      <w:marLeft w:val="0"/>
      <w:marRight w:val="0"/>
      <w:marTop w:val="0"/>
      <w:marBottom w:val="0"/>
      <w:divBdr>
        <w:top w:val="none" w:sz="0" w:space="0" w:color="auto"/>
        <w:left w:val="none" w:sz="0" w:space="0" w:color="auto"/>
        <w:bottom w:val="none" w:sz="0" w:space="0" w:color="auto"/>
        <w:right w:val="none" w:sz="0" w:space="0" w:color="auto"/>
      </w:divBdr>
      <w:divsChild>
        <w:div w:id="1477338004">
          <w:marLeft w:val="547"/>
          <w:marRight w:val="0"/>
          <w:marTop w:val="0"/>
          <w:marBottom w:val="0"/>
          <w:divBdr>
            <w:top w:val="none" w:sz="0" w:space="0" w:color="auto"/>
            <w:left w:val="none" w:sz="0" w:space="0" w:color="auto"/>
            <w:bottom w:val="none" w:sz="0" w:space="0" w:color="auto"/>
            <w:right w:val="none" w:sz="0" w:space="0" w:color="auto"/>
          </w:divBdr>
        </w:div>
      </w:divsChild>
    </w:div>
    <w:div w:id="1892695716">
      <w:bodyDiv w:val="1"/>
      <w:marLeft w:val="0"/>
      <w:marRight w:val="0"/>
      <w:marTop w:val="0"/>
      <w:marBottom w:val="0"/>
      <w:divBdr>
        <w:top w:val="none" w:sz="0" w:space="0" w:color="auto"/>
        <w:left w:val="none" w:sz="0" w:space="0" w:color="auto"/>
        <w:bottom w:val="none" w:sz="0" w:space="0" w:color="auto"/>
        <w:right w:val="none" w:sz="0" w:space="0" w:color="auto"/>
      </w:divBdr>
    </w:div>
    <w:div w:id="19778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m785@uowmail.edu.au"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hschutze@uow.edu.au"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miller@uow.edu.au" TargetMode="External"/><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QuickStyle" Target="diagrams/quickStyle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drew.miller@health.nsw.gov.au" TargetMode="External"/><Relationship Id="rId23" Type="http://schemas.openxmlformats.org/officeDocument/2006/relationships/diagramLayout" Target="diagrams/layout2.xml"/><Relationship Id="rId28" Type="http://schemas.openxmlformats.org/officeDocument/2006/relationships/diagramLayout" Target="diagrams/layout3.xml"/><Relationship Id="rId10" Type="http://schemas.openxmlformats.org/officeDocument/2006/relationships/image" Target="media/image3.png"/><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iffany.sandell@health.nsw.gov.au" TargetMode="Externa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BEBC68-4C02-4131-B3F9-C66B921B70FC}" type="doc">
      <dgm:prSet loTypeId="urn:microsoft.com/office/officeart/2005/8/layout/hProcess9" loCatId="process" qsTypeId="urn:microsoft.com/office/officeart/2005/8/quickstyle/simple1" qsCatId="simple" csTypeId="urn:microsoft.com/office/officeart/2005/8/colors/accent1_2" csCatId="accent1" phldr="1"/>
      <dgm:spPr/>
    </dgm:pt>
    <dgm:pt modelId="{1289BEEE-5C6F-42B0-8ACC-1D9A406F4194}">
      <dgm:prSet phldrT="[Text]"/>
      <dgm:spPr/>
      <dgm:t>
        <a:bodyPr/>
        <a:lstStyle/>
        <a:p>
          <a:r>
            <a:rPr lang="en-AU" dirty="0" smtClean="0">
              <a:solidFill>
                <a:schemeClr val="tx1"/>
              </a:solidFill>
            </a:rPr>
            <a:t>Baseline interview</a:t>
          </a:r>
          <a:endParaRPr lang="en-AU" dirty="0">
            <a:solidFill>
              <a:schemeClr val="tx1"/>
            </a:solidFill>
          </a:endParaRPr>
        </a:p>
      </dgm:t>
    </dgm:pt>
    <dgm:pt modelId="{5529924F-221B-4DB4-9C37-4994EEC2C859}" type="parTrans" cxnId="{E580511A-63A3-4AF6-ACB3-983379F0A601}">
      <dgm:prSet/>
      <dgm:spPr/>
      <dgm:t>
        <a:bodyPr/>
        <a:lstStyle/>
        <a:p>
          <a:endParaRPr lang="en-AU"/>
        </a:p>
      </dgm:t>
    </dgm:pt>
    <dgm:pt modelId="{A3B77C98-E878-4B57-A323-65F69E88A2AD}" type="sibTrans" cxnId="{E580511A-63A3-4AF6-ACB3-983379F0A601}">
      <dgm:prSet/>
      <dgm:spPr/>
      <dgm:t>
        <a:bodyPr/>
        <a:lstStyle/>
        <a:p>
          <a:endParaRPr lang="en-AU"/>
        </a:p>
      </dgm:t>
    </dgm:pt>
    <dgm:pt modelId="{E6D99466-680D-4F6F-B25D-CE027F6E2B8A}">
      <dgm:prSet phldrT="[Text]"/>
      <dgm:spPr/>
      <dgm:t>
        <a:bodyPr/>
        <a:lstStyle/>
        <a:p>
          <a:r>
            <a:rPr lang="en-AU" dirty="0" smtClean="0">
              <a:solidFill>
                <a:schemeClr val="tx1"/>
              </a:solidFill>
            </a:rPr>
            <a:t>Identify eligible patients</a:t>
          </a:r>
          <a:endParaRPr lang="en-AU" dirty="0">
            <a:solidFill>
              <a:schemeClr val="tx1"/>
            </a:solidFill>
          </a:endParaRPr>
        </a:p>
      </dgm:t>
    </dgm:pt>
    <dgm:pt modelId="{69202838-C23B-47BB-B5FA-4C8ABFBE6D17}" type="parTrans" cxnId="{2EC4D826-48EA-48D3-8A6C-DB03176F325F}">
      <dgm:prSet/>
      <dgm:spPr/>
      <dgm:t>
        <a:bodyPr/>
        <a:lstStyle/>
        <a:p>
          <a:endParaRPr lang="en-AU"/>
        </a:p>
      </dgm:t>
    </dgm:pt>
    <dgm:pt modelId="{494706C4-9853-45BB-8143-2B810F684AD3}" type="sibTrans" cxnId="{2EC4D826-48EA-48D3-8A6C-DB03176F325F}">
      <dgm:prSet/>
      <dgm:spPr/>
      <dgm:t>
        <a:bodyPr/>
        <a:lstStyle/>
        <a:p>
          <a:endParaRPr lang="en-AU"/>
        </a:p>
      </dgm:t>
    </dgm:pt>
    <dgm:pt modelId="{7413DA5D-8806-42B6-9B33-C2C4E5F12017}">
      <dgm:prSet phldrT="[Text]"/>
      <dgm:spPr/>
      <dgm:t>
        <a:bodyPr/>
        <a:lstStyle/>
        <a:p>
          <a:r>
            <a:rPr lang="en-AU" dirty="0" smtClean="0">
              <a:solidFill>
                <a:schemeClr val="tx1"/>
              </a:solidFill>
            </a:rPr>
            <a:t>Follow-up interview</a:t>
          </a:r>
          <a:endParaRPr lang="en-AU" dirty="0">
            <a:solidFill>
              <a:schemeClr val="tx1"/>
            </a:solidFill>
          </a:endParaRPr>
        </a:p>
      </dgm:t>
    </dgm:pt>
    <dgm:pt modelId="{A391CDCD-52A4-47FD-A62F-989ED9F82337}" type="parTrans" cxnId="{FA331BF1-3B6C-4876-B7F2-D6C2D58FE913}">
      <dgm:prSet/>
      <dgm:spPr/>
      <dgm:t>
        <a:bodyPr/>
        <a:lstStyle/>
        <a:p>
          <a:endParaRPr lang="en-AU"/>
        </a:p>
      </dgm:t>
    </dgm:pt>
    <dgm:pt modelId="{252D42A7-4058-4FF9-A95C-AEA20543C295}" type="sibTrans" cxnId="{FA331BF1-3B6C-4876-B7F2-D6C2D58FE913}">
      <dgm:prSet/>
      <dgm:spPr/>
      <dgm:t>
        <a:bodyPr/>
        <a:lstStyle/>
        <a:p>
          <a:endParaRPr lang="en-AU"/>
        </a:p>
      </dgm:t>
    </dgm:pt>
    <dgm:pt modelId="{ECD8402A-2BD3-4EB1-A412-9D7B0A6D1D7C}">
      <dgm:prSet phldrT="[Text]"/>
      <dgm:spPr/>
      <dgm:t>
        <a:bodyPr/>
        <a:lstStyle/>
        <a:p>
          <a:r>
            <a:rPr lang="en-AU" dirty="0" smtClean="0">
              <a:solidFill>
                <a:schemeClr val="tx1"/>
              </a:solidFill>
            </a:rPr>
            <a:t>Conduct  follow-up assessment</a:t>
          </a:r>
          <a:endParaRPr lang="en-AU" dirty="0">
            <a:solidFill>
              <a:schemeClr val="tx1"/>
            </a:solidFill>
          </a:endParaRPr>
        </a:p>
      </dgm:t>
    </dgm:pt>
    <dgm:pt modelId="{123AA9DE-9754-4235-8141-A4417BA8779C}" type="parTrans" cxnId="{3C8AEFA5-801A-46B4-AA1A-AC300AA103C5}">
      <dgm:prSet/>
      <dgm:spPr/>
      <dgm:t>
        <a:bodyPr/>
        <a:lstStyle/>
        <a:p>
          <a:endParaRPr lang="en-AU"/>
        </a:p>
      </dgm:t>
    </dgm:pt>
    <dgm:pt modelId="{59EE58E9-0B56-427B-A16E-50878E1CD3F1}" type="sibTrans" cxnId="{3C8AEFA5-801A-46B4-AA1A-AC300AA103C5}">
      <dgm:prSet/>
      <dgm:spPr/>
      <dgm:t>
        <a:bodyPr/>
        <a:lstStyle/>
        <a:p>
          <a:endParaRPr lang="en-AU"/>
        </a:p>
      </dgm:t>
    </dgm:pt>
    <dgm:pt modelId="{DD4D9428-BD8C-4CA4-BC2B-F007FEEFC912}">
      <dgm:prSet phldrT="[Text]"/>
      <dgm:spPr/>
      <dgm:t>
        <a:bodyPr/>
        <a:lstStyle/>
        <a:p>
          <a:r>
            <a:rPr lang="en-AU" dirty="0" smtClean="0">
              <a:solidFill>
                <a:schemeClr val="tx1"/>
              </a:solidFill>
            </a:rPr>
            <a:t>Review alerts of shared-care follow-up</a:t>
          </a:r>
          <a:endParaRPr lang="en-AU" dirty="0">
            <a:solidFill>
              <a:schemeClr val="tx1"/>
            </a:solidFill>
          </a:endParaRPr>
        </a:p>
      </dgm:t>
    </dgm:pt>
    <dgm:pt modelId="{9620570D-280E-46E7-89F0-D0322D0A28F4}" type="parTrans" cxnId="{0ABC529E-A33D-48C0-B66A-54AE9FD8B11E}">
      <dgm:prSet/>
      <dgm:spPr/>
      <dgm:t>
        <a:bodyPr/>
        <a:lstStyle/>
        <a:p>
          <a:endParaRPr lang="en-AU"/>
        </a:p>
      </dgm:t>
    </dgm:pt>
    <dgm:pt modelId="{F34FCC2B-04ED-4A79-8E26-5FA3AC0181BC}" type="sibTrans" cxnId="{0ABC529E-A33D-48C0-B66A-54AE9FD8B11E}">
      <dgm:prSet/>
      <dgm:spPr/>
      <dgm:t>
        <a:bodyPr/>
        <a:lstStyle/>
        <a:p>
          <a:endParaRPr lang="en-AU"/>
        </a:p>
      </dgm:t>
    </dgm:pt>
    <dgm:pt modelId="{0A242E32-0F4B-40EC-AF78-4BA2ACD39C3A}" type="pres">
      <dgm:prSet presAssocID="{8DBEBC68-4C02-4131-B3F9-C66B921B70FC}" presName="CompostProcess" presStyleCnt="0">
        <dgm:presLayoutVars>
          <dgm:dir/>
          <dgm:resizeHandles val="exact"/>
        </dgm:presLayoutVars>
      </dgm:prSet>
      <dgm:spPr/>
    </dgm:pt>
    <dgm:pt modelId="{55AE6F21-5296-463C-B588-92305F33092D}" type="pres">
      <dgm:prSet presAssocID="{8DBEBC68-4C02-4131-B3F9-C66B921B70FC}" presName="arrow" presStyleLbl="bgShp" presStyleIdx="0" presStyleCnt="1"/>
      <dgm:spPr/>
    </dgm:pt>
    <dgm:pt modelId="{6C795C11-3001-4262-9FFF-D3E0C8498C57}" type="pres">
      <dgm:prSet presAssocID="{8DBEBC68-4C02-4131-B3F9-C66B921B70FC}" presName="linearProcess" presStyleCnt="0"/>
      <dgm:spPr/>
    </dgm:pt>
    <dgm:pt modelId="{FCD47C12-DAE4-4A97-81C2-D11C6BF449EE}" type="pres">
      <dgm:prSet presAssocID="{1289BEEE-5C6F-42B0-8ACC-1D9A406F4194}" presName="textNode" presStyleLbl="node1" presStyleIdx="0" presStyleCnt="5" custLinFactNeighborX="-4573" custLinFactNeighborY="1559">
        <dgm:presLayoutVars>
          <dgm:bulletEnabled val="1"/>
        </dgm:presLayoutVars>
      </dgm:prSet>
      <dgm:spPr/>
      <dgm:t>
        <a:bodyPr/>
        <a:lstStyle/>
        <a:p>
          <a:endParaRPr lang="en-AU"/>
        </a:p>
      </dgm:t>
    </dgm:pt>
    <dgm:pt modelId="{4BA43666-8679-4F45-89A0-DC57067575C0}" type="pres">
      <dgm:prSet presAssocID="{A3B77C98-E878-4B57-A323-65F69E88A2AD}" presName="sibTrans" presStyleCnt="0"/>
      <dgm:spPr/>
    </dgm:pt>
    <dgm:pt modelId="{2A27395A-0207-485D-8E4F-594D95EDF468}" type="pres">
      <dgm:prSet presAssocID="{E6D99466-680D-4F6F-B25D-CE027F6E2B8A}" presName="textNode" presStyleLbl="node1" presStyleIdx="1" presStyleCnt="5">
        <dgm:presLayoutVars>
          <dgm:bulletEnabled val="1"/>
        </dgm:presLayoutVars>
      </dgm:prSet>
      <dgm:spPr/>
      <dgm:t>
        <a:bodyPr/>
        <a:lstStyle/>
        <a:p>
          <a:endParaRPr lang="en-AU"/>
        </a:p>
      </dgm:t>
    </dgm:pt>
    <dgm:pt modelId="{8A5D7E72-99CA-4577-A8F7-8322D0051247}" type="pres">
      <dgm:prSet presAssocID="{494706C4-9853-45BB-8143-2B810F684AD3}" presName="sibTrans" presStyleCnt="0"/>
      <dgm:spPr/>
    </dgm:pt>
    <dgm:pt modelId="{10A710E6-B2C2-4E23-9801-C84AED9FF7BB}" type="pres">
      <dgm:prSet presAssocID="{ECD8402A-2BD3-4EB1-A412-9D7B0A6D1D7C}" presName="textNode" presStyleLbl="node1" presStyleIdx="2" presStyleCnt="5">
        <dgm:presLayoutVars>
          <dgm:bulletEnabled val="1"/>
        </dgm:presLayoutVars>
      </dgm:prSet>
      <dgm:spPr/>
      <dgm:t>
        <a:bodyPr/>
        <a:lstStyle/>
        <a:p>
          <a:endParaRPr lang="en-AU"/>
        </a:p>
      </dgm:t>
    </dgm:pt>
    <dgm:pt modelId="{1E816A62-174F-46E7-988F-C0CD0E6ECB5C}" type="pres">
      <dgm:prSet presAssocID="{59EE58E9-0B56-427B-A16E-50878E1CD3F1}" presName="sibTrans" presStyleCnt="0"/>
      <dgm:spPr/>
    </dgm:pt>
    <dgm:pt modelId="{9B05D519-939C-4946-83B7-D1EA228BA90B}" type="pres">
      <dgm:prSet presAssocID="{DD4D9428-BD8C-4CA4-BC2B-F007FEEFC912}" presName="textNode" presStyleLbl="node1" presStyleIdx="3" presStyleCnt="5">
        <dgm:presLayoutVars>
          <dgm:bulletEnabled val="1"/>
        </dgm:presLayoutVars>
      </dgm:prSet>
      <dgm:spPr/>
      <dgm:t>
        <a:bodyPr/>
        <a:lstStyle/>
        <a:p>
          <a:endParaRPr lang="en-AU"/>
        </a:p>
      </dgm:t>
    </dgm:pt>
    <dgm:pt modelId="{79CDA61B-E2E1-42C9-B8B6-61835332AF11}" type="pres">
      <dgm:prSet presAssocID="{F34FCC2B-04ED-4A79-8E26-5FA3AC0181BC}" presName="sibTrans" presStyleCnt="0"/>
      <dgm:spPr/>
    </dgm:pt>
    <dgm:pt modelId="{EBC0C836-32A5-4202-9623-BF6FA2693B90}" type="pres">
      <dgm:prSet presAssocID="{7413DA5D-8806-42B6-9B33-C2C4E5F12017}" presName="textNode" presStyleLbl="node1" presStyleIdx="4" presStyleCnt="5">
        <dgm:presLayoutVars>
          <dgm:bulletEnabled val="1"/>
        </dgm:presLayoutVars>
      </dgm:prSet>
      <dgm:spPr/>
      <dgm:t>
        <a:bodyPr/>
        <a:lstStyle/>
        <a:p>
          <a:endParaRPr lang="en-AU"/>
        </a:p>
      </dgm:t>
    </dgm:pt>
  </dgm:ptLst>
  <dgm:cxnLst>
    <dgm:cxn modelId="{F9C738ED-EE39-416F-9590-50AC86E252FB}" type="presOf" srcId="{E6D99466-680D-4F6F-B25D-CE027F6E2B8A}" destId="{2A27395A-0207-485D-8E4F-594D95EDF468}" srcOrd="0" destOrd="0" presId="urn:microsoft.com/office/officeart/2005/8/layout/hProcess9"/>
    <dgm:cxn modelId="{E580511A-63A3-4AF6-ACB3-983379F0A601}" srcId="{8DBEBC68-4C02-4131-B3F9-C66B921B70FC}" destId="{1289BEEE-5C6F-42B0-8ACC-1D9A406F4194}" srcOrd="0" destOrd="0" parTransId="{5529924F-221B-4DB4-9C37-4994EEC2C859}" sibTransId="{A3B77C98-E878-4B57-A323-65F69E88A2AD}"/>
    <dgm:cxn modelId="{5F7E39A4-CFD8-44AC-988F-EEADAE9A6A03}" type="presOf" srcId="{ECD8402A-2BD3-4EB1-A412-9D7B0A6D1D7C}" destId="{10A710E6-B2C2-4E23-9801-C84AED9FF7BB}" srcOrd="0" destOrd="0" presId="urn:microsoft.com/office/officeart/2005/8/layout/hProcess9"/>
    <dgm:cxn modelId="{85C6F3D5-E756-492A-995D-4D8846E0E706}" type="presOf" srcId="{1289BEEE-5C6F-42B0-8ACC-1D9A406F4194}" destId="{FCD47C12-DAE4-4A97-81C2-D11C6BF449EE}" srcOrd="0" destOrd="0" presId="urn:microsoft.com/office/officeart/2005/8/layout/hProcess9"/>
    <dgm:cxn modelId="{3C8AEFA5-801A-46B4-AA1A-AC300AA103C5}" srcId="{8DBEBC68-4C02-4131-B3F9-C66B921B70FC}" destId="{ECD8402A-2BD3-4EB1-A412-9D7B0A6D1D7C}" srcOrd="2" destOrd="0" parTransId="{123AA9DE-9754-4235-8141-A4417BA8779C}" sibTransId="{59EE58E9-0B56-427B-A16E-50878E1CD3F1}"/>
    <dgm:cxn modelId="{0ABC529E-A33D-48C0-B66A-54AE9FD8B11E}" srcId="{8DBEBC68-4C02-4131-B3F9-C66B921B70FC}" destId="{DD4D9428-BD8C-4CA4-BC2B-F007FEEFC912}" srcOrd="3" destOrd="0" parTransId="{9620570D-280E-46E7-89F0-D0322D0A28F4}" sibTransId="{F34FCC2B-04ED-4A79-8E26-5FA3AC0181BC}"/>
    <dgm:cxn modelId="{2EC4D826-48EA-48D3-8A6C-DB03176F325F}" srcId="{8DBEBC68-4C02-4131-B3F9-C66B921B70FC}" destId="{E6D99466-680D-4F6F-B25D-CE027F6E2B8A}" srcOrd="1" destOrd="0" parTransId="{69202838-C23B-47BB-B5FA-4C8ABFBE6D17}" sibTransId="{494706C4-9853-45BB-8143-2B810F684AD3}"/>
    <dgm:cxn modelId="{FA331BF1-3B6C-4876-B7F2-D6C2D58FE913}" srcId="{8DBEBC68-4C02-4131-B3F9-C66B921B70FC}" destId="{7413DA5D-8806-42B6-9B33-C2C4E5F12017}" srcOrd="4" destOrd="0" parTransId="{A391CDCD-52A4-47FD-A62F-989ED9F82337}" sibTransId="{252D42A7-4058-4FF9-A95C-AEA20543C295}"/>
    <dgm:cxn modelId="{A69B9488-3487-405C-8E95-AF573CD86F5C}" type="presOf" srcId="{7413DA5D-8806-42B6-9B33-C2C4E5F12017}" destId="{EBC0C836-32A5-4202-9623-BF6FA2693B90}" srcOrd="0" destOrd="0" presId="urn:microsoft.com/office/officeart/2005/8/layout/hProcess9"/>
    <dgm:cxn modelId="{506F1B9D-C46E-460E-9B5F-D37E8FA02DF9}" type="presOf" srcId="{8DBEBC68-4C02-4131-B3F9-C66B921B70FC}" destId="{0A242E32-0F4B-40EC-AF78-4BA2ACD39C3A}" srcOrd="0" destOrd="0" presId="urn:microsoft.com/office/officeart/2005/8/layout/hProcess9"/>
    <dgm:cxn modelId="{A97C725A-E66E-4276-82C8-15A50264EE61}" type="presOf" srcId="{DD4D9428-BD8C-4CA4-BC2B-F007FEEFC912}" destId="{9B05D519-939C-4946-83B7-D1EA228BA90B}" srcOrd="0" destOrd="0" presId="urn:microsoft.com/office/officeart/2005/8/layout/hProcess9"/>
    <dgm:cxn modelId="{1B1EE621-DB8E-4DC8-A666-51108B52536F}" type="presParOf" srcId="{0A242E32-0F4B-40EC-AF78-4BA2ACD39C3A}" destId="{55AE6F21-5296-463C-B588-92305F33092D}" srcOrd="0" destOrd="0" presId="urn:microsoft.com/office/officeart/2005/8/layout/hProcess9"/>
    <dgm:cxn modelId="{8E584509-5AD9-49B5-A4F2-F7F084784B9A}" type="presParOf" srcId="{0A242E32-0F4B-40EC-AF78-4BA2ACD39C3A}" destId="{6C795C11-3001-4262-9FFF-D3E0C8498C57}" srcOrd="1" destOrd="0" presId="urn:microsoft.com/office/officeart/2005/8/layout/hProcess9"/>
    <dgm:cxn modelId="{020AD4EE-C14A-4EAE-ACF3-76B55C7F916D}" type="presParOf" srcId="{6C795C11-3001-4262-9FFF-D3E0C8498C57}" destId="{FCD47C12-DAE4-4A97-81C2-D11C6BF449EE}" srcOrd="0" destOrd="0" presId="urn:microsoft.com/office/officeart/2005/8/layout/hProcess9"/>
    <dgm:cxn modelId="{BD4A25C3-75BB-4756-AD94-6DD64CC63B71}" type="presParOf" srcId="{6C795C11-3001-4262-9FFF-D3E0C8498C57}" destId="{4BA43666-8679-4F45-89A0-DC57067575C0}" srcOrd="1" destOrd="0" presId="urn:microsoft.com/office/officeart/2005/8/layout/hProcess9"/>
    <dgm:cxn modelId="{881405B6-3EAF-4074-9ECC-7F79621BA634}" type="presParOf" srcId="{6C795C11-3001-4262-9FFF-D3E0C8498C57}" destId="{2A27395A-0207-485D-8E4F-594D95EDF468}" srcOrd="2" destOrd="0" presId="urn:microsoft.com/office/officeart/2005/8/layout/hProcess9"/>
    <dgm:cxn modelId="{FB689821-24DF-45DF-8925-EB7D49DBBEFF}" type="presParOf" srcId="{6C795C11-3001-4262-9FFF-D3E0C8498C57}" destId="{8A5D7E72-99CA-4577-A8F7-8322D0051247}" srcOrd="3" destOrd="0" presId="urn:microsoft.com/office/officeart/2005/8/layout/hProcess9"/>
    <dgm:cxn modelId="{86504942-E9D2-4093-B87A-A55817E0E83F}" type="presParOf" srcId="{6C795C11-3001-4262-9FFF-D3E0C8498C57}" destId="{10A710E6-B2C2-4E23-9801-C84AED9FF7BB}" srcOrd="4" destOrd="0" presId="urn:microsoft.com/office/officeart/2005/8/layout/hProcess9"/>
    <dgm:cxn modelId="{B665157A-99B2-4345-9B4C-884E5D2C28EB}" type="presParOf" srcId="{6C795C11-3001-4262-9FFF-D3E0C8498C57}" destId="{1E816A62-174F-46E7-988F-C0CD0E6ECB5C}" srcOrd="5" destOrd="0" presId="urn:microsoft.com/office/officeart/2005/8/layout/hProcess9"/>
    <dgm:cxn modelId="{1CE76CD1-AB36-4FCA-B237-7014A03F3D7B}" type="presParOf" srcId="{6C795C11-3001-4262-9FFF-D3E0C8498C57}" destId="{9B05D519-939C-4946-83B7-D1EA228BA90B}" srcOrd="6" destOrd="0" presId="urn:microsoft.com/office/officeart/2005/8/layout/hProcess9"/>
    <dgm:cxn modelId="{7F5C5AC9-4813-48DD-A87E-E19BE2330BFF}" type="presParOf" srcId="{6C795C11-3001-4262-9FFF-D3E0C8498C57}" destId="{79CDA61B-E2E1-42C9-B8B6-61835332AF11}" srcOrd="7" destOrd="0" presId="urn:microsoft.com/office/officeart/2005/8/layout/hProcess9"/>
    <dgm:cxn modelId="{78CAA3C4-5B02-451C-8F23-F2EEA5B45EB6}" type="presParOf" srcId="{6C795C11-3001-4262-9FFF-D3E0C8498C57}" destId="{EBC0C836-32A5-4202-9623-BF6FA2693B90}" srcOrd="8" destOrd="0" presId="urn:microsoft.com/office/officeart/2005/8/layout/hProcess9"/>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BEBC68-4C02-4131-B3F9-C66B921B70FC}"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AU"/>
        </a:p>
      </dgm:t>
    </dgm:pt>
    <dgm:pt modelId="{1289BEEE-5C6F-42B0-8ACC-1D9A406F4194}">
      <dgm:prSet phldrT="[Text]"/>
      <dgm:spPr/>
      <dgm:t>
        <a:bodyPr/>
        <a:lstStyle/>
        <a:p>
          <a:r>
            <a:rPr lang="en-AU" dirty="0" smtClean="0">
              <a:solidFill>
                <a:schemeClr val="tx1"/>
              </a:solidFill>
            </a:rPr>
            <a:t>Baseline interview</a:t>
          </a:r>
          <a:endParaRPr lang="en-AU" dirty="0">
            <a:solidFill>
              <a:schemeClr val="tx1"/>
            </a:solidFill>
          </a:endParaRPr>
        </a:p>
      </dgm:t>
    </dgm:pt>
    <dgm:pt modelId="{5529924F-221B-4DB4-9C37-4994EEC2C859}" type="parTrans" cxnId="{E580511A-63A3-4AF6-ACB3-983379F0A601}">
      <dgm:prSet/>
      <dgm:spPr/>
      <dgm:t>
        <a:bodyPr/>
        <a:lstStyle/>
        <a:p>
          <a:endParaRPr lang="en-AU"/>
        </a:p>
      </dgm:t>
    </dgm:pt>
    <dgm:pt modelId="{A3B77C98-E878-4B57-A323-65F69E88A2AD}" type="sibTrans" cxnId="{E580511A-63A3-4AF6-ACB3-983379F0A601}">
      <dgm:prSet/>
      <dgm:spPr/>
      <dgm:t>
        <a:bodyPr/>
        <a:lstStyle/>
        <a:p>
          <a:endParaRPr lang="en-AU"/>
        </a:p>
      </dgm:t>
    </dgm:pt>
    <dgm:pt modelId="{E6D99466-680D-4F6F-B25D-CE027F6E2B8A}">
      <dgm:prSet phldrT="[Text]"/>
      <dgm:spPr/>
      <dgm:t>
        <a:bodyPr/>
        <a:lstStyle/>
        <a:p>
          <a:r>
            <a:rPr lang="en-AU" dirty="0">
              <a:solidFill>
                <a:schemeClr val="tx1"/>
              </a:solidFill>
            </a:rPr>
            <a:t>Attend radiation oncology appointment</a:t>
          </a:r>
        </a:p>
      </dgm:t>
    </dgm:pt>
    <dgm:pt modelId="{69202838-C23B-47BB-B5FA-4C8ABFBE6D17}" type="parTrans" cxnId="{2EC4D826-48EA-48D3-8A6C-DB03176F325F}">
      <dgm:prSet/>
      <dgm:spPr/>
      <dgm:t>
        <a:bodyPr/>
        <a:lstStyle/>
        <a:p>
          <a:endParaRPr lang="en-AU"/>
        </a:p>
      </dgm:t>
    </dgm:pt>
    <dgm:pt modelId="{494706C4-9853-45BB-8143-2B810F684AD3}" type="sibTrans" cxnId="{2EC4D826-48EA-48D3-8A6C-DB03176F325F}">
      <dgm:prSet/>
      <dgm:spPr/>
      <dgm:t>
        <a:bodyPr/>
        <a:lstStyle/>
        <a:p>
          <a:endParaRPr lang="en-AU"/>
        </a:p>
      </dgm:t>
    </dgm:pt>
    <dgm:pt modelId="{7413DA5D-8806-42B6-9B33-C2C4E5F12017}">
      <dgm:prSet phldrT="[Text]"/>
      <dgm:spPr/>
      <dgm:t>
        <a:bodyPr/>
        <a:lstStyle/>
        <a:p>
          <a:r>
            <a:rPr lang="en-AU" dirty="0" smtClean="0">
              <a:solidFill>
                <a:schemeClr val="tx1"/>
              </a:solidFill>
            </a:rPr>
            <a:t>Follow-up interview</a:t>
          </a:r>
          <a:endParaRPr lang="en-AU" dirty="0">
            <a:solidFill>
              <a:schemeClr val="tx1"/>
            </a:solidFill>
          </a:endParaRPr>
        </a:p>
      </dgm:t>
    </dgm:pt>
    <dgm:pt modelId="{A391CDCD-52A4-47FD-A62F-989ED9F82337}" type="parTrans" cxnId="{FA331BF1-3B6C-4876-B7F2-D6C2D58FE913}">
      <dgm:prSet/>
      <dgm:spPr/>
      <dgm:t>
        <a:bodyPr/>
        <a:lstStyle/>
        <a:p>
          <a:endParaRPr lang="en-AU"/>
        </a:p>
      </dgm:t>
    </dgm:pt>
    <dgm:pt modelId="{252D42A7-4058-4FF9-A95C-AEA20543C295}" type="sibTrans" cxnId="{FA331BF1-3B6C-4876-B7F2-D6C2D58FE913}">
      <dgm:prSet/>
      <dgm:spPr/>
      <dgm:t>
        <a:bodyPr/>
        <a:lstStyle/>
        <a:p>
          <a:endParaRPr lang="en-AU"/>
        </a:p>
      </dgm:t>
    </dgm:pt>
    <dgm:pt modelId="{DD4D9428-BD8C-4CA4-BC2B-F007FEEFC912}">
      <dgm:prSet phldrT="[Text]"/>
      <dgm:spPr/>
      <dgm:t>
        <a:bodyPr/>
        <a:lstStyle/>
        <a:p>
          <a:r>
            <a:rPr lang="en-AU" dirty="0" smtClean="0">
              <a:solidFill>
                <a:schemeClr val="tx1"/>
              </a:solidFill>
            </a:rPr>
            <a:t>Six months later, visit general practitioner</a:t>
          </a:r>
          <a:endParaRPr lang="en-AU" dirty="0">
            <a:solidFill>
              <a:schemeClr val="tx1"/>
            </a:solidFill>
          </a:endParaRPr>
        </a:p>
      </dgm:t>
    </dgm:pt>
    <dgm:pt modelId="{9620570D-280E-46E7-89F0-D0322D0A28F4}" type="parTrans" cxnId="{0ABC529E-A33D-48C0-B66A-54AE9FD8B11E}">
      <dgm:prSet/>
      <dgm:spPr/>
      <dgm:t>
        <a:bodyPr/>
        <a:lstStyle/>
        <a:p>
          <a:endParaRPr lang="en-AU"/>
        </a:p>
      </dgm:t>
    </dgm:pt>
    <dgm:pt modelId="{F34FCC2B-04ED-4A79-8E26-5FA3AC0181BC}" type="sibTrans" cxnId="{0ABC529E-A33D-48C0-B66A-54AE9FD8B11E}">
      <dgm:prSet/>
      <dgm:spPr/>
      <dgm:t>
        <a:bodyPr/>
        <a:lstStyle/>
        <a:p>
          <a:endParaRPr lang="en-AU"/>
        </a:p>
      </dgm:t>
    </dgm:pt>
    <dgm:pt modelId="{A7E3D7AC-81FE-4C86-8395-FD46925BB5DB}">
      <dgm:prSet phldrT="[Text]"/>
      <dgm:spPr/>
      <dgm:t>
        <a:bodyPr/>
        <a:lstStyle/>
        <a:p>
          <a:r>
            <a:rPr lang="en-AU" dirty="0">
              <a:solidFill>
                <a:schemeClr val="tx1"/>
              </a:solidFill>
            </a:rPr>
            <a:t>Visit general practitioner</a:t>
          </a:r>
        </a:p>
      </dgm:t>
    </dgm:pt>
    <dgm:pt modelId="{C319D3C0-4729-4E0F-91DD-7569ADEFC0A3}" type="parTrans" cxnId="{FC8B3307-39F2-4D47-96B2-0E195510DD3A}">
      <dgm:prSet/>
      <dgm:spPr/>
      <dgm:t>
        <a:bodyPr/>
        <a:lstStyle/>
        <a:p>
          <a:endParaRPr lang="en-AU"/>
        </a:p>
      </dgm:t>
    </dgm:pt>
    <dgm:pt modelId="{D5892A5A-153E-43C0-AEEF-3360E3129DD8}" type="sibTrans" cxnId="{FC8B3307-39F2-4D47-96B2-0E195510DD3A}">
      <dgm:prSet/>
      <dgm:spPr/>
      <dgm:t>
        <a:bodyPr/>
        <a:lstStyle/>
        <a:p>
          <a:endParaRPr lang="en-AU"/>
        </a:p>
      </dgm:t>
    </dgm:pt>
    <dgm:pt modelId="{0A242E32-0F4B-40EC-AF78-4BA2ACD39C3A}" type="pres">
      <dgm:prSet presAssocID="{8DBEBC68-4C02-4131-B3F9-C66B921B70FC}" presName="CompostProcess" presStyleCnt="0">
        <dgm:presLayoutVars>
          <dgm:dir/>
          <dgm:resizeHandles val="exact"/>
        </dgm:presLayoutVars>
      </dgm:prSet>
      <dgm:spPr/>
      <dgm:t>
        <a:bodyPr/>
        <a:lstStyle/>
        <a:p>
          <a:endParaRPr lang="en-AU"/>
        </a:p>
      </dgm:t>
    </dgm:pt>
    <dgm:pt modelId="{55AE6F21-5296-463C-B588-92305F33092D}" type="pres">
      <dgm:prSet presAssocID="{8DBEBC68-4C02-4131-B3F9-C66B921B70FC}" presName="arrow" presStyleLbl="bgShp" presStyleIdx="0" presStyleCnt="1"/>
      <dgm:spPr/>
    </dgm:pt>
    <dgm:pt modelId="{6C795C11-3001-4262-9FFF-D3E0C8498C57}" type="pres">
      <dgm:prSet presAssocID="{8DBEBC68-4C02-4131-B3F9-C66B921B70FC}" presName="linearProcess" presStyleCnt="0"/>
      <dgm:spPr/>
    </dgm:pt>
    <dgm:pt modelId="{FCD47C12-DAE4-4A97-81C2-D11C6BF449EE}" type="pres">
      <dgm:prSet presAssocID="{1289BEEE-5C6F-42B0-8ACC-1D9A406F4194}" presName="textNode" presStyleLbl="node1" presStyleIdx="0" presStyleCnt="5" custLinFactNeighborX="-4573" custLinFactNeighborY="1559">
        <dgm:presLayoutVars>
          <dgm:bulletEnabled val="1"/>
        </dgm:presLayoutVars>
      </dgm:prSet>
      <dgm:spPr/>
      <dgm:t>
        <a:bodyPr/>
        <a:lstStyle/>
        <a:p>
          <a:endParaRPr lang="en-AU"/>
        </a:p>
      </dgm:t>
    </dgm:pt>
    <dgm:pt modelId="{4BA43666-8679-4F45-89A0-DC57067575C0}" type="pres">
      <dgm:prSet presAssocID="{A3B77C98-E878-4B57-A323-65F69E88A2AD}" presName="sibTrans" presStyleCnt="0"/>
      <dgm:spPr/>
    </dgm:pt>
    <dgm:pt modelId="{2A27395A-0207-485D-8E4F-594D95EDF468}" type="pres">
      <dgm:prSet presAssocID="{E6D99466-680D-4F6F-B25D-CE027F6E2B8A}" presName="textNode" presStyleLbl="node1" presStyleIdx="1" presStyleCnt="5" custLinFactNeighborX="-19166" custLinFactNeighborY="-43659">
        <dgm:presLayoutVars>
          <dgm:bulletEnabled val="1"/>
        </dgm:presLayoutVars>
      </dgm:prSet>
      <dgm:spPr/>
      <dgm:t>
        <a:bodyPr/>
        <a:lstStyle/>
        <a:p>
          <a:endParaRPr lang="en-AU"/>
        </a:p>
      </dgm:t>
    </dgm:pt>
    <dgm:pt modelId="{8A5D7E72-99CA-4577-A8F7-8322D0051247}" type="pres">
      <dgm:prSet presAssocID="{494706C4-9853-45BB-8143-2B810F684AD3}" presName="sibTrans" presStyleCnt="0"/>
      <dgm:spPr/>
    </dgm:pt>
    <dgm:pt modelId="{9B05D519-939C-4946-83B7-D1EA228BA90B}" type="pres">
      <dgm:prSet presAssocID="{DD4D9428-BD8C-4CA4-BC2B-F007FEEFC912}" presName="textNode" presStyleLbl="node1" presStyleIdx="2" presStyleCnt="5">
        <dgm:presLayoutVars>
          <dgm:bulletEnabled val="1"/>
        </dgm:presLayoutVars>
      </dgm:prSet>
      <dgm:spPr/>
      <dgm:t>
        <a:bodyPr/>
        <a:lstStyle/>
        <a:p>
          <a:endParaRPr lang="en-AU"/>
        </a:p>
      </dgm:t>
    </dgm:pt>
    <dgm:pt modelId="{79CDA61B-E2E1-42C9-B8B6-61835332AF11}" type="pres">
      <dgm:prSet presAssocID="{F34FCC2B-04ED-4A79-8E26-5FA3AC0181BC}" presName="sibTrans" presStyleCnt="0"/>
      <dgm:spPr/>
    </dgm:pt>
    <dgm:pt modelId="{EBC0C836-32A5-4202-9623-BF6FA2693B90}" type="pres">
      <dgm:prSet presAssocID="{7413DA5D-8806-42B6-9B33-C2C4E5F12017}" presName="textNode" presStyleLbl="node1" presStyleIdx="3" presStyleCnt="5">
        <dgm:presLayoutVars>
          <dgm:bulletEnabled val="1"/>
        </dgm:presLayoutVars>
      </dgm:prSet>
      <dgm:spPr/>
      <dgm:t>
        <a:bodyPr/>
        <a:lstStyle/>
        <a:p>
          <a:endParaRPr lang="en-AU"/>
        </a:p>
      </dgm:t>
    </dgm:pt>
    <dgm:pt modelId="{49C4732A-A4AE-4D17-A5D6-45D4F529A7E8}" type="pres">
      <dgm:prSet presAssocID="{252D42A7-4058-4FF9-A95C-AEA20543C295}" presName="sibTrans" presStyleCnt="0"/>
      <dgm:spPr/>
    </dgm:pt>
    <dgm:pt modelId="{F2818384-596E-4482-8838-9EB4689B43E2}" type="pres">
      <dgm:prSet presAssocID="{A7E3D7AC-81FE-4C86-8395-FD46925BB5DB}" presName="textNode" presStyleLbl="node1" presStyleIdx="4" presStyleCnt="5" custLinFactX="-300000" custLinFactNeighborX="-339135" custLinFactNeighborY="70166">
        <dgm:presLayoutVars>
          <dgm:bulletEnabled val="1"/>
        </dgm:presLayoutVars>
      </dgm:prSet>
      <dgm:spPr/>
      <dgm:t>
        <a:bodyPr/>
        <a:lstStyle/>
        <a:p>
          <a:endParaRPr lang="en-AU"/>
        </a:p>
      </dgm:t>
    </dgm:pt>
  </dgm:ptLst>
  <dgm:cxnLst>
    <dgm:cxn modelId="{829CB2AC-43E9-4AB0-B657-980BF1F07745}" type="presOf" srcId="{7413DA5D-8806-42B6-9B33-C2C4E5F12017}" destId="{EBC0C836-32A5-4202-9623-BF6FA2693B90}" srcOrd="0" destOrd="0" presId="urn:microsoft.com/office/officeart/2005/8/layout/hProcess9"/>
    <dgm:cxn modelId="{7101231A-29AB-427A-B816-ABDB339EA960}" type="presOf" srcId="{8DBEBC68-4C02-4131-B3F9-C66B921B70FC}" destId="{0A242E32-0F4B-40EC-AF78-4BA2ACD39C3A}" srcOrd="0" destOrd="0" presId="urn:microsoft.com/office/officeart/2005/8/layout/hProcess9"/>
    <dgm:cxn modelId="{E13C8920-C86B-4E72-A6C2-263DB19DC2B6}" type="presOf" srcId="{1289BEEE-5C6F-42B0-8ACC-1D9A406F4194}" destId="{FCD47C12-DAE4-4A97-81C2-D11C6BF449EE}" srcOrd="0" destOrd="0" presId="urn:microsoft.com/office/officeart/2005/8/layout/hProcess9"/>
    <dgm:cxn modelId="{E580511A-63A3-4AF6-ACB3-983379F0A601}" srcId="{8DBEBC68-4C02-4131-B3F9-C66B921B70FC}" destId="{1289BEEE-5C6F-42B0-8ACC-1D9A406F4194}" srcOrd="0" destOrd="0" parTransId="{5529924F-221B-4DB4-9C37-4994EEC2C859}" sibTransId="{A3B77C98-E878-4B57-A323-65F69E88A2AD}"/>
    <dgm:cxn modelId="{2A9D1FD0-F7A9-4464-B2D3-D4DD4D269F82}" type="presOf" srcId="{E6D99466-680D-4F6F-B25D-CE027F6E2B8A}" destId="{2A27395A-0207-485D-8E4F-594D95EDF468}" srcOrd="0" destOrd="0" presId="urn:microsoft.com/office/officeart/2005/8/layout/hProcess9"/>
    <dgm:cxn modelId="{86587D77-8EDF-4FFB-A7BA-B286984D4D55}" type="presOf" srcId="{DD4D9428-BD8C-4CA4-BC2B-F007FEEFC912}" destId="{9B05D519-939C-4946-83B7-D1EA228BA90B}" srcOrd="0" destOrd="0" presId="urn:microsoft.com/office/officeart/2005/8/layout/hProcess9"/>
    <dgm:cxn modelId="{99CAA927-31C0-4FCD-9FCE-51B9BB572997}" type="presOf" srcId="{A7E3D7AC-81FE-4C86-8395-FD46925BB5DB}" destId="{F2818384-596E-4482-8838-9EB4689B43E2}" srcOrd="0" destOrd="0" presId="urn:microsoft.com/office/officeart/2005/8/layout/hProcess9"/>
    <dgm:cxn modelId="{0ABC529E-A33D-48C0-B66A-54AE9FD8B11E}" srcId="{8DBEBC68-4C02-4131-B3F9-C66B921B70FC}" destId="{DD4D9428-BD8C-4CA4-BC2B-F007FEEFC912}" srcOrd="2" destOrd="0" parTransId="{9620570D-280E-46E7-89F0-D0322D0A28F4}" sibTransId="{F34FCC2B-04ED-4A79-8E26-5FA3AC0181BC}"/>
    <dgm:cxn modelId="{2EC4D826-48EA-48D3-8A6C-DB03176F325F}" srcId="{8DBEBC68-4C02-4131-B3F9-C66B921B70FC}" destId="{E6D99466-680D-4F6F-B25D-CE027F6E2B8A}" srcOrd="1" destOrd="0" parTransId="{69202838-C23B-47BB-B5FA-4C8ABFBE6D17}" sibTransId="{494706C4-9853-45BB-8143-2B810F684AD3}"/>
    <dgm:cxn modelId="{FA331BF1-3B6C-4876-B7F2-D6C2D58FE913}" srcId="{8DBEBC68-4C02-4131-B3F9-C66B921B70FC}" destId="{7413DA5D-8806-42B6-9B33-C2C4E5F12017}" srcOrd="3" destOrd="0" parTransId="{A391CDCD-52A4-47FD-A62F-989ED9F82337}" sibTransId="{252D42A7-4058-4FF9-A95C-AEA20543C295}"/>
    <dgm:cxn modelId="{FC8B3307-39F2-4D47-96B2-0E195510DD3A}" srcId="{8DBEBC68-4C02-4131-B3F9-C66B921B70FC}" destId="{A7E3D7AC-81FE-4C86-8395-FD46925BB5DB}" srcOrd="4" destOrd="0" parTransId="{C319D3C0-4729-4E0F-91DD-7569ADEFC0A3}" sibTransId="{D5892A5A-153E-43C0-AEEF-3360E3129DD8}"/>
    <dgm:cxn modelId="{557CB564-47EE-4AFA-B7A3-546741AB9882}" type="presParOf" srcId="{0A242E32-0F4B-40EC-AF78-4BA2ACD39C3A}" destId="{55AE6F21-5296-463C-B588-92305F33092D}" srcOrd="0" destOrd="0" presId="urn:microsoft.com/office/officeart/2005/8/layout/hProcess9"/>
    <dgm:cxn modelId="{2AE420E2-9D3A-4E53-8635-E7DBC50F1D19}" type="presParOf" srcId="{0A242E32-0F4B-40EC-AF78-4BA2ACD39C3A}" destId="{6C795C11-3001-4262-9FFF-D3E0C8498C57}" srcOrd="1" destOrd="0" presId="urn:microsoft.com/office/officeart/2005/8/layout/hProcess9"/>
    <dgm:cxn modelId="{A065688D-88FC-4BBC-88AD-CC505536BDC3}" type="presParOf" srcId="{6C795C11-3001-4262-9FFF-D3E0C8498C57}" destId="{FCD47C12-DAE4-4A97-81C2-D11C6BF449EE}" srcOrd="0" destOrd="0" presId="urn:microsoft.com/office/officeart/2005/8/layout/hProcess9"/>
    <dgm:cxn modelId="{073B5FD8-88F6-4A5F-9BD1-F8C7832B1354}" type="presParOf" srcId="{6C795C11-3001-4262-9FFF-D3E0C8498C57}" destId="{4BA43666-8679-4F45-89A0-DC57067575C0}" srcOrd="1" destOrd="0" presId="urn:microsoft.com/office/officeart/2005/8/layout/hProcess9"/>
    <dgm:cxn modelId="{3D9A05A6-D486-4760-8237-8907C3972520}" type="presParOf" srcId="{6C795C11-3001-4262-9FFF-D3E0C8498C57}" destId="{2A27395A-0207-485D-8E4F-594D95EDF468}" srcOrd="2" destOrd="0" presId="urn:microsoft.com/office/officeart/2005/8/layout/hProcess9"/>
    <dgm:cxn modelId="{8C82F201-587C-4ED7-B261-5D897233E1B8}" type="presParOf" srcId="{6C795C11-3001-4262-9FFF-D3E0C8498C57}" destId="{8A5D7E72-99CA-4577-A8F7-8322D0051247}" srcOrd="3" destOrd="0" presId="urn:microsoft.com/office/officeart/2005/8/layout/hProcess9"/>
    <dgm:cxn modelId="{67F21D8A-71E4-4A95-ACD0-1AF2299FF165}" type="presParOf" srcId="{6C795C11-3001-4262-9FFF-D3E0C8498C57}" destId="{9B05D519-939C-4946-83B7-D1EA228BA90B}" srcOrd="4" destOrd="0" presId="urn:microsoft.com/office/officeart/2005/8/layout/hProcess9"/>
    <dgm:cxn modelId="{2D39BB55-7B7F-4088-BE13-1FE3596B00B9}" type="presParOf" srcId="{6C795C11-3001-4262-9FFF-D3E0C8498C57}" destId="{79CDA61B-E2E1-42C9-B8B6-61835332AF11}" srcOrd="5" destOrd="0" presId="urn:microsoft.com/office/officeart/2005/8/layout/hProcess9"/>
    <dgm:cxn modelId="{F0A1E0F0-CA3A-489F-8496-33859D5F2271}" type="presParOf" srcId="{6C795C11-3001-4262-9FFF-D3E0C8498C57}" destId="{EBC0C836-32A5-4202-9623-BF6FA2693B90}" srcOrd="6" destOrd="0" presId="urn:microsoft.com/office/officeart/2005/8/layout/hProcess9"/>
    <dgm:cxn modelId="{303D8695-98E2-4918-9448-5CC3A5236153}" type="presParOf" srcId="{6C795C11-3001-4262-9FFF-D3E0C8498C57}" destId="{49C4732A-A4AE-4D17-A5D6-45D4F529A7E8}" srcOrd="7" destOrd="0" presId="urn:microsoft.com/office/officeart/2005/8/layout/hProcess9"/>
    <dgm:cxn modelId="{0EDE9DF9-0A18-438E-8F9C-A4C278051319}" type="presParOf" srcId="{6C795C11-3001-4262-9FFF-D3E0C8498C57}" destId="{F2818384-596E-4482-8838-9EB4689B43E2}" srcOrd="8" destOrd="0" presId="urn:microsoft.com/office/officeart/2005/8/layout/hProcess9"/>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DBEBC68-4C02-4131-B3F9-C66B921B70FC}" type="doc">
      <dgm:prSet loTypeId="urn:microsoft.com/office/officeart/2005/8/layout/hProcess9" loCatId="process" qsTypeId="urn:microsoft.com/office/officeart/2005/8/quickstyle/simple1" qsCatId="simple" csTypeId="urn:microsoft.com/office/officeart/2005/8/colors/accent1_2" csCatId="accent1" phldr="1"/>
      <dgm:spPr/>
    </dgm:pt>
    <dgm:pt modelId="{1289BEEE-5C6F-42B0-8ACC-1D9A406F4194}">
      <dgm:prSet phldrT="[Text]"/>
      <dgm:spPr/>
      <dgm:t>
        <a:bodyPr/>
        <a:lstStyle/>
        <a:p>
          <a:r>
            <a:rPr lang="en-AU" dirty="0" smtClean="0">
              <a:solidFill>
                <a:schemeClr val="tx1"/>
              </a:solidFill>
            </a:rPr>
            <a:t>Baseline interview</a:t>
          </a:r>
          <a:endParaRPr lang="en-AU" dirty="0">
            <a:solidFill>
              <a:schemeClr val="tx1"/>
            </a:solidFill>
          </a:endParaRPr>
        </a:p>
      </dgm:t>
    </dgm:pt>
    <dgm:pt modelId="{5529924F-221B-4DB4-9C37-4994EEC2C859}" type="parTrans" cxnId="{E580511A-63A3-4AF6-ACB3-983379F0A601}">
      <dgm:prSet/>
      <dgm:spPr/>
      <dgm:t>
        <a:bodyPr/>
        <a:lstStyle/>
        <a:p>
          <a:endParaRPr lang="en-AU"/>
        </a:p>
      </dgm:t>
    </dgm:pt>
    <dgm:pt modelId="{A3B77C98-E878-4B57-A323-65F69E88A2AD}" type="sibTrans" cxnId="{E580511A-63A3-4AF6-ACB3-983379F0A601}">
      <dgm:prSet/>
      <dgm:spPr/>
      <dgm:t>
        <a:bodyPr/>
        <a:lstStyle/>
        <a:p>
          <a:endParaRPr lang="en-AU"/>
        </a:p>
      </dgm:t>
    </dgm:pt>
    <dgm:pt modelId="{E6D99466-680D-4F6F-B25D-CE027F6E2B8A}">
      <dgm:prSet phldrT="[Text]"/>
      <dgm:spPr/>
      <dgm:t>
        <a:bodyPr/>
        <a:lstStyle/>
        <a:p>
          <a:r>
            <a:rPr lang="en-AU" dirty="0" smtClean="0">
              <a:solidFill>
                <a:schemeClr val="tx1"/>
              </a:solidFill>
            </a:rPr>
            <a:t>Recieve training on radiotherapy follow-up and assessment</a:t>
          </a:r>
          <a:endParaRPr lang="en-AU" dirty="0">
            <a:solidFill>
              <a:schemeClr val="tx1"/>
            </a:solidFill>
          </a:endParaRPr>
        </a:p>
      </dgm:t>
    </dgm:pt>
    <dgm:pt modelId="{69202838-C23B-47BB-B5FA-4C8ABFBE6D17}" type="parTrans" cxnId="{2EC4D826-48EA-48D3-8A6C-DB03176F325F}">
      <dgm:prSet/>
      <dgm:spPr/>
      <dgm:t>
        <a:bodyPr/>
        <a:lstStyle/>
        <a:p>
          <a:endParaRPr lang="en-AU"/>
        </a:p>
      </dgm:t>
    </dgm:pt>
    <dgm:pt modelId="{494706C4-9853-45BB-8143-2B810F684AD3}" type="sibTrans" cxnId="{2EC4D826-48EA-48D3-8A6C-DB03176F325F}">
      <dgm:prSet/>
      <dgm:spPr/>
      <dgm:t>
        <a:bodyPr/>
        <a:lstStyle/>
        <a:p>
          <a:endParaRPr lang="en-AU"/>
        </a:p>
      </dgm:t>
    </dgm:pt>
    <dgm:pt modelId="{7413DA5D-8806-42B6-9B33-C2C4E5F12017}">
      <dgm:prSet phldrT="[Text]"/>
      <dgm:spPr/>
      <dgm:t>
        <a:bodyPr/>
        <a:lstStyle/>
        <a:p>
          <a:r>
            <a:rPr lang="en-AU" dirty="0" smtClean="0">
              <a:solidFill>
                <a:schemeClr val="tx1"/>
              </a:solidFill>
            </a:rPr>
            <a:t>Follow-up interview</a:t>
          </a:r>
          <a:endParaRPr lang="en-AU" dirty="0">
            <a:solidFill>
              <a:schemeClr val="tx1"/>
            </a:solidFill>
          </a:endParaRPr>
        </a:p>
      </dgm:t>
    </dgm:pt>
    <dgm:pt modelId="{A391CDCD-52A4-47FD-A62F-989ED9F82337}" type="parTrans" cxnId="{FA331BF1-3B6C-4876-B7F2-D6C2D58FE913}">
      <dgm:prSet/>
      <dgm:spPr/>
      <dgm:t>
        <a:bodyPr/>
        <a:lstStyle/>
        <a:p>
          <a:endParaRPr lang="en-AU"/>
        </a:p>
      </dgm:t>
    </dgm:pt>
    <dgm:pt modelId="{252D42A7-4058-4FF9-A95C-AEA20543C295}" type="sibTrans" cxnId="{FA331BF1-3B6C-4876-B7F2-D6C2D58FE913}">
      <dgm:prSet/>
      <dgm:spPr/>
      <dgm:t>
        <a:bodyPr/>
        <a:lstStyle/>
        <a:p>
          <a:endParaRPr lang="en-AU"/>
        </a:p>
      </dgm:t>
    </dgm:pt>
    <dgm:pt modelId="{ECD8402A-2BD3-4EB1-A412-9D7B0A6D1D7C}">
      <dgm:prSet phldrT="[Text]"/>
      <dgm:spPr/>
      <dgm:t>
        <a:bodyPr/>
        <a:lstStyle/>
        <a:p>
          <a:r>
            <a:rPr lang="en-AU" dirty="0" smtClean="0">
              <a:solidFill>
                <a:schemeClr val="tx1"/>
              </a:solidFill>
            </a:rPr>
            <a:t>Conduct  follow-up assessment</a:t>
          </a:r>
          <a:endParaRPr lang="en-AU" dirty="0">
            <a:solidFill>
              <a:schemeClr val="tx1"/>
            </a:solidFill>
          </a:endParaRPr>
        </a:p>
      </dgm:t>
    </dgm:pt>
    <dgm:pt modelId="{123AA9DE-9754-4235-8141-A4417BA8779C}" type="parTrans" cxnId="{3C8AEFA5-801A-46B4-AA1A-AC300AA103C5}">
      <dgm:prSet/>
      <dgm:spPr/>
      <dgm:t>
        <a:bodyPr/>
        <a:lstStyle/>
        <a:p>
          <a:endParaRPr lang="en-AU"/>
        </a:p>
      </dgm:t>
    </dgm:pt>
    <dgm:pt modelId="{59EE58E9-0B56-427B-A16E-50878E1CD3F1}" type="sibTrans" cxnId="{3C8AEFA5-801A-46B4-AA1A-AC300AA103C5}">
      <dgm:prSet/>
      <dgm:spPr/>
      <dgm:t>
        <a:bodyPr/>
        <a:lstStyle/>
        <a:p>
          <a:endParaRPr lang="en-AU"/>
        </a:p>
      </dgm:t>
    </dgm:pt>
    <dgm:pt modelId="{DD4D9428-BD8C-4CA4-BC2B-F007FEEFC912}">
      <dgm:prSet phldrT="[Text]"/>
      <dgm:spPr/>
      <dgm:t>
        <a:bodyPr/>
        <a:lstStyle/>
        <a:p>
          <a:r>
            <a:rPr lang="en-AU" dirty="0" smtClean="0">
              <a:solidFill>
                <a:schemeClr val="tx1"/>
              </a:solidFill>
            </a:rPr>
            <a:t>Six months later, conduct follow-up assessment</a:t>
          </a:r>
          <a:endParaRPr lang="en-AU" dirty="0">
            <a:solidFill>
              <a:schemeClr val="tx1"/>
            </a:solidFill>
          </a:endParaRPr>
        </a:p>
      </dgm:t>
    </dgm:pt>
    <dgm:pt modelId="{9620570D-280E-46E7-89F0-D0322D0A28F4}" type="parTrans" cxnId="{0ABC529E-A33D-48C0-B66A-54AE9FD8B11E}">
      <dgm:prSet/>
      <dgm:spPr/>
      <dgm:t>
        <a:bodyPr/>
        <a:lstStyle/>
        <a:p>
          <a:endParaRPr lang="en-AU"/>
        </a:p>
      </dgm:t>
    </dgm:pt>
    <dgm:pt modelId="{F34FCC2B-04ED-4A79-8E26-5FA3AC0181BC}" type="sibTrans" cxnId="{0ABC529E-A33D-48C0-B66A-54AE9FD8B11E}">
      <dgm:prSet/>
      <dgm:spPr/>
      <dgm:t>
        <a:bodyPr/>
        <a:lstStyle/>
        <a:p>
          <a:endParaRPr lang="en-AU"/>
        </a:p>
      </dgm:t>
    </dgm:pt>
    <dgm:pt modelId="{0A242E32-0F4B-40EC-AF78-4BA2ACD39C3A}" type="pres">
      <dgm:prSet presAssocID="{8DBEBC68-4C02-4131-B3F9-C66B921B70FC}" presName="CompostProcess" presStyleCnt="0">
        <dgm:presLayoutVars>
          <dgm:dir/>
          <dgm:resizeHandles val="exact"/>
        </dgm:presLayoutVars>
      </dgm:prSet>
      <dgm:spPr/>
    </dgm:pt>
    <dgm:pt modelId="{55AE6F21-5296-463C-B588-92305F33092D}" type="pres">
      <dgm:prSet presAssocID="{8DBEBC68-4C02-4131-B3F9-C66B921B70FC}" presName="arrow" presStyleLbl="bgShp" presStyleIdx="0" presStyleCnt="1"/>
      <dgm:spPr/>
    </dgm:pt>
    <dgm:pt modelId="{6C795C11-3001-4262-9FFF-D3E0C8498C57}" type="pres">
      <dgm:prSet presAssocID="{8DBEBC68-4C02-4131-B3F9-C66B921B70FC}" presName="linearProcess" presStyleCnt="0"/>
      <dgm:spPr/>
    </dgm:pt>
    <dgm:pt modelId="{FCD47C12-DAE4-4A97-81C2-D11C6BF449EE}" type="pres">
      <dgm:prSet presAssocID="{1289BEEE-5C6F-42B0-8ACC-1D9A406F4194}" presName="textNode" presStyleLbl="node1" presStyleIdx="0" presStyleCnt="5" custLinFactNeighborX="-4573" custLinFactNeighborY="1559">
        <dgm:presLayoutVars>
          <dgm:bulletEnabled val="1"/>
        </dgm:presLayoutVars>
      </dgm:prSet>
      <dgm:spPr/>
      <dgm:t>
        <a:bodyPr/>
        <a:lstStyle/>
        <a:p>
          <a:endParaRPr lang="en-AU"/>
        </a:p>
      </dgm:t>
    </dgm:pt>
    <dgm:pt modelId="{4BA43666-8679-4F45-89A0-DC57067575C0}" type="pres">
      <dgm:prSet presAssocID="{A3B77C98-E878-4B57-A323-65F69E88A2AD}" presName="sibTrans" presStyleCnt="0"/>
      <dgm:spPr/>
    </dgm:pt>
    <dgm:pt modelId="{2A27395A-0207-485D-8E4F-594D95EDF468}" type="pres">
      <dgm:prSet presAssocID="{E6D99466-680D-4F6F-B25D-CE027F6E2B8A}" presName="textNode" presStyleLbl="node1" presStyleIdx="1" presStyleCnt="5">
        <dgm:presLayoutVars>
          <dgm:bulletEnabled val="1"/>
        </dgm:presLayoutVars>
      </dgm:prSet>
      <dgm:spPr/>
      <dgm:t>
        <a:bodyPr/>
        <a:lstStyle/>
        <a:p>
          <a:endParaRPr lang="en-AU"/>
        </a:p>
      </dgm:t>
    </dgm:pt>
    <dgm:pt modelId="{8A5D7E72-99CA-4577-A8F7-8322D0051247}" type="pres">
      <dgm:prSet presAssocID="{494706C4-9853-45BB-8143-2B810F684AD3}" presName="sibTrans" presStyleCnt="0"/>
      <dgm:spPr/>
    </dgm:pt>
    <dgm:pt modelId="{10A710E6-B2C2-4E23-9801-C84AED9FF7BB}" type="pres">
      <dgm:prSet presAssocID="{ECD8402A-2BD3-4EB1-A412-9D7B0A6D1D7C}" presName="textNode" presStyleLbl="node1" presStyleIdx="2" presStyleCnt="5">
        <dgm:presLayoutVars>
          <dgm:bulletEnabled val="1"/>
        </dgm:presLayoutVars>
      </dgm:prSet>
      <dgm:spPr/>
      <dgm:t>
        <a:bodyPr/>
        <a:lstStyle/>
        <a:p>
          <a:endParaRPr lang="en-AU"/>
        </a:p>
      </dgm:t>
    </dgm:pt>
    <dgm:pt modelId="{1E816A62-174F-46E7-988F-C0CD0E6ECB5C}" type="pres">
      <dgm:prSet presAssocID="{59EE58E9-0B56-427B-A16E-50878E1CD3F1}" presName="sibTrans" presStyleCnt="0"/>
      <dgm:spPr/>
    </dgm:pt>
    <dgm:pt modelId="{9B05D519-939C-4946-83B7-D1EA228BA90B}" type="pres">
      <dgm:prSet presAssocID="{DD4D9428-BD8C-4CA4-BC2B-F007FEEFC912}" presName="textNode" presStyleLbl="node1" presStyleIdx="3" presStyleCnt="5">
        <dgm:presLayoutVars>
          <dgm:bulletEnabled val="1"/>
        </dgm:presLayoutVars>
      </dgm:prSet>
      <dgm:spPr/>
      <dgm:t>
        <a:bodyPr/>
        <a:lstStyle/>
        <a:p>
          <a:endParaRPr lang="en-AU"/>
        </a:p>
      </dgm:t>
    </dgm:pt>
    <dgm:pt modelId="{79CDA61B-E2E1-42C9-B8B6-61835332AF11}" type="pres">
      <dgm:prSet presAssocID="{F34FCC2B-04ED-4A79-8E26-5FA3AC0181BC}" presName="sibTrans" presStyleCnt="0"/>
      <dgm:spPr/>
    </dgm:pt>
    <dgm:pt modelId="{EBC0C836-32A5-4202-9623-BF6FA2693B90}" type="pres">
      <dgm:prSet presAssocID="{7413DA5D-8806-42B6-9B33-C2C4E5F12017}" presName="textNode" presStyleLbl="node1" presStyleIdx="4" presStyleCnt="5" custLinFactNeighborX="-25147" custLinFactNeighborY="1188">
        <dgm:presLayoutVars>
          <dgm:bulletEnabled val="1"/>
        </dgm:presLayoutVars>
      </dgm:prSet>
      <dgm:spPr/>
      <dgm:t>
        <a:bodyPr/>
        <a:lstStyle/>
        <a:p>
          <a:endParaRPr lang="en-AU"/>
        </a:p>
      </dgm:t>
    </dgm:pt>
  </dgm:ptLst>
  <dgm:cxnLst>
    <dgm:cxn modelId="{E580511A-63A3-4AF6-ACB3-983379F0A601}" srcId="{8DBEBC68-4C02-4131-B3F9-C66B921B70FC}" destId="{1289BEEE-5C6F-42B0-8ACC-1D9A406F4194}" srcOrd="0" destOrd="0" parTransId="{5529924F-221B-4DB4-9C37-4994EEC2C859}" sibTransId="{A3B77C98-E878-4B57-A323-65F69E88A2AD}"/>
    <dgm:cxn modelId="{C2BC9247-7276-41DE-84F2-EB31A4100B00}" type="presOf" srcId="{DD4D9428-BD8C-4CA4-BC2B-F007FEEFC912}" destId="{9B05D519-939C-4946-83B7-D1EA228BA90B}" srcOrd="0" destOrd="0" presId="urn:microsoft.com/office/officeart/2005/8/layout/hProcess9"/>
    <dgm:cxn modelId="{8E147C1B-9DE5-4FBD-ABF8-CE61BB1E7A5A}" type="presOf" srcId="{ECD8402A-2BD3-4EB1-A412-9D7B0A6D1D7C}" destId="{10A710E6-B2C2-4E23-9801-C84AED9FF7BB}" srcOrd="0" destOrd="0" presId="urn:microsoft.com/office/officeart/2005/8/layout/hProcess9"/>
    <dgm:cxn modelId="{3C8AEFA5-801A-46B4-AA1A-AC300AA103C5}" srcId="{8DBEBC68-4C02-4131-B3F9-C66B921B70FC}" destId="{ECD8402A-2BD3-4EB1-A412-9D7B0A6D1D7C}" srcOrd="2" destOrd="0" parTransId="{123AA9DE-9754-4235-8141-A4417BA8779C}" sibTransId="{59EE58E9-0B56-427B-A16E-50878E1CD3F1}"/>
    <dgm:cxn modelId="{8F8A0160-F0ED-4BDF-93CA-21DE8A1B281D}" type="presOf" srcId="{E6D99466-680D-4F6F-B25D-CE027F6E2B8A}" destId="{2A27395A-0207-485D-8E4F-594D95EDF468}" srcOrd="0" destOrd="0" presId="urn:microsoft.com/office/officeart/2005/8/layout/hProcess9"/>
    <dgm:cxn modelId="{0ABC529E-A33D-48C0-B66A-54AE9FD8B11E}" srcId="{8DBEBC68-4C02-4131-B3F9-C66B921B70FC}" destId="{DD4D9428-BD8C-4CA4-BC2B-F007FEEFC912}" srcOrd="3" destOrd="0" parTransId="{9620570D-280E-46E7-89F0-D0322D0A28F4}" sibTransId="{F34FCC2B-04ED-4A79-8E26-5FA3AC0181BC}"/>
    <dgm:cxn modelId="{2EC4D826-48EA-48D3-8A6C-DB03176F325F}" srcId="{8DBEBC68-4C02-4131-B3F9-C66B921B70FC}" destId="{E6D99466-680D-4F6F-B25D-CE027F6E2B8A}" srcOrd="1" destOrd="0" parTransId="{69202838-C23B-47BB-B5FA-4C8ABFBE6D17}" sibTransId="{494706C4-9853-45BB-8143-2B810F684AD3}"/>
    <dgm:cxn modelId="{2CA27632-1BA3-4BF7-BF3B-1B04F4D7D343}" type="presOf" srcId="{8DBEBC68-4C02-4131-B3F9-C66B921B70FC}" destId="{0A242E32-0F4B-40EC-AF78-4BA2ACD39C3A}" srcOrd="0" destOrd="0" presId="urn:microsoft.com/office/officeart/2005/8/layout/hProcess9"/>
    <dgm:cxn modelId="{FA331BF1-3B6C-4876-B7F2-D6C2D58FE913}" srcId="{8DBEBC68-4C02-4131-B3F9-C66B921B70FC}" destId="{7413DA5D-8806-42B6-9B33-C2C4E5F12017}" srcOrd="4" destOrd="0" parTransId="{A391CDCD-52A4-47FD-A62F-989ED9F82337}" sibTransId="{252D42A7-4058-4FF9-A95C-AEA20543C295}"/>
    <dgm:cxn modelId="{89716BCF-F51E-4FA4-B7BC-FDAD4120D79C}" type="presOf" srcId="{1289BEEE-5C6F-42B0-8ACC-1D9A406F4194}" destId="{FCD47C12-DAE4-4A97-81C2-D11C6BF449EE}" srcOrd="0" destOrd="0" presId="urn:microsoft.com/office/officeart/2005/8/layout/hProcess9"/>
    <dgm:cxn modelId="{071D88A7-D10E-4A0C-BBEC-70707B3663AB}" type="presOf" srcId="{7413DA5D-8806-42B6-9B33-C2C4E5F12017}" destId="{EBC0C836-32A5-4202-9623-BF6FA2693B90}" srcOrd="0" destOrd="0" presId="urn:microsoft.com/office/officeart/2005/8/layout/hProcess9"/>
    <dgm:cxn modelId="{1D787658-1E6D-4093-ACB4-5BFCEDB9F7BB}" type="presParOf" srcId="{0A242E32-0F4B-40EC-AF78-4BA2ACD39C3A}" destId="{55AE6F21-5296-463C-B588-92305F33092D}" srcOrd="0" destOrd="0" presId="urn:microsoft.com/office/officeart/2005/8/layout/hProcess9"/>
    <dgm:cxn modelId="{3ED3F340-4011-4FCF-87BA-BC7E1806EF75}" type="presParOf" srcId="{0A242E32-0F4B-40EC-AF78-4BA2ACD39C3A}" destId="{6C795C11-3001-4262-9FFF-D3E0C8498C57}" srcOrd="1" destOrd="0" presId="urn:microsoft.com/office/officeart/2005/8/layout/hProcess9"/>
    <dgm:cxn modelId="{07E28EDA-37A9-4DB1-AA85-FBFC674DB3DD}" type="presParOf" srcId="{6C795C11-3001-4262-9FFF-D3E0C8498C57}" destId="{FCD47C12-DAE4-4A97-81C2-D11C6BF449EE}" srcOrd="0" destOrd="0" presId="urn:microsoft.com/office/officeart/2005/8/layout/hProcess9"/>
    <dgm:cxn modelId="{A402996B-E51C-4960-B81A-F4BD2B1863E4}" type="presParOf" srcId="{6C795C11-3001-4262-9FFF-D3E0C8498C57}" destId="{4BA43666-8679-4F45-89A0-DC57067575C0}" srcOrd="1" destOrd="0" presId="urn:microsoft.com/office/officeart/2005/8/layout/hProcess9"/>
    <dgm:cxn modelId="{42F84F41-D10C-435D-A0C7-91733DD4A047}" type="presParOf" srcId="{6C795C11-3001-4262-9FFF-D3E0C8498C57}" destId="{2A27395A-0207-485D-8E4F-594D95EDF468}" srcOrd="2" destOrd="0" presId="urn:microsoft.com/office/officeart/2005/8/layout/hProcess9"/>
    <dgm:cxn modelId="{12C17834-692F-4C90-9A00-358ADBA9ED6A}" type="presParOf" srcId="{6C795C11-3001-4262-9FFF-D3E0C8498C57}" destId="{8A5D7E72-99CA-4577-A8F7-8322D0051247}" srcOrd="3" destOrd="0" presId="urn:microsoft.com/office/officeart/2005/8/layout/hProcess9"/>
    <dgm:cxn modelId="{F72BC6CC-CC61-41CB-8E51-1494604ECB2E}" type="presParOf" srcId="{6C795C11-3001-4262-9FFF-D3E0C8498C57}" destId="{10A710E6-B2C2-4E23-9801-C84AED9FF7BB}" srcOrd="4" destOrd="0" presId="urn:microsoft.com/office/officeart/2005/8/layout/hProcess9"/>
    <dgm:cxn modelId="{C2CC5D37-2912-48D8-AC3F-D55C12683AEB}" type="presParOf" srcId="{6C795C11-3001-4262-9FFF-D3E0C8498C57}" destId="{1E816A62-174F-46E7-988F-C0CD0E6ECB5C}" srcOrd="5" destOrd="0" presId="urn:microsoft.com/office/officeart/2005/8/layout/hProcess9"/>
    <dgm:cxn modelId="{976005A7-7D78-4DB9-B4F0-0BB352EC1399}" type="presParOf" srcId="{6C795C11-3001-4262-9FFF-D3E0C8498C57}" destId="{9B05D519-939C-4946-83B7-D1EA228BA90B}" srcOrd="6" destOrd="0" presId="urn:microsoft.com/office/officeart/2005/8/layout/hProcess9"/>
    <dgm:cxn modelId="{DFA36D29-447F-472B-9043-AF3A814BE9C5}" type="presParOf" srcId="{6C795C11-3001-4262-9FFF-D3E0C8498C57}" destId="{79CDA61B-E2E1-42C9-B8B6-61835332AF11}" srcOrd="7" destOrd="0" presId="urn:microsoft.com/office/officeart/2005/8/layout/hProcess9"/>
    <dgm:cxn modelId="{9481B917-9982-431D-9AF2-757F2A6D7F1B}" type="presParOf" srcId="{6C795C11-3001-4262-9FFF-D3E0C8498C57}" destId="{EBC0C836-32A5-4202-9623-BF6FA2693B90}" srcOrd="8" destOrd="0" presId="urn:microsoft.com/office/officeart/2005/8/layout/hProcess9"/>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AE6F21-5296-463C-B588-92305F33092D}">
      <dsp:nvSpPr>
        <dsp:cNvPr id="0" name=""/>
        <dsp:cNvSpPr/>
      </dsp:nvSpPr>
      <dsp:spPr>
        <a:xfrm>
          <a:off x="340756" y="0"/>
          <a:ext cx="3861911" cy="106172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CD47C12-DAE4-4A97-81C2-D11C6BF449EE}">
      <dsp:nvSpPr>
        <dsp:cNvPr id="0" name=""/>
        <dsp:cNvSpPr/>
      </dsp:nvSpPr>
      <dsp:spPr>
        <a:xfrm>
          <a:off x="0" y="325136"/>
          <a:ext cx="872967" cy="42468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Baseline interview</a:t>
          </a:r>
          <a:endParaRPr lang="en-AU" sz="700" kern="1200" dirty="0">
            <a:solidFill>
              <a:schemeClr val="tx1"/>
            </a:solidFill>
          </a:endParaRPr>
        </a:p>
      </dsp:txBody>
      <dsp:txXfrm>
        <a:off x="20732" y="345868"/>
        <a:ext cx="831503" cy="383224"/>
      </dsp:txXfrm>
    </dsp:sp>
    <dsp:sp modelId="{2A27395A-0207-485D-8E4F-594D95EDF468}">
      <dsp:nvSpPr>
        <dsp:cNvPr id="0" name=""/>
        <dsp:cNvSpPr/>
      </dsp:nvSpPr>
      <dsp:spPr>
        <a:xfrm>
          <a:off x="918612" y="318515"/>
          <a:ext cx="872967" cy="42468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Identify eligible patients</a:t>
          </a:r>
          <a:endParaRPr lang="en-AU" sz="700" kern="1200" dirty="0">
            <a:solidFill>
              <a:schemeClr val="tx1"/>
            </a:solidFill>
          </a:endParaRPr>
        </a:p>
      </dsp:txBody>
      <dsp:txXfrm>
        <a:off x="939344" y="339247"/>
        <a:ext cx="831503" cy="383224"/>
      </dsp:txXfrm>
    </dsp:sp>
    <dsp:sp modelId="{10A710E6-B2C2-4E23-9801-C84AED9FF7BB}">
      <dsp:nvSpPr>
        <dsp:cNvPr id="0" name=""/>
        <dsp:cNvSpPr/>
      </dsp:nvSpPr>
      <dsp:spPr>
        <a:xfrm>
          <a:off x="1835228" y="318515"/>
          <a:ext cx="872967" cy="42468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Conduct  follow-up assessment</a:t>
          </a:r>
          <a:endParaRPr lang="en-AU" sz="700" kern="1200" dirty="0">
            <a:solidFill>
              <a:schemeClr val="tx1"/>
            </a:solidFill>
          </a:endParaRPr>
        </a:p>
      </dsp:txBody>
      <dsp:txXfrm>
        <a:off x="1855960" y="339247"/>
        <a:ext cx="831503" cy="383224"/>
      </dsp:txXfrm>
    </dsp:sp>
    <dsp:sp modelId="{9B05D519-939C-4946-83B7-D1EA228BA90B}">
      <dsp:nvSpPr>
        <dsp:cNvPr id="0" name=""/>
        <dsp:cNvSpPr/>
      </dsp:nvSpPr>
      <dsp:spPr>
        <a:xfrm>
          <a:off x="2751844" y="318515"/>
          <a:ext cx="872967" cy="42468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Review alerts of shared-care follow-up</a:t>
          </a:r>
          <a:endParaRPr lang="en-AU" sz="700" kern="1200" dirty="0">
            <a:solidFill>
              <a:schemeClr val="tx1"/>
            </a:solidFill>
          </a:endParaRPr>
        </a:p>
      </dsp:txBody>
      <dsp:txXfrm>
        <a:off x="2772576" y="339247"/>
        <a:ext cx="831503" cy="383224"/>
      </dsp:txXfrm>
    </dsp:sp>
    <dsp:sp modelId="{EBC0C836-32A5-4202-9623-BF6FA2693B90}">
      <dsp:nvSpPr>
        <dsp:cNvPr id="0" name=""/>
        <dsp:cNvSpPr/>
      </dsp:nvSpPr>
      <dsp:spPr>
        <a:xfrm>
          <a:off x="3668460" y="318515"/>
          <a:ext cx="872967" cy="42468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Follow-up interview</a:t>
          </a:r>
          <a:endParaRPr lang="en-AU" sz="700" kern="1200" dirty="0">
            <a:solidFill>
              <a:schemeClr val="tx1"/>
            </a:solidFill>
          </a:endParaRPr>
        </a:p>
      </dsp:txBody>
      <dsp:txXfrm>
        <a:off x="3689192" y="339247"/>
        <a:ext cx="831503" cy="3832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AE6F21-5296-463C-B588-92305F33092D}">
      <dsp:nvSpPr>
        <dsp:cNvPr id="0" name=""/>
        <dsp:cNvSpPr/>
      </dsp:nvSpPr>
      <dsp:spPr>
        <a:xfrm>
          <a:off x="342614" y="0"/>
          <a:ext cx="3882961" cy="109410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CD47C12-DAE4-4A97-81C2-D11C6BF449EE}">
      <dsp:nvSpPr>
        <dsp:cNvPr id="0" name=""/>
        <dsp:cNvSpPr/>
      </dsp:nvSpPr>
      <dsp:spPr>
        <a:xfrm>
          <a:off x="0" y="335054"/>
          <a:ext cx="877725" cy="43764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Baseline interview</a:t>
          </a:r>
          <a:endParaRPr lang="en-AU" sz="700" kern="1200" dirty="0">
            <a:solidFill>
              <a:schemeClr val="tx1"/>
            </a:solidFill>
          </a:endParaRPr>
        </a:p>
      </dsp:txBody>
      <dsp:txXfrm>
        <a:off x="21364" y="356418"/>
        <a:ext cx="834997" cy="394914"/>
      </dsp:txXfrm>
    </dsp:sp>
    <dsp:sp modelId="{2A27395A-0207-485D-8E4F-594D95EDF468}">
      <dsp:nvSpPr>
        <dsp:cNvPr id="0" name=""/>
        <dsp:cNvSpPr/>
      </dsp:nvSpPr>
      <dsp:spPr>
        <a:xfrm>
          <a:off x="915208" y="137161"/>
          <a:ext cx="877725" cy="43764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a:solidFill>
                <a:schemeClr val="tx1"/>
              </a:solidFill>
            </a:rPr>
            <a:t>Attend radiation oncology appointment</a:t>
          </a:r>
        </a:p>
      </dsp:txBody>
      <dsp:txXfrm>
        <a:off x="936572" y="158525"/>
        <a:ext cx="834997" cy="394914"/>
      </dsp:txXfrm>
    </dsp:sp>
    <dsp:sp modelId="{9B05D519-939C-4946-83B7-D1EA228BA90B}">
      <dsp:nvSpPr>
        <dsp:cNvPr id="0" name=""/>
        <dsp:cNvSpPr/>
      </dsp:nvSpPr>
      <dsp:spPr>
        <a:xfrm>
          <a:off x="1845232" y="328231"/>
          <a:ext cx="877725" cy="43764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Six months later, visit general practitioner</a:t>
          </a:r>
          <a:endParaRPr lang="en-AU" sz="700" kern="1200" dirty="0">
            <a:solidFill>
              <a:schemeClr val="tx1"/>
            </a:solidFill>
          </a:endParaRPr>
        </a:p>
      </dsp:txBody>
      <dsp:txXfrm>
        <a:off x="1866596" y="349595"/>
        <a:ext cx="834997" cy="394914"/>
      </dsp:txXfrm>
    </dsp:sp>
    <dsp:sp modelId="{EBC0C836-32A5-4202-9623-BF6FA2693B90}">
      <dsp:nvSpPr>
        <dsp:cNvPr id="0" name=""/>
        <dsp:cNvSpPr/>
      </dsp:nvSpPr>
      <dsp:spPr>
        <a:xfrm>
          <a:off x="2766844" y="328231"/>
          <a:ext cx="877725" cy="43764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Follow-up interview</a:t>
          </a:r>
          <a:endParaRPr lang="en-AU" sz="700" kern="1200" dirty="0">
            <a:solidFill>
              <a:schemeClr val="tx1"/>
            </a:solidFill>
          </a:endParaRPr>
        </a:p>
      </dsp:txBody>
      <dsp:txXfrm>
        <a:off x="2788208" y="349595"/>
        <a:ext cx="834997" cy="394914"/>
      </dsp:txXfrm>
    </dsp:sp>
    <dsp:sp modelId="{F2818384-596E-4482-8838-9EB4689B43E2}">
      <dsp:nvSpPr>
        <dsp:cNvPr id="0" name=""/>
        <dsp:cNvSpPr/>
      </dsp:nvSpPr>
      <dsp:spPr>
        <a:xfrm>
          <a:off x="906444" y="635307"/>
          <a:ext cx="877725" cy="43764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a:solidFill>
                <a:schemeClr val="tx1"/>
              </a:solidFill>
            </a:rPr>
            <a:t>Visit general practitioner</a:t>
          </a:r>
        </a:p>
      </dsp:txBody>
      <dsp:txXfrm>
        <a:off x="927808" y="656671"/>
        <a:ext cx="834997" cy="3949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AE6F21-5296-463C-B588-92305F33092D}">
      <dsp:nvSpPr>
        <dsp:cNvPr id="0" name=""/>
        <dsp:cNvSpPr/>
      </dsp:nvSpPr>
      <dsp:spPr>
        <a:xfrm>
          <a:off x="341471" y="0"/>
          <a:ext cx="3870007" cy="1087011"/>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CD47C12-DAE4-4A97-81C2-D11C6BF449EE}">
      <dsp:nvSpPr>
        <dsp:cNvPr id="0" name=""/>
        <dsp:cNvSpPr/>
      </dsp:nvSpPr>
      <dsp:spPr>
        <a:xfrm>
          <a:off x="0" y="332881"/>
          <a:ext cx="874797" cy="43480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Baseline interview</a:t>
          </a:r>
          <a:endParaRPr lang="en-AU" sz="700" kern="1200" dirty="0">
            <a:solidFill>
              <a:schemeClr val="tx1"/>
            </a:solidFill>
          </a:endParaRPr>
        </a:p>
      </dsp:txBody>
      <dsp:txXfrm>
        <a:off x="21225" y="354106"/>
        <a:ext cx="832347" cy="392354"/>
      </dsp:txXfrm>
    </dsp:sp>
    <dsp:sp modelId="{2A27395A-0207-485D-8E4F-594D95EDF468}">
      <dsp:nvSpPr>
        <dsp:cNvPr id="0" name=""/>
        <dsp:cNvSpPr/>
      </dsp:nvSpPr>
      <dsp:spPr>
        <a:xfrm>
          <a:off x="920538" y="326103"/>
          <a:ext cx="874797" cy="43480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Recieve training on radiotherapy follow-up and assessment</a:t>
          </a:r>
          <a:endParaRPr lang="en-AU" sz="700" kern="1200" dirty="0">
            <a:solidFill>
              <a:schemeClr val="tx1"/>
            </a:solidFill>
          </a:endParaRPr>
        </a:p>
      </dsp:txBody>
      <dsp:txXfrm>
        <a:off x="941763" y="347328"/>
        <a:ext cx="832347" cy="392354"/>
      </dsp:txXfrm>
    </dsp:sp>
    <dsp:sp modelId="{10A710E6-B2C2-4E23-9801-C84AED9FF7BB}">
      <dsp:nvSpPr>
        <dsp:cNvPr id="0" name=""/>
        <dsp:cNvSpPr/>
      </dsp:nvSpPr>
      <dsp:spPr>
        <a:xfrm>
          <a:off x="1839076" y="326103"/>
          <a:ext cx="874797" cy="43480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Conduct  follow-up assessment</a:t>
          </a:r>
          <a:endParaRPr lang="en-AU" sz="700" kern="1200" dirty="0">
            <a:solidFill>
              <a:schemeClr val="tx1"/>
            </a:solidFill>
          </a:endParaRPr>
        </a:p>
      </dsp:txBody>
      <dsp:txXfrm>
        <a:off x="1860301" y="347328"/>
        <a:ext cx="832347" cy="392354"/>
      </dsp:txXfrm>
    </dsp:sp>
    <dsp:sp modelId="{9B05D519-939C-4946-83B7-D1EA228BA90B}">
      <dsp:nvSpPr>
        <dsp:cNvPr id="0" name=""/>
        <dsp:cNvSpPr/>
      </dsp:nvSpPr>
      <dsp:spPr>
        <a:xfrm>
          <a:off x="2757613" y="326103"/>
          <a:ext cx="874797" cy="43480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Six months later, conduct follow-up assessment</a:t>
          </a:r>
          <a:endParaRPr lang="en-AU" sz="700" kern="1200" dirty="0">
            <a:solidFill>
              <a:schemeClr val="tx1"/>
            </a:solidFill>
          </a:endParaRPr>
        </a:p>
      </dsp:txBody>
      <dsp:txXfrm>
        <a:off x="2778838" y="347328"/>
        <a:ext cx="832347" cy="392354"/>
      </dsp:txXfrm>
    </dsp:sp>
    <dsp:sp modelId="{EBC0C836-32A5-4202-9623-BF6FA2693B90}">
      <dsp:nvSpPr>
        <dsp:cNvPr id="0" name=""/>
        <dsp:cNvSpPr/>
      </dsp:nvSpPr>
      <dsp:spPr>
        <a:xfrm>
          <a:off x="3665152" y="331268"/>
          <a:ext cx="874797" cy="43480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solidFill>
                <a:schemeClr val="tx1"/>
              </a:solidFill>
            </a:rPr>
            <a:t>Follow-up interview</a:t>
          </a:r>
          <a:endParaRPr lang="en-AU" sz="700" kern="1200" dirty="0">
            <a:solidFill>
              <a:schemeClr val="tx1"/>
            </a:solidFill>
          </a:endParaRPr>
        </a:p>
      </dsp:txBody>
      <dsp:txXfrm>
        <a:off x="3686377" y="352493"/>
        <a:ext cx="832347" cy="3923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1C9B-19D1-46D9-9B77-C937AF11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14980</Words>
  <Characters>85390</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PROTOCOL TITLE</vt:lpstr>
    </vt:vector>
  </TitlesOfParts>
  <Company>University of Wollongong</Company>
  <LinksUpToDate>false</LinksUpToDate>
  <CharactersWithSpaces>100170</CharactersWithSpaces>
  <SharedDoc>false</SharedDoc>
  <HLinks>
    <vt:vector size="192" baseType="variant">
      <vt:variant>
        <vt:i4>458853</vt:i4>
      </vt:variant>
      <vt:variant>
        <vt:i4>180</vt:i4>
      </vt:variant>
      <vt:variant>
        <vt:i4>0</vt:i4>
      </vt:variant>
      <vt:variant>
        <vt:i4>5</vt:i4>
      </vt:variant>
      <vt:variant>
        <vt:lpwstr>mailto:amiller@uow.edu.au</vt:lpwstr>
      </vt:variant>
      <vt:variant>
        <vt:lpwstr/>
      </vt:variant>
      <vt:variant>
        <vt:i4>6357005</vt:i4>
      </vt:variant>
      <vt:variant>
        <vt:i4>177</vt:i4>
      </vt:variant>
      <vt:variant>
        <vt:i4>0</vt:i4>
      </vt:variant>
      <vt:variant>
        <vt:i4>5</vt:i4>
      </vt:variant>
      <vt:variant>
        <vt:lpwstr>mailto:andrew.miller@health.nsw.gov.au</vt:lpwstr>
      </vt:variant>
      <vt:variant>
        <vt:lpwstr/>
      </vt:variant>
      <vt:variant>
        <vt:i4>4587556</vt:i4>
      </vt:variant>
      <vt:variant>
        <vt:i4>174</vt:i4>
      </vt:variant>
      <vt:variant>
        <vt:i4>0</vt:i4>
      </vt:variant>
      <vt:variant>
        <vt:i4>5</vt:i4>
      </vt:variant>
      <vt:variant>
        <vt:lpwstr>mailto:tiffany.sandell@health.nsw.gov.au</vt:lpwstr>
      </vt:variant>
      <vt:variant>
        <vt:lpwstr/>
      </vt:variant>
      <vt:variant>
        <vt:i4>7929939</vt:i4>
      </vt:variant>
      <vt:variant>
        <vt:i4>171</vt:i4>
      </vt:variant>
      <vt:variant>
        <vt:i4>0</vt:i4>
      </vt:variant>
      <vt:variant>
        <vt:i4>5</vt:i4>
      </vt:variant>
      <vt:variant>
        <vt:lpwstr>mailto:tem785@uowmail.edu.au</vt:lpwstr>
      </vt:variant>
      <vt:variant>
        <vt:lpwstr/>
      </vt:variant>
      <vt:variant>
        <vt:i4>5767219</vt:i4>
      </vt:variant>
      <vt:variant>
        <vt:i4>168</vt:i4>
      </vt:variant>
      <vt:variant>
        <vt:i4>0</vt:i4>
      </vt:variant>
      <vt:variant>
        <vt:i4>5</vt:i4>
      </vt:variant>
      <vt:variant>
        <vt:lpwstr>mailto:hschutze@uow.edu.au</vt:lpwstr>
      </vt:variant>
      <vt:variant>
        <vt:lpwstr/>
      </vt:variant>
      <vt:variant>
        <vt:i4>1769526</vt:i4>
      </vt:variant>
      <vt:variant>
        <vt:i4>161</vt:i4>
      </vt:variant>
      <vt:variant>
        <vt:i4>0</vt:i4>
      </vt:variant>
      <vt:variant>
        <vt:i4>5</vt:i4>
      </vt:variant>
      <vt:variant>
        <vt:lpwstr/>
      </vt:variant>
      <vt:variant>
        <vt:lpwstr>_Toc31193377</vt:lpwstr>
      </vt:variant>
      <vt:variant>
        <vt:i4>1703990</vt:i4>
      </vt:variant>
      <vt:variant>
        <vt:i4>155</vt:i4>
      </vt:variant>
      <vt:variant>
        <vt:i4>0</vt:i4>
      </vt:variant>
      <vt:variant>
        <vt:i4>5</vt:i4>
      </vt:variant>
      <vt:variant>
        <vt:lpwstr/>
      </vt:variant>
      <vt:variant>
        <vt:lpwstr>_Toc31193376</vt:lpwstr>
      </vt:variant>
      <vt:variant>
        <vt:i4>1638454</vt:i4>
      </vt:variant>
      <vt:variant>
        <vt:i4>149</vt:i4>
      </vt:variant>
      <vt:variant>
        <vt:i4>0</vt:i4>
      </vt:variant>
      <vt:variant>
        <vt:i4>5</vt:i4>
      </vt:variant>
      <vt:variant>
        <vt:lpwstr/>
      </vt:variant>
      <vt:variant>
        <vt:lpwstr>_Toc31193375</vt:lpwstr>
      </vt:variant>
      <vt:variant>
        <vt:i4>1572918</vt:i4>
      </vt:variant>
      <vt:variant>
        <vt:i4>143</vt:i4>
      </vt:variant>
      <vt:variant>
        <vt:i4>0</vt:i4>
      </vt:variant>
      <vt:variant>
        <vt:i4>5</vt:i4>
      </vt:variant>
      <vt:variant>
        <vt:lpwstr/>
      </vt:variant>
      <vt:variant>
        <vt:lpwstr>_Toc31193374</vt:lpwstr>
      </vt:variant>
      <vt:variant>
        <vt:i4>2031670</vt:i4>
      </vt:variant>
      <vt:variant>
        <vt:i4>137</vt:i4>
      </vt:variant>
      <vt:variant>
        <vt:i4>0</vt:i4>
      </vt:variant>
      <vt:variant>
        <vt:i4>5</vt:i4>
      </vt:variant>
      <vt:variant>
        <vt:lpwstr/>
      </vt:variant>
      <vt:variant>
        <vt:lpwstr>_Toc31193373</vt:lpwstr>
      </vt:variant>
      <vt:variant>
        <vt:i4>1966134</vt:i4>
      </vt:variant>
      <vt:variant>
        <vt:i4>131</vt:i4>
      </vt:variant>
      <vt:variant>
        <vt:i4>0</vt:i4>
      </vt:variant>
      <vt:variant>
        <vt:i4>5</vt:i4>
      </vt:variant>
      <vt:variant>
        <vt:lpwstr/>
      </vt:variant>
      <vt:variant>
        <vt:lpwstr>_Toc31193372</vt:lpwstr>
      </vt:variant>
      <vt:variant>
        <vt:i4>1900598</vt:i4>
      </vt:variant>
      <vt:variant>
        <vt:i4>125</vt:i4>
      </vt:variant>
      <vt:variant>
        <vt:i4>0</vt:i4>
      </vt:variant>
      <vt:variant>
        <vt:i4>5</vt:i4>
      </vt:variant>
      <vt:variant>
        <vt:lpwstr/>
      </vt:variant>
      <vt:variant>
        <vt:lpwstr>_Toc31193371</vt:lpwstr>
      </vt:variant>
      <vt:variant>
        <vt:i4>1835062</vt:i4>
      </vt:variant>
      <vt:variant>
        <vt:i4>119</vt:i4>
      </vt:variant>
      <vt:variant>
        <vt:i4>0</vt:i4>
      </vt:variant>
      <vt:variant>
        <vt:i4>5</vt:i4>
      </vt:variant>
      <vt:variant>
        <vt:lpwstr/>
      </vt:variant>
      <vt:variant>
        <vt:lpwstr>_Toc31193370</vt:lpwstr>
      </vt:variant>
      <vt:variant>
        <vt:i4>1376311</vt:i4>
      </vt:variant>
      <vt:variant>
        <vt:i4>113</vt:i4>
      </vt:variant>
      <vt:variant>
        <vt:i4>0</vt:i4>
      </vt:variant>
      <vt:variant>
        <vt:i4>5</vt:i4>
      </vt:variant>
      <vt:variant>
        <vt:lpwstr/>
      </vt:variant>
      <vt:variant>
        <vt:lpwstr>_Toc31193369</vt:lpwstr>
      </vt:variant>
      <vt:variant>
        <vt:i4>1310775</vt:i4>
      </vt:variant>
      <vt:variant>
        <vt:i4>107</vt:i4>
      </vt:variant>
      <vt:variant>
        <vt:i4>0</vt:i4>
      </vt:variant>
      <vt:variant>
        <vt:i4>5</vt:i4>
      </vt:variant>
      <vt:variant>
        <vt:lpwstr/>
      </vt:variant>
      <vt:variant>
        <vt:lpwstr>_Toc31193368</vt:lpwstr>
      </vt:variant>
      <vt:variant>
        <vt:i4>1769527</vt:i4>
      </vt:variant>
      <vt:variant>
        <vt:i4>101</vt:i4>
      </vt:variant>
      <vt:variant>
        <vt:i4>0</vt:i4>
      </vt:variant>
      <vt:variant>
        <vt:i4>5</vt:i4>
      </vt:variant>
      <vt:variant>
        <vt:lpwstr/>
      </vt:variant>
      <vt:variant>
        <vt:lpwstr>_Toc31193367</vt:lpwstr>
      </vt:variant>
      <vt:variant>
        <vt:i4>1703991</vt:i4>
      </vt:variant>
      <vt:variant>
        <vt:i4>95</vt:i4>
      </vt:variant>
      <vt:variant>
        <vt:i4>0</vt:i4>
      </vt:variant>
      <vt:variant>
        <vt:i4>5</vt:i4>
      </vt:variant>
      <vt:variant>
        <vt:lpwstr/>
      </vt:variant>
      <vt:variant>
        <vt:lpwstr>_Toc31193366</vt:lpwstr>
      </vt:variant>
      <vt:variant>
        <vt:i4>1638455</vt:i4>
      </vt:variant>
      <vt:variant>
        <vt:i4>89</vt:i4>
      </vt:variant>
      <vt:variant>
        <vt:i4>0</vt:i4>
      </vt:variant>
      <vt:variant>
        <vt:i4>5</vt:i4>
      </vt:variant>
      <vt:variant>
        <vt:lpwstr/>
      </vt:variant>
      <vt:variant>
        <vt:lpwstr>_Toc31193365</vt:lpwstr>
      </vt:variant>
      <vt:variant>
        <vt:i4>1572919</vt:i4>
      </vt:variant>
      <vt:variant>
        <vt:i4>83</vt:i4>
      </vt:variant>
      <vt:variant>
        <vt:i4>0</vt:i4>
      </vt:variant>
      <vt:variant>
        <vt:i4>5</vt:i4>
      </vt:variant>
      <vt:variant>
        <vt:lpwstr/>
      </vt:variant>
      <vt:variant>
        <vt:lpwstr>_Toc31193364</vt:lpwstr>
      </vt:variant>
      <vt:variant>
        <vt:i4>2031671</vt:i4>
      </vt:variant>
      <vt:variant>
        <vt:i4>77</vt:i4>
      </vt:variant>
      <vt:variant>
        <vt:i4>0</vt:i4>
      </vt:variant>
      <vt:variant>
        <vt:i4>5</vt:i4>
      </vt:variant>
      <vt:variant>
        <vt:lpwstr/>
      </vt:variant>
      <vt:variant>
        <vt:lpwstr>_Toc31193363</vt:lpwstr>
      </vt:variant>
      <vt:variant>
        <vt:i4>1966135</vt:i4>
      </vt:variant>
      <vt:variant>
        <vt:i4>71</vt:i4>
      </vt:variant>
      <vt:variant>
        <vt:i4>0</vt:i4>
      </vt:variant>
      <vt:variant>
        <vt:i4>5</vt:i4>
      </vt:variant>
      <vt:variant>
        <vt:lpwstr/>
      </vt:variant>
      <vt:variant>
        <vt:lpwstr>_Toc31193362</vt:lpwstr>
      </vt:variant>
      <vt:variant>
        <vt:i4>1900599</vt:i4>
      </vt:variant>
      <vt:variant>
        <vt:i4>65</vt:i4>
      </vt:variant>
      <vt:variant>
        <vt:i4>0</vt:i4>
      </vt:variant>
      <vt:variant>
        <vt:i4>5</vt:i4>
      </vt:variant>
      <vt:variant>
        <vt:lpwstr/>
      </vt:variant>
      <vt:variant>
        <vt:lpwstr>_Toc31193361</vt:lpwstr>
      </vt:variant>
      <vt:variant>
        <vt:i4>1835063</vt:i4>
      </vt:variant>
      <vt:variant>
        <vt:i4>59</vt:i4>
      </vt:variant>
      <vt:variant>
        <vt:i4>0</vt:i4>
      </vt:variant>
      <vt:variant>
        <vt:i4>5</vt:i4>
      </vt:variant>
      <vt:variant>
        <vt:lpwstr/>
      </vt:variant>
      <vt:variant>
        <vt:lpwstr>_Toc31193360</vt:lpwstr>
      </vt:variant>
      <vt:variant>
        <vt:i4>1376308</vt:i4>
      </vt:variant>
      <vt:variant>
        <vt:i4>53</vt:i4>
      </vt:variant>
      <vt:variant>
        <vt:i4>0</vt:i4>
      </vt:variant>
      <vt:variant>
        <vt:i4>5</vt:i4>
      </vt:variant>
      <vt:variant>
        <vt:lpwstr/>
      </vt:variant>
      <vt:variant>
        <vt:lpwstr>_Toc31193359</vt:lpwstr>
      </vt:variant>
      <vt:variant>
        <vt:i4>1310772</vt:i4>
      </vt:variant>
      <vt:variant>
        <vt:i4>47</vt:i4>
      </vt:variant>
      <vt:variant>
        <vt:i4>0</vt:i4>
      </vt:variant>
      <vt:variant>
        <vt:i4>5</vt:i4>
      </vt:variant>
      <vt:variant>
        <vt:lpwstr/>
      </vt:variant>
      <vt:variant>
        <vt:lpwstr>_Toc31193358</vt:lpwstr>
      </vt:variant>
      <vt:variant>
        <vt:i4>1769524</vt:i4>
      </vt:variant>
      <vt:variant>
        <vt:i4>41</vt:i4>
      </vt:variant>
      <vt:variant>
        <vt:i4>0</vt:i4>
      </vt:variant>
      <vt:variant>
        <vt:i4>5</vt:i4>
      </vt:variant>
      <vt:variant>
        <vt:lpwstr/>
      </vt:variant>
      <vt:variant>
        <vt:lpwstr>_Toc31193357</vt:lpwstr>
      </vt:variant>
      <vt:variant>
        <vt:i4>1703988</vt:i4>
      </vt:variant>
      <vt:variant>
        <vt:i4>35</vt:i4>
      </vt:variant>
      <vt:variant>
        <vt:i4>0</vt:i4>
      </vt:variant>
      <vt:variant>
        <vt:i4>5</vt:i4>
      </vt:variant>
      <vt:variant>
        <vt:lpwstr/>
      </vt:variant>
      <vt:variant>
        <vt:lpwstr>_Toc31193356</vt:lpwstr>
      </vt:variant>
      <vt:variant>
        <vt:i4>1638452</vt:i4>
      </vt:variant>
      <vt:variant>
        <vt:i4>29</vt:i4>
      </vt:variant>
      <vt:variant>
        <vt:i4>0</vt:i4>
      </vt:variant>
      <vt:variant>
        <vt:i4>5</vt:i4>
      </vt:variant>
      <vt:variant>
        <vt:lpwstr/>
      </vt:variant>
      <vt:variant>
        <vt:lpwstr>_Toc31193355</vt:lpwstr>
      </vt:variant>
      <vt:variant>
        <vt:i4>1572916</vt:i4>
      </vt:variant>
      <vt:variant>
        <vt:i4>23</vt:i4>
      </vt:variant>
      <vt:variant>
        <vt:i4>0</vt:i4>
      </vt:variant>
      <vt:variant>
        <vt:i4>5</vt:i4>
      </vt:variant>
      <vt:variant>
        <vt:lpwstr/>
      </vt:variant>
      <vt:variant>
        <vt:lpwstr>_Toc31193354</vt:lpwstr>
      </vt:variant>
      <vt:variant>
        <vt:i4>2031668</vt:i4>
      </vt:variant>
      <vt:variant>
        <vt:i4>17</vt:i4>
      </vt:variant>
      <vt:variant>
        <vt:i4>0</vt:i4>
      </vt:variant>
      <vt:variant>
        <vt:i4>5</vt:i4>
      </vt:variant>
      <vt:variant>
        <vt:lpwstr/>
      </vt:variant>
      <vt:variant>
        <vt:lpwstr>_Toc31193353</vt:lpwstr>
      </vt:variant>
      <vt:variant>
        <vt:i4>1966132</vt:i4>
      </vt:variant>
      <vt:variant>
        <vt:i4>11</vt:i4>
      </vt:variant>
      <vt:variant>
        <vt:i4>0</vt:i4>
      </vt:variant>
      <vt:variant>
        <vt:i4>5</vt:i4>
      </vt:variant>
      <vt:variant>
        <vt:lpwstr/>
      </vt:variant>
      <vt:variant>
        <vt:lpwstr>_Toc31193352</vt:lpwstr>
      </vt:variant>
      <vt:variant>
        <vt:i4>2228331</vt:i4>
      </vt:variant>
      <vt:variant>
        <vt:i4>0</vt:i4>
      </vt:variant>
      <vt:variant>
        <vt:i4>0</vt:i4>
      </vt:variant>
      <vt:variant>
        <vt:i4>5</vt:i4>
      </vt:variant>
      <vt:variant>
        <vt:lpwstr>https://www.google.com/url?sa=i&amp;rct=j&amp;q=&amp;esrc=s&amp;source=images&amp;cd=&amp;cad=rja&amp;uact=8&amp;ved=2ahUKEwiL0K-e-bfhAhVVFHIKHcdwCRgQjRx6BAgBEAU&amp;url=https%3A%2F%2Fwww.uow.edu.au%2Findex.html&amp;psig=AOvVaw0d43SElXdzLZYutmcTIelA&amp;ust=1554519143859665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TITLE</dc:title>
  <dc:subject/>
  <dc:creator>Tiffany Ellen Sandell</dc:creator>
  <cp:keywords/>
  <dc:description/>
  <cp:lastModifiedBy>Tiffany Sandell</cp:lastModifiedBy>
  <cp:revision>2</cp:revision>
  <cp:lastPrinted>2019-04-09T01:50:00Z</cp:lastPrinted>
  <dcterms:created xsi:type="dcterms:W3CDTF">2020-09-21T03:53:00Z</dcterms:created>
  <dcterms:modified xsi:type="dcterms:W3CDTF">2020-09-21T03:53:00Z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id="qdFMZuCI"/&gt;&lt;style id="http://www.zotero.org/styles/american-chemical-society" hasBibliography="1" bibliographyStyleHasBeenSet="1"/&gt;&lt;prefs&gt;&lt;pref name="fieldType" value="Field"/&gt;&lt;/prefs&gt;&lt;/data&gt;</vt:lpwstr>
  </property>
</Properties>
</file>