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DB54" w14:textId="75587C68" w:rsidR="007A4B75" w:rsidRPr="0043641E" w:rsidRDefault="007A4B75" w:rsidP="00A25028">
      <w:pPr>
        <w:numPr>
          <w:ilvl w:val="0"/>
          <w:numId w:val="10"/>
        </w:numPr>
        <w:rPr>
          <w:rFonts w:cs="Calibri"/>
        </w:rPr>
      </w:pPr>
      <w:r w:rsidRPr="0043641E">
        <w:rPr>
          <w:rFonts w:cs="Calibri"/>
          <w:b/>
        </w:rPr>
        <w:t xml:space="preserve">Project title </w:t>
      </w:r>
    </w:p>
    <w:p w14:paraId="5EA9989E" w14:textId="77777777" w:rsidR="0043641E" w:rsidRPr="0043641E" w:rsidRDefault="0043641E" w:rsidP="0043641E">
      <w:pPr>
        <w:rPr>
          <w:rFonts w:cs="Calibri"/>
        </w:rPr>
      </w:pPr>
    </w:p>
    <w:p w14:paraId="1566712C" w14:textId="44C2B994" w:rsidR="00F54025" w:rsidRDefault="0043521E" w:rsidP="00680EA0">
      <w:pPr>
        <w:rPr>
          <w:rFonts w:cs="Calibri"/>
        </w:rPr>
      </w:pPr>
      <w:proofErr w:type="spellStart"/>
      <w:r>
        <w:rPr>
          <w:rFonts w:cs="Calibri"/>
        </w:rPr>
        <w:t>PUnCQ</w:t>
      </w:r>
      <w:proofErr w:type="spellEnd"/>
      <w:r>
        <w:rPr>
          <w:rFonts w:cs="Calibri"/>
        </w:rPr>
        <w:t>; Pain</w:t>
      </w:r>
      <w:r w:rsidR="00450B97">
        <w:rPr>
          <w:rFonts w:cs="Calibri"/>
        </w:rPr>
        <w:t xml:space="preserve"> Understanding and Confidence in </w:t>
      </w:r>
      <w:r w:rsidR="0043641E">
        <w:rPr>
          <w:rFonts w:cs="Calibri"/>
        </w:rPr>
        <w:t xml:space="preserve">undergraduate </w:t>
      </w:r>
      <w:r w:rsidR="00D621DF">
        <w:rPr>
          <w:rFonts w:cs="Calibri"/>
        </w:rPr>
        <w:t>Healthcare Professional</w:t>
      </w:r>
      <w:r w:rsidR="00D621DF" w:rsidRPr="00680EA0">
        <w:rPr>
          <w:rFonts w:cs="Calibri"/>
        </w:rPr>
        <w:t xml:space="preserve"> Students </w:t>
      </w:r>
      <w:r w:rsidR="00A25028">
        <w:rPr>
          <w:rFonts w:cs="Calibri"/>
        </w:rPr>
        <w:t xml:space="preserve">and General Practitioners </w:t>
      </w:r>
      <w:r w:rsidR="0043641E">
        <w:rPr>
          <w:rFonts w:cs="Calibri"/>
        </w:rPr>
        <w:t xml:space="preserve">in Australia. </w:t>
      </w:r>
    </w:p>
    <w:p w14:paraId="0E99CA54" w14:textId="77777777" w:rsidR="00F54025" w:rsidRDefault="00F54025" w:rsidP="00680EA0">
      <w:pPr>
        <w:rPr>
          <w:rFonts w:cs="Calibri"/>
        </w:rPr>
      </w:pPr>
    </w:p>
    <w:p w14:paraId="3D00E6B4" w14:textId="2247007C" w:rsidR="00680EA0" w:rsidRPr="00680EA0" w:rsidRDefault="0043641E" w:rsidP="00680EA0">
      <w:pPr>
        <w:rPr>
          <w:rFonts w:cs="Calibri"/>
        </w:rPr>
      </w:pPr>
      <w:r>
        <w:rPr>
          <w:rFonts w:cs="Calibri"/>
        </w:rPr>
        <w:t xml:space="preserve">Dr Stephen Gilbert, North </w:t>
      </w:r>
      <w:r w:rsidR="00F54025">
        <w:rPr>
          <w:rFonts w:cs="Calibri"/>
        </w:rPr>
        <w:t>Queensland</w:t>
      </w:r>
      <w:r>
        <w:rPr>
          <w:rFonts w:cs="Calibri"/>
        </w:rPr>
        <w:t xml:space="preserve"> Persistent Pain Management </w:t>
      </w:r>
      <w:r w:rsidR="00F54025">
        <w:rPr>
          <w:rFonts w:cs="Calibri"/>
        </w:rPr>
        <w:t>Service.</w:t>
      </w:r>
      <w:r>
        <w:rPr>
          <w:rFonts w:cs="Calibri"/>
        </w:rPr>
        <w:t xml:space="preserve"> </w:t>
      </w:r>
    </w:p>
    <w:p w14:paraId="669F6247" w14:textId="77777777" w:rsidR="007A4B75" w:rsidRPr="00C67F50" w:rsidRDefault="007A4B75" w:rsidP="007A4B75">
      <w:pPr>
        <w:rPr>
          <w:rFonts w:cs="Calibri"/>
        </w:rPr>
      </w:pPr>
    </w:p>
    <w:p w14:paraId="4D9F3DAB" w14:textId="7ECDE8E0" w:rsidR="007A4B75" w:rsidRDefault="007A4B75" w:rsidP="007A4B75">
      <w:pPr>
        <w:numPr>
          <w:ilvl w:val="0"/>
          <w:numId w:val="10"/>
        </w:numPr>
        <w:rPr>
          <w:rFonts w:cs="Calibri"/>
          <w:b/>
        </w:rPr>
      </w:pPr>
      <w:r w:rsidRPr="00C67F50">
        <w:rPr>
          <w:rFonts w:cs="Calibri"/>
          <w:b/>
        </w:rPr>
        <w:t>Background information.</w:t>
      </w:r>
    </w:p>
    <w:p w14:paraId="3C6BCF03" w14:textId="77777777" w:rsidR="00BB1EC4" w:rsidRPr="00BB1EC4" w:rsidRDefault="00BB1EC4" w:rsidP="00BB1EC4">
      <w:pPr>
        <w:rPr>
          <w:rFonts w:cs="Calibri"/>
          <w:b/>
        </w:rPr>
      </w:pPr>
    </w:p>
    <w:p w14:paraId="36673BF7" w14:textId="4397BC1F" w:rsidR="00BB1EC4" w:rsidRDefault="00BB1EC4" w:rsidP="00BB1EC4">
      <w:r>
        <w:t xml:space="preserve">In </w:t>
      </w:r>
      <w:r w:rsidR="0044189B">
        <w:t>Australia</w:t>
      </w:r>
      <w:r>
        <w:t xml:space="preserve">, approximately one </w:t>
      </w:r>
      <w:r w:rsidR="0044189B">
        <w:t xml:space="preserve">in five </w:t>
      </w:r>
      <w:r>
        <w:t>of the general population experiences chronic pain. Pain is a complex condition to manage; it can have a major impact on individuals and their families and exerts a major burden on healthcare and on society as a whole. It is essential, on both a humanitarian and clinical effectiveness level that healthcare professionals are provided with the education required to assess and manage pain in the patients they care for (IASP 2004).</w:t>
      </w:r>
    </w:p>
    <w:p w14:paraId="31744467" w14:textId="77777777" w:rsidR="00BB1EC4" w:rsidRDefault="00BB1EC4" w:rsidP="00BB1EC4"/>
    <w:p w14:paraId="5470FCCE" w14:textId="18862E3E" w:rsidR="00BB1EC4" w:rsidRDefault="00BB1EC4" w:rsidP="00BB1EC4">
      <w:r>
        <w:t xml:space="preserve">Recent large-scale surveys have clearly identified inadequate education, as well as inappropriate attitudes and beliefs of staff, to be a significant contributing factor in the ‘woeful inadequacies’ of pain management, both internationally (Bond et al 2007) and in the curricula of healthcare professionals in </w:t>
      </w:r>
      <w:r w:rsidR="0044189B">
        <w:t xml:space="preserve">Australia and New Zealand </w:t>
      </w:r>
      <w:sdt>
        <w:sdtPr>
          <w:id w:val="273220799"/>
          <w:citation/>
        </w:sdtPr>
        <w:sdtEndPr/>
        <w:sdtContent>
          <w:r w:rsidR="0044189B">
            <w:fldChar w:fldCharType="begin"/>
          </w:r>
          <w:r w:rsidR="0044189B">
            <w:rPr>
              <w:lang w:val="en-AU"/>
            </w:rPr>
            <w:instrText xml:space="preserve">CITATION Shi18 \l 3081 </w:instrText>
          </w:r>
          <w:r w:rsidR="0044189B">
            <w:fldChar w:fldCharType="separate"/>
          </w:r>
          <w:r w:rsidR="0044189B" w:rsidRPr="0044189B">
            <w:rPr>
              <w:noProof/>
              <w:lang w:val="en-AU"/>
            </w:rPr>
            <w:t>(Shipton E, 2018)</w:t>
          </w:r>
          <w:r w:rsidR="0044189B">
            <w:fldChar w:fldCharType="end"/>
          </w:r>
        </w:sdtContent>
      </w:sdt>
      <w:r w:rsidR="0044189B">
        <w:t xml:space="preserve">, </w:t>
      </w:r>
      <w:r>
        <w:t xml:space="preserve">the UK (Briggs et al 2011) and across Europe (APPEAL, Pain Europe 2013; Briggs et al 2015). </w:t>
      </w:r>
    </w:p>
    <w:p w14:paraId="18539BA6" w14:textId="77777777" w:rsidR="00BB1EC4" w:rsidRDefault="00BB1EC4" w:rsidP="00BB1EC4"/>
    <w:p w14:paraId="3014958A" w14:textId="77777777" w:rsidR="00A25028" w:rsidRDefault="00E03F5D" w:rsidP="00BB1EC4">
      <w:r>
        <w:t>In Australia and New Zealand</w:t>
      </w:r>
      <w:r w:rsidR="00BB1EC4">
        <w:t xml:space="preserve">, a survey of </w:t>
      </w:r>
      <w:r>
        <w:t>all 23</w:t>
      </w:r>
      <w:r w:rsidR="00BB1EC4">
        <w:t xml:space="preserve"> higher education institutions providing </w:t>
      </w:r>
      <w:r>
        <w:t>medical student</w:t>
      </w:r>
      <w:r w:rsidR="00BB1EC4">
        <w:t xml:space="preserve"> education </w:t>
      </w:r>
      <w:r>
        <w:t>f</w:t>
      </w:r>
      <w:r w:rsidR="00BB1EC4">
        <w:t xml:space="preserve">ound that education on pain in many current undergraduate courses comprised </w:t>
      </w:r>
      <w:r>
        <w:t>only 20 hours on average of the</w:t>
      </w:r>
      <w:r w:rsidR="00BB1EC4">
        <w:t xml:space="preserve"> overall curriculum</w:t>
      </w:r>
      <w:r>
        <w:t xml:space="preserve"> </w:t>
      </w:r>
      <w:sdt>
        <w:sdtPr>
          <w:id w:val="1450670145"/>
          <w:citation/>
        </w:sdtPr>
        <w:sdtEndPr/>
        <w:sdtContent>
          <w:r>
            <w:fldChar w:fldCharType="begin"/>
          </w:r>
          <w:r>
            <w:rPr>
              <w:lang w:val="en-AU"/>
            </w:rPr>
            <w:instrText xml:space="preserve"> CITATION Shi18 \l 3081 </w:instrText>
          </w:r>
          <w:r>
            <w:fldChar w:fldCharType="separate"/>
          </w:r>
          <w:r w:rsidRPr="00E03F5D">
            <w:rPr>
              <w:noProof/>
              <w:lang w:val="en-AU"/>
            </w:rPr>
            <w:t>(Shipton E, 2018)</w:t>
          </w:r>
          <w:r>
            <w:fldChar w:fldCharType="end"/>
          </w:r>
        </w:sdtContent>
      </w:sdt>
      <w:r w:rsidR="00BB1EC4">
        <w:t xml:space="preserve">. The survey also found that teaching on pain is often delivered piecemeal as part of other topics and is rarely taught as a discrete element, with wide variations in the pain content of the curriculum between different institutions. </w:t>
      </w:r>
      <w:r w:rsidRPr="00E03F5D">
        <w:t>Specific learning objectives for pain medicine were not identified by 42% of medical schools.</w:t>
      </w:r>
      <w:r>
        <w:t xml:space="preserve"> </w:t>
      </w:r>
      <w:r w:rsidR="00BB1EC4">
        <w:t>Treatment of pain requires a multidisciplinary approach but the evidence suggests that undergraduates learn about pain management in a fragmented manner, often in isolation from other professional groups.</w:t>
      </w:r>
    </w:p>
    <w:p w14:paraId="6381ABBC" w14:textId="77777777" w:rsidR="00A25028" w:rsidRDefault="00BB1EC4" w:rsidP="00A25028">
      <w:r>
        <w:t xml:space="preserve"> </w:t>
      </w:r>
      <w:r w:rsidR="00A25028">
        <w:t xml:space="preserve">A questionnaire survey of GP’s in Tasmania found barriers to management of persistent pain management, principally, patient expectations, lack of access to allied health and specialist pain services and worries about drug side effects or abuse </w:t>
      </w:r>
      <w:sdt>
        <w:sdtPr>
          <w:id w:val="1046718908"/>
          <w:citation/>
        </w:sdtPr>
        <w:sdtEndPr/>
        <w:sdtContent>
          <w:r w:rsidR="00A25028">
            <w:fldChar w:fldCharType="begin"/>
          </w:r>
          <w:r w:rsidR="00A25028">
            <w:rPr>
              <w:lang w:val="en-AU"/>
            </w:rPr>
            <w:instrText xml:space="preserve">CITATION Vea17 \l 3081 </w:instrText>
          </w:r>
          <w:r w:rsidR="00A25028">
            <w:fldChar w:fldCharType="separate"/>
          </w:r>
          <w:r w:rsidR="00A25028" w:rsidRPr="00B31D5C">
            <w:rPr>
              <w:noProof/>
              <w:lang w:val="en-AU"/>
            </w:rPr>
            <w:t>(Veal, et al., 2017)</w:t>
          </w:r>
          <w:r w:rsidR="00A25028">
            <w:fldChar w:fldCharType="end"/>
          </w:r>
        </w:sdtContent>
      </w:sdt>
      <w:r w:rsidR="00A25028">
        <w:t>.</w:t>
      </w:r>
    </w:p>
    <w:p w14:paraId="366951AB" w14:textId="77777777" w:rsidR="00BB1EC4" w:rsidRDefault="00BB1EC4" w:rsidP="00BB1EC4"/>
    <w:p w14:paraId="016EE2C5" w14:textId="6E89D9B9" w:rsidR="00BB1EC4" w:rsidRPr="008704C8" w:rsidRDefault="00BB1EC4" w:rsidP="00BB1EC4">
      <w:r w:rsidRPr="008704C8">
        <w:t xml:space="preserve">Recent piloting of a newly-developed questionnaire that assesses pain knowledge, understanding and confidence in healthcare profession students has identified deficiencies and differences across groups of final year pre-registration medical and physiotherapy students in Scotland in terms of knowledge and understanding but common theme of decreased confidence (Seenan et al 2017). </w:t>
      </w:r>
      <w:r w:rsidR="00B76372">
        <w:t xml:space="preserve">85% of respondents said they would like more </w:t>
      </w:r>
      <w:r w:rsidR="00EA4731">
        <w:t>education on pain management in their undergraduate course.</w:t>
      </w:r>
    </w:p>
    <w:p w14:paraId="15FE4449" w14:textId="77777777" w:rsidR="00BB1EC4" w:rsidRPr="008704C8" w:rsidRDefault="00BB1EC4" w:rsidP="00BB1EC4"/>
    <w:p w14:paraId="568E5825" w14:textId="59CAE94C" w:rsidR="00BB1EC4" w:rsidRPr="008704C8" w:rsidRDefault="00BB1EC4" w:rsidP="00BB1EC4">
      <w:r w:rsidRPr="008704C8">
        <w:t xml:space="preserve">There is therefore evidence to suggest that pain education and pain management is unsatisfactory, </w:t>
      </w:r>
      <w:r w:rsidR="00637777">
        <w:t xml:space="preserve">in </w:t>
      </w:r>
      <w:r w:rsidRPr="008704C8">
        <w:t xml:space="preserve">the UK. </w:t>
      </w:r>
      <w:r w:rsidR="00E03F5D">
        <w:t>I wish to repeat this study in Australia</w:t>
      </w:r>
      <w:r w:rsidR="00A25028">
        <w:t>, looking at the knowledge, confidence and attitudes of General Practitioners</w:t>
      </w:r>
      <w:r w:rsidR="00E03F5D">
        <w:t>.</w:t>
      </w:r>
    </w:p>
    <w:p w14:paraId="2CBA4895" w14:textId="77777777" w:rsidR="00BB1EC4" w:rsidRPr="008704C8" w:rsidRDefault="00BB1EC4" w:rsidP="00BB1EC4">
      <w:pPr>
        <w:rPr>
          <w:rFonts w:cs="Calibri"/>
        </w:rPr>
      </w:pPr>
    </w:p>
    <w:p w14:paraId="78ADE804" w14:textId="3C71CA2B" w:rsidR="00BB1EC4" w:rsidRDefault="00BB1EC4" w:rsidP="00BB1EC4">
      <w:pPr>
        <w:rPr>
          <w:rFonts w:cs="Calibri"/>
        </w:rPr>
      </w:pPr>
      <w:r w:rsidRPr="008704C8">
        <w:rPr>
          <w:rFonts w:cs="Calibri"/>
        </w:rPr>
        <w:t xml:space="preserve">Multidisciplinary rehabilitation is recognised to reduce pain and improve function in patients with pain (Guzman et al 2001; SIGN 2013). However, some health care professionals with negative views about pain or who have high levels of fear avoidance beliefs are more likely to consider sick leave and avoidance of activities to be appropriate interventions (Bishop et al 2008; Linton et al 2002), which is contrary to best practice. </w:t>
      </w:r>
      <w:r w:rsidR="00781E42">
        <w:rPr>
          <w:rFonts w:cs="Calibri"/>
        </w:rPr>
        <w:t xml:space="preserve">In addition there can tend to be a focus on managing pain with  </w:t>
      </w:r>
      <w:r w:rsidR="00781E42">
        <w:rPr>
          <w:rFonts w:cs="Calibri"/>
        </w:rPr>
        <w:lastRenderedPageBreak/>
        <w:t xml:space="preserve">medication </w:t>
      </w:r>
      <w:r w:rsidR="00303DF1">
        <w:rPr>
          <w:rFonts w:cs="Calibri"/>
        </w:rPr>
        <w:t>as a first line treatment</w:t>
      </w:r>
      <w:r w:rsidR="00781E42">
        <w:rPr>
          <w:rFonts w:cs="Calibri"/>
        </w:rPr>
        <w:t xml:space="preserve">, which has led to increasing concern about levels of prescribing of opioids </w:t>
      </w:r>
      <w:sdt>
        <w:sdtPr>
          <w:rPr>
            <w:rFonts w:cs="Calibri"/>
          </w:rPr>
          <w:id w:val="-524097992"/>
          <w:citation/>
        </w:sdtPr>
        <w:sdtEndPr/>
        <w:sdtContent>
          <w:r w:rsidR="00781E42">
            <w:rPr>
              <w:rFonts w:cs="Calibri"/>
            </w:rPr>
            <w:fldChar w:fldCharType="begin"/>
          </w:r>
          <w:r w:rsidR="00781E42">
            <w:rPr>
              <w:rFonts w:cs="Calibri"/>
              <w:lang w:val="en-AU"/>
            </w:rPr>
            <w:instrText xml:space="preserve"> CITATION Cla18 \l 3081 </w:instrText>
          </w:r>
          <w:r w:rsidR="00781E42">
            <w:rPr>
              <w:rFonts w:cs="Calibri"/>
            </w:rPr>
            <w:fldChar w:fldCharType="separate"/>
          </w:r>
          <w:r w:rsidR="00781E42" w:rsidRPr="00781E42">
            <w:rPr>
              <w:rFonts w:cs="Calibri"/>
              <w:noProof/>
              <w:lang w:val="en-AU"/>
            </w:rPr>
            <w:t>(Clark S, 2018)</w:t>
          </w:r>
          <w:r w:rsidR="00781E42">
            <w:rPr>
              <w:rFonts w:cs="Calibri"/>
            </w:rPr>
            <w:fldChar w:fldCharType="end"/>
          </w:r>
        </w:sdtContent>
      </w:sdt>
      <w:sdt>
        <w:sdtPr>
          <w:rPr>
            <w:rFonts w:cs="Calibri"/>
          </w:rPr>
          <w:id w:val="375598773"/>
          <w:citation/>
        </w:sdtPr>
        <w:sdtEndPr/>
        <w:sdtContent>
          <w:r w:rsidR="00781E42">
            <w:rPr>
              <w:rFonts w:cs="Calibri"/>
            </w:rPr>
            <w:fldChar w:fldCharType="begin"/>
          </w:r>
          <w:r w:rsidR="00781E42">
            <w:rPr>
              <w:rFonts w:cs="Calibri"/>
              <w:lang w:val="en-AU"/>
            </w:rPr>
            <w:instrText xml:space="preserve">CITATION Don19 \l 3081 </w:instrText>
          </w:r>
          <w:r w:rsidR="00781E42">
            <w:rPr>
              <w:rFonts w:cs="Calibri"/>
            </w:rPr>
            <w:fldChar w:fldCharType="separate"/>
          </w:r>
          <w:r w:rsidR="00781E42">
            <w:rPr>
              <w:rFonts w:cs="Calibri"/>
              <w:noProof/>
              <w:lang w:val="en-AU"/>
            </w:rPr>
            <w:t xml:space="preserve"> </w:t>
          </w:r>
          <w:r w:rsidR="00781E42" w:rsidRPr="00781E42">
            <w:rPr>
              <w:rFonts w:cs="Calibri"/>
              <w:noProof/>
              <w:lang w:val="en-AU"/>
            </w:rPr>
            <w:t>(Donovan PJ, 2019)</w:t>
          </w:r>
          <w:r w:rsidR="00781E42">
            <w:rPr>
              <w:rFonts w:cs="Calibri"/>
            </w:rPr>
            <w:fldChar w:fldCharType="end"/>
          </w:r>
        </w:sdtContent>
      </w:sdt>
      <w:r w:rsidR="00781E42">
        <w:rPr>
          <w:rFonts w:cs="Calibri"/>
        </w:rPr>
        <w:t>.</w:t>
      </w:r>
    </w:p>
    <w:p w14:paraId="2DD86E8E" w14:textId="77777777" w:rsidR="00BB1EC4" w:rsidRDefault="00BB1EC4" w:rsidP="00BB1EC4"/>
    <w:p w14:paraId="1151A3E8" w14:textId="39ED5FE1" w:rsidR="007A4B75" w:rsidRDefault="00376019" w:rsidP="007A4B75">
      <w:pPr>
        <w:rPr>
          <w:rFonts w:cs="Calibri"/>
        </w:rPr>
      </w:pPr>
      <w:r w:rsidRPr="00376019">
        <w:rPr>
          <w:rFonts w:cs="Calibri"/>
        </w:rPr>
        <w:t xml:space="preserve">Little is known about the understanding </w:t>
      </w:r>
      <w:r w:rsidR="008704C8">
        <w:rPr>
          <w:rFonts w:cs="Calibri"/>
        </w:rPr>
        <w:t>and</w:t>
      </w:r>
      <w:r w:rsidRPr="00376019">
        <w:rPr>
          <w:rFonts w:cs="Calibri"/>
        </w:rPr>
        <w:t xml:space="preserve"> attitudes of</w:t>
      </w:r>
      <w:r w:rsidR="008704C8">
        <w:rPr>
          <w:rFonts w:cs="Calibri"/>
        </w:rPr>
        <w:t xml:space="preserve"> healthcare profession</w:t>
      </w:r>
      <w:r w:rsidRPr="00376019">
        <w:rPr>
          <w:rFonts w:cs="Calibri"/>
        </w:rPr>
        <w:t xml:space="preserve"> students </w:t>
      </w:r>
      <w:r w:rsidR="00A25028">
        <w:rPr>
          <w:rFonts w:cs="Calibri"/>
        </w:rPr>
        <w:t xml:space="preserve">and GPs </w:t>
      </w:r>
      <w:r w:rsidRPr="00376019">
        <w:rPr>
          <w:rFonts w:cs="Calibri"/>
        </w:rPr>
        <w:t>to chronic pain</w:t>
      </w:r>
      <w:r w:rsidR="004C37D6">
        <w:rPr>
          <w:rFonts w:cs="Calibri"/>
        </w:rPr>
        <w:t>.</w:t>
      </w:r>
    </w:p>
    <w:p w14:paraId="688A0883" w14:textId="77777777" w:rsidR="004C37D6" w:rsidRPr="00C67F50" w:rsidRDefault="004C37D6" w:rsidP="007A4B75">
      <w:pPr>
        <w:rPr>
          <w:rFonts w:cs="Calibri"/>
        </w:rPr>
      </w:pPr>
    </w:p>
    <w:p w14:paraId="0409BF8B" w14:textId="77777777" w:rsidR="007A4B75" w:rsidRPr="00C67F50" w:rsidRDefault="007A4B75" w:rsidP="007A4B75">
      <w:pPr>
        <w:numPr>
          <w:ilvl w:val="0"/>
          <w:numId w:val="10"/>
        </w:numPr>
        <w:rPr>
          <w:rFonts w:cs="Calibri"/>
          <w:b/>
          <w:bCs/>
          <w:color w:val="1F497D"/>
        </w:rPr>
      </w:pPr>
      <w:r w:rsidRPr="00C67F50">
        <w:rPr>
          <w:rFonts w:cs="Calibri"/>
          <w:b/>
        </w:rPr>
        <w:t>Aims and objectives of the study.</w:t>
      </w:r>
    </w:p>
    <w:p w14:paraId="0505FD2F" w14:textId="77777777" w:rsidR="004709B7" w:rsidRPr="00C67F50" w:rsidRDefault="004709B7" w:rsidP="004709B7">
      <w:pPr>
        <w:rPr>
          <w:rFonts w:cs="Calibri"/>
        </w:rPr>
      </w:pPr>
    </w:p>
    <w:p w14:paraId="1F83CE27" w14:textId="77777777" w:rsidR="00977E5B" w:rsidRDefault="004709B7" w:rsidP="004709B7">
      <w:pPr>
        <w:rPr>
          <w:rFonts w:cs="Calibri"/>
        </w:rPr>
      </w:pPr>
      <w:r w:rsidRPr="00C67F50">
        <w:rPr>
          <w:rFonts w:cs="Calibri"/>
        </w:rPr>
        <w:t>The aim</w:t>
      </w:r>
      <w:r w:rsidR="00977E5B">
        <w:rPr>
          <w:rFonts w:cs="Calibri"/>
        </w:rPr>
        <w:t>s</w:t>
      </w:r>
      <w:r w:rsidRPr="00C67F50">
        <w:rPr>
          <w:rFonts w:cs="Calibri"/>
        </w:rPr>
        <w:t xml:space="preserve"> of this project </w:t>
      </w:r>
      <w:r w:rsidR="00977E5B">
        <w:rPr>
          <w:rFonts w:cs="Calibri"/>
        </w:rPr>
        <w:t xml:space="preserve">are: </w:t>
      </w:r>
    </w:p>
    <w:p w14:paraId="7305325E" w14:textId="3D50F3F8" w:rsidR="00977E5B" w:rsidRDefault="00977E5B" w:rsidP="00977E5B">
      <w:pPr>
        <w:pStyle w:val="ListParagraph"/>
        <w:numPr>
          <w:ilvl w:val="0"/>
          <w:numId w:val="15"/>
        </w:numPr>
        <w:rPr>
          <w:rFonts w:cs="Calibri"/>
        </w:rPr>
      </w:pPr>
      <w:r>
        <w:rPr>
          <w:rFonts w:cs="Calibri"/>
        </w:rPr>
        <w:t xml:space="preserve">Investigate the attitudes and beliefs of healthcare professional students </w:t>
      </w:r>
      <w:r w:rsidR="00A25028">
        <w:rPr>
          <w:rFonts w:cs="Calibri"/>
        </w:rPr>
        <w:t xml:space="preserve">and GPs </w:t>
      </w:r>
      <w:r>
        <w:rPr>
          <w:rFonts w:cs="Calibri"/>
        </w:rPr>
        <w:t>towards chronic pain</w:t>
      </w:r>
      <w:r w:rsidR="00E03F5D">
        <w:rPr>
          <w:rFonts w:cs="Calibri"/>
        </w:rPr>
        <w:t>.</w:t>
      </w:r>
    </w:p>
    <w:p w14:paraId="5DA1E872" w14:textId="1E1400E1" w:rsidR="00977E5B" w:rsidRDefault="00977E5B" w:rsidP="00977E5B">
      <w:pPr>
        <w:pStyle w:val="ListParagraph"/>
        <w:numPr>
          <w:ilvl w:val="0"/>
          <w:numId w:val="15"/>
        </w:numPr>
        <w:rPr>
          <w:rFonts w:cs="Calibri"/>
        </w:rPr>
      </w:pPr>
      <w:r>
        <w:rPr>
          <w:rFonts w:cs="Calibri"/>
        </w:rPr>
        <w:t xml:space="preserve">To compare the attitudes and beliefs of healthcare students with each other </w:t>
      </w:r>
      <w:r w:rsidR="00E03F5D">
        <w:rPr>
          <w:rFonts w:cs="Calibri"/>
        </w:rPr>
        <w:t xml:space="preserve">and </w:t>
      </w:r>
      <w:r>
        <w:rPr>
          <w:rFonts w:cs="Calibri"/>
        </w:rPr>
        <w:t>across Higher Education Institutions</w:t>
      </w:r>
      <w:r w:rsidR="00E03F5D">
        <w:rPr>
          <w:rFonts w:cs="Calibri"/>
        </w:rPr>
        <w:t>.</w:t>
      </w:r>
      <w:r>
        <w:rPr>
          <w:rFonts w:cs="Calibri"/>
        </w:rPr>
        <w:t xml:space="preserve"> </w:t>
      </w:r>
    </w:p>
    <w:p w14:paraId="00726A78" w14:textId="5B906466" w:rsidR="00A25028" w:rsidRPr="00A25028" w:rsidRDefault="00A25028" w:rsidP="00A25028">
      <w:pPr>
        <w:pStyle w:val="ListParagraph"/>
        <w:numPr>
          <w:ilvl w:val="0"/>
          <w:numId w:val="15"/>
        </w:numPr>
        <w:rPr>
          <w:rFonts w:cs="Calibri"/>
        </w:rPr>
      </w:pPr>
      <w:r>
        <w:rPr>
          <w:rFonts w:cs="Calibri"/>
        </w:rPr>
        <w:t xml:space="preserve">To compare the attitudes and beliefs of general practitioners with each other and across length and location of practice and Higher Education Institution attended. </w:t>
      </w:r>
    </w:p>
    <w:p w14:paraId="7F9162CE" w14:textId="77777777" w:rsidR="004709B7" w:rsidRPr="00C67F50" w:rsidRDefault="004709B7" w:rsidP="004709B7">
      <w:pPr>
        <w:rPr>
          <w:rFonts w:cs="Calibri"/>
          <w:bCs/>
          <w:color w:val="1F497D"/>
        </w:rPr>
      </w:pPr>
    </w:p>
    <w:p w14:paraId="07887BBD" w14:textId="77777777" w:rsidR="007A4B75" w:rsidRPr="00C67F50" w:rsidRDefault="007A4B75" w:rsidP="007A4B75">
      <w:pPr>
        <w:numPr>
          <w:ilvl w:val="0"/>
          <w:numId w:val="10"/>
        </w:numPr>
        <w:rPr>
          <w:rFonts w:cs="Calibri"/>
          <w:b/>
        </w:rPr>
      </w:pPr>
      <w:r w:rsidRPr="00C67F50">
        <w:rPr>
          <w:rFonts w:cs="Calibri"/>
          <w:b/>
        </w:rPr>
        <w:t>Brief description of participants and recruitment methods (sample, numbers, access, recruitment and inclusion and exclusion criteria)</w:t>
      </w:r>
    </w:p>
    <w:p w14:paraId="19FFC1BA" w14:textId="77777777" w:rsidR="004709B7" w:rsidRPr="00C67F50" w:rsidRDefault="004709B7" w:rsidP="004709B7">
      <w:pPr>
        <w:rPr>
          <w:rFonts w:cs="Calibri"/>
        </w:rPr>
      </w:pPr>
    </w:p>
    <w:p w14:paraId="03B7BBAA" w14:textId="77777777" w:rsidR="004709B7" w:rsidRPr="00C67F50" w:rsidRDefault="004709B7" w:rsidP="004709B7">
      <w:pPr>
        <w:rPr>
          <w:rFonts w:cs="Calibri"/>
        </w:rPr>
      </w:pPr>
      <w:r w:rsidRPr="00C67F50">
        <w:rPr>
          <w:rFonts w:cs="Calibri"/>
        </w:rPr>
        <w:t xml:space="preserve">Participants: </w:t>
      </w:r>
    </w:p>
    <w:p w14:paraId="3AA719FD" w14:textId="0D20D852" w:rsidR="004709B7" w:rsidRPr="00C67F50" w:rsidRDefault="00977E5B" w:rsidP="004709B7">
      <w:pPr>
        <w:rPr>
          <w:rFonts w:cs="Calibri"/>
        </w:rPr>
      </w:pPr>
      <w:r>
        <w:rPr>
          <w:rFonts w:cs="Calibri"/>
        </w:rPr>
        <w:t xml:space="preserve">All </w:t>
      </w:r>
      <w:r w:rsidR="004709B7" w:rsidRPr="00C67F50">
        <w:rPr>
          <w:rFonts w:cs="Calibri"/>
        </w:rPr>
        <w:t>pre-regis</w:t>
      </w:r>
      <w:r w:rsidR="003C756F">
        <w:rPr>
          <w:rFonts w:cs="Calibri"/>
        </w:rPr>
        <w:t>tration healthcare profession students</w:t>
      </w:r>
      <w:r w:rsidR="00047BBC">
        <w:rPr>
          <w:rFonts w:cs="Calibri"/>
        </w:rPr>
        <w:t xml:space="preserve"> </w:t>
      </w:r>
      <w:r>
        <w:rPr>
          <w:rFonts w:cs="Calibri"/>
        </w:rPr>
        <w:t xml:space="preserve">at </w:t>
      </w:r>
      <w:r w:rsidR="00E03F5D">
        <w:rPr>
          <w:rFonts w:cs="Calibri"/>
        </w:rPr>
        <w:t>Australian Universities</w:t>
      </w:r>
      <w:r w:rsidR="004709B7" w:rsidRPr="00C67F50">
        <w:rPr>
          <w:rFonts w:cs="Calibri"/>
        </w:rPr>
        <w:t xml:space="preserve">. All </w:t>
      </w:r>
      <w:r>
        <w:rPr>
          <w:rFonts w:cs="Calibri"/>
        </w:rPr>
        <w:t>students</w:t>
      </w:r>
      <w:r w:rsidR="004709B7" w:rsidRPr="00C67F50">
        <w:rPr>
          <w:rFonts w:cs="Calibri"/>
        </w:rPr>
        <w:t xml:space="preserve"> who have a role in assessing and treating pain will be approached to complete this study</w:t>
      </w:r>
      <w:r>
        <w:rPr>
          <w:rFonts w:cs="Calibri"/>
        </w:rPr>
        <w:t xml:space="preserve"> including medical, dentistry</w:t>
      </w:r>
      <w:r w:rsidR="00047BBC">
        <w:rPr>
          <w:rFonts w:cs="Calibri"/>
        </w:rPr>
        <w:t>, nursing,</w:t>
      </w:r>
      <w:r w:rsidR="00E46EFB">
        <w:rPr>
          <w:rFonts w:cs="Calibri"/>
        </w:rPr>
        <w:t xml:space="preserve"> midwifery, psychology, and all a</w:t>
      </w:r>
      <w:r>
        <w:rPr>
          <w:rFonts w:cs="Calibri"/>
        </w:rPr>
        <w:t>llied health science students</w:t>
      </w:r>
      <w:r w:rsidR="004709B7" w:rsidRPr="00C67F50">
        <w:rPr>
          <w:rFonts w:cs="Calibri"/>
        </w:rPr>
        <w:t xml:space="preserve">. </w:t>
      </w:r>
      <w:r w:rsidR="00C1026D">
        <w:rPr>
          <w:rFonts w:cs="Calibri"/>
        </w:rPr>
        <w:t>All GPs registered with the RACGP.</w:t>
      </w:r>
    </w:p>
    <w:p w14:paraId="379CBF59" w14:textId="77777777" w:rsidR="004709B7" w:rsidRPr="00C67F50" w:rsidRDefault="004709B7" w:rsidP="004709B7">
      <w:pPr>
        <w:rPr>
          <w:rFonts w:cs="Calibri"/>
        </w:rPr>
      </w:pPr>
    </w:p>
    <w:p w14:paraId="13659B44" w14:textId="067CAD2B" w:rsidR="004709B7" w:rsidRPr="00C67F50" w:rsidRDefault="004709B7" w:rsidP="004709B7">
      <w:pPr>
        <w:rPr>
          <w:rFonts w:cs="Calibri"/>
        </w:rPr>
      </w:pPr>
      <w:r w:rsidRPr="00C67F50">
        <w:rPr>
          <w:rFonts w:cs="Calibri"/>
        </w:rPr>
        <w:t>Recruitment</w:t>
      </w:r>
      <w:r w:rsidR="00A25028">
        <w:rPr>
          <w:rFonts w:cs="Calibri"/>
        </w:rPr>
        <w:t xml:space="preserve"> of Students</w:t>
      </w:r>
      <w:r w:rsidRPr="00C67F50">
        <w:rPr>
          <w:rFonts w:cs="Calibri"/>
        </w:rPr>
        <w:t xml:space="preserve">: </w:t>
      </w:r>
    </w:p>
    <w:p w14:paraId="3C0242B1" w14:textId="4725620B" w:rsidR="004709B7" w:rsidRPr="00C67F50" w:rsidRDefault="004709B7" w:rsidP="004709B7">
      <w:pPr>
        <w:rPr>
          <w:rFonts w:cs="Calibri"/>
        </w:rPr>
      </w:pPr>
      <w:r w:rsidRPr="00C67F50">
        <w:rPr>
          <w:rFonts w:cs="Calibri"/>
        </w:rPr>
        <w:t xml:space="preserve">A recruitment email will be sent to all potential </w:t>
      </w:r>
      <w:r w:rsidRPr="00D621DF">
        <w:rPr>
          <w:rFonts w:cs="Calibri"/>
        </w:rPr>
        <w:t xml:space="preserve">participants (see </w:t>
      </w:r>
      <w:r w:rsidR="00857F0C" w:rsidRPr="00D621DF">
        <w:rPr>
          <w:rFonts w:cs="Calibri"/>
        </w:rPr>
        <w:t>A</w:t>
      </w:r>
      <w:r w:rsidRPr="00D621DF">
        <w:rPr>
          <w:rFonts w:cs="Calibri"/>
        </w:rPr>
        <w:t>ppendix</w:t>
      </w:r>
      <w:r w:rsidR="00274AEA" w:rsidRPr="00D621DF">
        <w:rPr>
          <w:rFonts w:cs="Calibri"/>
        </w:rPr>
        <w:t xml:space="preserve"> </w:t>
      </w:r>
      <w:r w:rsidR="00D621DF" w:rsidRPr="00D621DF">
        <w:rPr>
          <w:rFonts w:cs="Calibri"/>
        </w:rPr>
        <w:t>4</w:t>
      </w:r>
      <w:r w:rsidRPr="00D621DF">
        <w:rPr>
          <w:rFonts w:cs="Calibri"/>
        </w:rPr>
        <w:t>)</w:t>
      </w:r>
      <w:r w:rsidR="00E46EFB" w:rsidRPr="00D621DF">
        <w:rPr>
          <w:rFonts w:cs="Calibri"/>
        </w:rPr>
        <w:t xml:space="preserve"> b</w:t>
      </w:r>
      <w:r w:rsidR="00E46EFB">
        <w:rPr>
          <w:rFonts w:cs="Calibri"/>
        </w:rPr>
        <w:t xml:space="preserve">y a representative at their own </w:t>
      </w:r>
      <w:r w:rsidR="001A7118">
        <w:rPr>
          <w:rFonts w:cs="Calibri"/>
        </w:rPr>
        <w:t>department</w:t>
      </w:r>
      <w:r w:rsidR="00601D10">
        <w:rPr>
          <w:rFonts w:cs="Calibri"/>
        </w:rPr>
        <w:t>.</w:t>
      </w:r>
      <w:r w:rsidRPr="00C67F50">
        <w:rPr>
          <w:rFonts w:cs="Calibri"/>
        </w:rPr>
        <w:t xml:space="preserve"> </w:t>
      </w:r>
      <w:r w:rsidR="003E6087">
        <w:rPr>
          <w:rFonts w:cs="Calibri"/>
        </w:rPr>
        <w:t>Permission</w:t>
      </w:r>
      <w:r w:rsidRPr="00C67F50">
        <w:rPr>
          <w:rFonts w:cs="Calibri"/>
        </w:rPr>
        <w:t xml:space="preserve"> to contact students will be gained from the appropriate </w:t>
      </w:r>
      <w:r w:rsidR="001A7118" w:rsidRPr="00D621DF">
        <w:rPr>
          <w:rFonts w:cs="Calibri"/>
        </w:rPr>
        <w:t>gatekeepers</w:t>
      </w:r>
      <w:r w:rsidR="0036736A" w:rsidRPr="00D621DF">
        <w:rPr>
          <w:rFonts w:cs="Calibri"/>
        </w:rPr>
        <w:t xml:space="preserve"> (</w:t>
      </w:r>
      <w:r w:rsidR="00857F0C" w:rsidRPr="00D621DF">
        <w:rPr>
          <w:rFonts w:cs="Calibri"/>
        </w:rPr>
        <w:t>A</w:t>
      </w:r>
      <w:r w:rsidR="0036736A" w:rsidRPr="00D621DF">
        <w:rPr>
          <w:rFonts w:cs="Calibri"/>
        </w:rPr>
        <w:t>ppendix</w:t>
      </w:r>
      <w:r w:rsidR="00274AEA" w:rsidRPr="00D621DF">
        <w:rPr>
          <w:rFonts w:cs="Calibri"/>
        </w:rPr>
        <w:t xml:space="preserve"> </w:t>
      </w:r>
      <w:r w:rsidR="00D621DF">
        <w:rPr>
          <w:rFonts w:cs="Calibri"/>
        </w:rPr>
        <w:t>5</w:t>
      </w:r>
      <w:r w:rsidR="0036736A" w:rsidRPr="00C67F50">
        <w:rPr>
          <w:rFonts w:cs="Calibri"/>
        </w:rPr>
        <w:t xml:space="preserve">). </w:t>
      </w:r>
      <w:r w:rsidR="00A25028" w:rsidRPr="00C67F50">
        <w:rPr>
          <w:rFonts w:cs="Calibri"/>
        </w:rPr>
        <w:t>There are no exclusion criteria.</w:t>
      </w:r>
    </w:p>
    <w:p w14:paraId="3DC5429D" w14:textId="77777777" w:rsidR="004709B7" w:rsidRPr="00C67F50" w:rsidRDefault="004709B7" w:rsidP="004709B7">
      <w:pPr>
        <w:rPr>
          <w:rFonts w:cs="Calibri"/>
        </w:rPr>
      </w:pPr>
    </w:p>
    <w:p w14:paraId="5399515B" w14:textId="77777777" w:rsidR="0036736A" w:rsidRPr="00C67F50" w:rsidRDefault="0036736A" w:rsidP="004709B7">
      <w:pPr>
        <w:rPr>
          <w:rFonts w:cs="Calibri"/>
        </w:rPr>
      </w:pPr>
      <w:r w:rsidRPr="00C67F50">
        <w:rPr>
          <w:rFonts w:cs="Calibri"/>
        </w:rPr>
        <w:t xml:space="preserve">Inclusion and Exclusion Criteria: </w:t>
      </w:r>
    </w:p>
    <w:p w14:paraId="40BEF17A" w14:textId="77777777" w:rsidR="00A25028" w:rsidRDefault="0036736A" w:rsidP="004709B7">
      <w:pPr>
        <w:rPr>
          <w:rFonts w:cs="Calibri"/>
        </w:rPr>
      </w:pPr>
      <w:r w:rsidRPr="00C67F50">
        <w:rPr>
          <w:rFonts w:cs="Calibri"/>
        </w:rPr>
        <w:t>Participant will be included if they ar</w:t>
      </w:r>
      <w:r w:rsidR="00977E5B">
        <w:rPr>
          <w:rFonts w:cs="Calibri"/>
        </w:rPr>
        <w:t xml:space="preserve">e enrolled on a </w:t>
      </w:r>
      <w:r w:rsidRPr="00C67F50">
        <w:rPr>
          <w:rFonts w:cs="Calibri"/>
        </w:rPr>
        <w:t xml:space="preserve">pre-registration programme </w:t>
      </w:r>
      <w:r w:rsidR="009B32A2" w:rsidRPr="00C67F50">
        <w:rPr>
          <w:rFonts w:cs="Calibri"/>
        </w:rPr>
        <w:t>studying to become a healthcare professional</w:t>
      </w:r>
      <w:r w:rsidR="00FE5C42">
        <w:rPr>
          <w:rFonts w:cs="Calibri"/>
        </w:rPr>
        <w:t xml:space="preserve"> </w:t>
      </w:r>
      <w:r w:rsidR="00E03F5D">
        <w:rPr>
          <w:rFonts w:cs="Calibri"/>
        </w:rPr>
        <w:t>in an Australian University</w:t>
      </w:r>
      <w:r w:rsidR="009B32A2" w:rsidRPr="00C67F50">
        <w:rPr>
          <w:rFonts w:cs="Calibri"/>
        </w:rPr>
        <w:t xml:space="preserve">. </w:t>
      </w:r>
    </w:p>
    <w:p w14:paraId="58025947" w14:textId="77777777" w:rsidR="00A25028" w:rsidRPr="00C67F50" w:rsidRDefault="00A25028" w:rsidP="00A25028">
      <w:pPr>
        <w:rPr>
          <w:rFonts w:cs="Calibri"/>
        </w:rPr>
      </w:pPr>
    </w:p>
    <w:p w14:paraId="6D27E968" w14:textId="6758DB1A" w:rsidR="00A25028" w:rsidRPr="00C67F50" w:rsidRDefault="00A25028" w:rsidP="00A25028">
      <w:pPr>
        <w:rPr>
          <w:rFonts w:cs="Calibri"/>
        </w:rPr>
      </w:pPr>
      <w:r w:rsidRPr="00C67F50">
        <w:rPr>
          <w:rFonts w:cs="Calibri"/>
        </w:rPr>
        <w:t>Recruitment</w:t>
      </w:r>
      <w:r>
        <w:rPr>
          <w:rFonts w:cs="Calibri"/>
        </w:rPr>
        <w:t xml:space="preserve"> of GPs</w:t>
      </w:r>
      <w:r w:rsidRPr="00C67F50">
        <w:rPr>
          <w:rFonts w:cs="Calibri"/>
        </w:rPr>
        <w:t xml:space="preserve">: </w:t>
      </w:r>
    </w:p>
    <w:p w14:paraId="2F323B36" w14:textId="1D4D0EF2" w:rsidR="00A25028" w:rsidRPr="00C67F50" w:rsidRDefault="00A25028" w:rsidP="00A25028">
      <w:pPr>
        <w:rPr>
          <w:rFonts w:cs="Calibri"/>
        </w:rPr>
      </w:pPr>
      <w:r w:rsidRPr="00C67F50">
        <w:rPr>
          <w:rFonts w:cs="Calibri"/>
        </w:rPr>
        <w:t xml:space="preserve">A recruitment email will be sent to all potential </w:t>
      </w:r>
      <w:r w:rsidRPr="00D621DF">
        <w:rPr>
          <w:rFonts w:cs="Calibri"/>
        </w:rPr>
        <w:t xml:space="preserve">participants (see Appendix </w:t>
      </w:r>
      <w:r>
        <w:rPr>
          <w:rFonts w:cs="Calibri"/>
        </w:rPr>
        <w:t>6</w:t>
      </w:r>
      <w:r w:rsidRPr="00D621DF">
        <w:rPr>
          <w:rFonts w:cs="Calibri"/>
        </w:rPr>
        <w:t>) b</w:t>
      </w:r>
      <w:r>
        <w:rPr>
          <w:rFonts w:cs="Calibri"/>
        </w:rPr>
        <w:t xml:space="preserve">y </w:t>
      </w:r>
      <w:r w:rsidR="006A396B">
        <w:rPr>
          <w:rFonts w:cs="Calibri"/>
        </w:rPr>
        <w:t>a representative of the RACGP and GP Liaison Officers</w:t>
      </w:r>
      <w:r>
        <w:rPr>
          <w:rFonts w:cs="Calibri"/>
        </w:rPr>
        <w:t>.</w:t>
      </w:r>
      <w:r w:rsidRPr="00C67F50">
        <w:rPr>
          <w:rFonts w:cs="Calibri"/>
        </w:rPr>
        <w:t xml:space="preserve">  </w:t>
      </w:r>
    </w:p>
    <w:p w14:paraId="351646FB" w14:textId="77777777" w:rsidR="00A25028" w:rsidRPr="00C67F50" w:rsidRDefault="00A25028" w:rsidP="00A25028">
      <w:pPr>
        <w:rPr>
          <w:rFonts w:cs="Calibri"/>
        </w:rPr>
      </w:pPr>
    </w:p>
    <w:p w14:paraId="32ADE626" w14:textId="77777777" w:rsidR="00A25028" w:rsidRPr="00C67F50" w:rsidRDefault="00A25028" w:rsidP="00A25028">
      <w:pPr>
        <w:rPr>
          <w:rFonts w:cs="Calibri"/>
        </w:rPr>
      </w:pPr>
      <w:r w:rsidRPr="00C67F50">
        <w:rPr>
          <w:rFonts w:cs="Calibri"/>
        </w:rPr>
        <w:t xml:space="preserve">Inclusion and Exclusion Criteria: </w:t>
      </w:r>
    </w:p>
    <w:p w14:paraId="546306E9" w14:textId="60944E71" w:rsidR="00A25028" w:rsidRPr="00C67F50" w:rsidRDefault="00A25028" w:rsidP="00A25028">
      <w:pPr>
        <w:rPr>
          <w:rFonts w:cs="Calibri"/>
        </w:rPr>
      </w:pPr>
      <w:r w:rsidRPr="00C67F50">
        <w:rPr>
          <w:rFonts w:cs="Calibri"/>
        </w:rPr>
        <w:t>Participant will be included if they ar</w:t>
      </w:r>
      <w:r>
        <w:rPr>
          <w:rFonts w:cs="Calibri"/>
        </w:rPr>
        <w:t>e a GP in Australia</w:t>
      </w:r>
      <w:r w:rsidRPr="00C67F50">
        <w:rPr>
          <w:rFonts w:cs="Calibri"/>
        </w:rPr>
        <w:t xml:space="preserve">. </w:t>
      </w:r>
    </w:p>
    <w:p w14:paraId="3BD30579" w14:textId="61BD930B" w:rsidR="0036736A" w:rsidRPr="00C67F50" w:rsidRDefault="009B32A2" w:rsidP="004709B7">
      <w:pPr>
        <w:rPr>
          <w:rFonts w:cs="Calibri"/>
        </w:rPr>
      </w:pPr>
      <w:r w:rsidRPr="00C67F50">
        <w:rPr>
          <w:rFonts w:cs="Calibri"/>
        </w:rPr>
        <w:t xml:space="preserve">There are no exclusion criteria. </w:t>
      </w:r>
    </w:p>
    <w:p w14:paraId="2985BEA3" w14:textId="77777777" w:rsidR="004709B7" w:rsidRPr="00C67F50" w:rsidRDefault="004709B7" w:rsidP="004709B7">
      <w:pPr>
        <w:rPr>
          <w:rFonts w:cs="Calibri"/>
        </w:rPr>
      </w:pPr>
    </w:p>
    <w:p w14:paraId="0AEF383A" w14:textId="77777777" w:rsidR="007A4B75" w:rsidRPr="00C67F50" w:rsidRDefault="007A4B75" w:rsidP="007A4B75">
      <w:pPr>
        <w:numPr>
          <w:ilvl w:val="0"/>
          <w:numId w:val="10"/>
        </w:numPr>
        <w:rPr>
          <w:rFonts w:cs="Calibri"/>
          <w:b/>
        </w:rPr>
      </w:pPr>
      <w:r w:rsidRPr="00C67F50">
        <w:rPr>
          <w:rFonts w:cs="Calibri"/>
          <w:b/>
        </w:rPr>
        <w:t>Brief description of the research methods and measurements. Include details on how the data will be securely stored and disposed of.</w:t>
      </w:r>
    </w:p>
    <w:p w14:paraId="164CC7B7" w14:textId="77777777" w:rsidR="009B32A2" w:rsidRPr="00C67F50" w:rsidRDefault="009B32A2" w:rsidP="009B32A2">
      <w:pPr>
        <w:rPr>
          <w:rFonts w:cs="Calibri"/>
        </w:rPr>
      </w:pPr>
    </w:p>
    <w:p w14:paraId="1A966544" w14:textId="639961B9" w:rsidR="009B32A2" w:rsidRPr="00E03F5D" w:rsidRDefault="00901AC3" w:rsidP="00A25028">
      <w:pPr>
        <w:pStyle w:val="ListParagraph"/>
        <w:numPr>
          <w:ilvl w:val="0"/>
          <w:numId w:val="13"/>
        </w:numPr>
        <w:rPr>
          <w:rFonts w:cs="Calibri"/>
        </w:rPr>
      </w:pPr>
      <w:r w:rsidRPr="00E03F5D">
        <w:rPr>
          <w:rFonts w:cs="Calibri"/>
        </w:rPr>
        <w:t>This is a prospective, quantitative</w:t>
      </w:r>
      <w:r w:rsidR="0026465F">
        <w:rPr>
          <w:rFonts w:cs="Calibri"/>
        </w:rPr>
        <w:t xml:space="preserve"> and qualitative</w:t>
      </w:r>
      <w:r w:rsidRPr="00E03F5D">
        <w:rPr>
          <w:rFonts w:cs="Calibri"/>
        </w:rPr>
        <w:t xml:space="preserve">, questionnaire study. An online survey tool will be used to gather information </w:t>
      </w:r>
      <w:r w:rsidR="00E03F5D" w:rsidRPr="00E03F5D">
        <w:rPr>
          <w:rFonts w:cs="Calibri"/>
        </w:rPr>
        <w:t>using the Pain Understanding and Confidence Questionnaire (</w:t>
      </w:r>
      <w:proofErr w:type="spellStart"/>
      <w:r w:rsidR="00E03F5D" w:rsidRPr="00E03F5D">
        <w:rPr>
          <w:rFonts w:cs="Calibri"/>
        </w:rPr>
        <w:t>PUnCQ</w:t>
      </w:r>
      <w:proofErr w:type="spellEnd"/>
      <w:r w:rsidR="00E03F5D" w:rsidRPr="00E03F5D">
        <w:rPr>
          <w:rFonts w:cs="Calibri"/>
        </w:rPr>
        <w:t xml:space="preserve">) (Seenan et al 2017) </w:t>
      </w:r>
      <w:r w:rsidRPr="00E03F5D">
        <w:rPr>
          <w:rFonts w:cs="Calibri"/>
        </w:rPr>
        <w:t xml:space="preserve">which will be processed and analysed. </w:t>
      </w:r>
    </w:p>
    <w:p w14:paraId="16B79482" w14:textId="77777777" w:rsidR="007E32F2" w:rsidRPr="00F71FDA" w:rsidRDefault="007E32F2" w:rsidP="009B32A2">
      <w:pPr>
        <w:rPr>
          <w:rFonts w:cs="Calibri"/>
        </w:rPr>
      </w:pPr>
    </w:p>
    <w:p w14:paraId="1BC8F88D" w14:textId="73F0DB29" w:rsidR="007E32F2" w:rsidRPr="00F71FDA" w:rsidRDefault="00977E5B" w:rsidP="009B32A2">
      <w:pPr>
        <w:rPr>
          <w:rFonts w:cs="Calibri"/>
        </w:rPr>
      </w:pPr>
      <w:r w:rsidRPr="00F71FDA">
        <w:rPr>
          <w:rFonts w:cs="Calibri"/>
        </w:rPr>
        <w:t>Questionnaires</w:t>
      </w:r>
      <w:r w:rsidR="007E32F2" w:rsidRPr="00F71FDA">
        <w:rPr>
          <w:rFonts w:cs="Calibri"/>
        </w:rPr>
        <w:t xml:space="preserve">: </w:t>
      </w:r>
    </w:p>
    <w:p w14:paraId="2F7B87DF" w14:textId="77777777" w:rsidR="00901AC3" w:rsidRPr="00C67F50" w:rsidRDefault="00901AC3" w:rsidP="009B32A2">
      <w:pPr>
        <w:rPr>
          <w:rFonts w:cs="Calibri"/>
        </w:rPr>
      </w:pPr>
    </w:p>
    <w:p w14:paraId="3118522D" w14:textId="06E4099C" w:rsidR="00901AC3" w:rsidRDefault="00901AC3" w:rsidP="009B32A2">
      <w:pPr>
        <w:rPr>
          <w:rFonts w:cs="Calibri"/>
        </w:rPr>
      </w:pPr>
      <w:r w:rsidRPr="00C67F50">
        <w:rPr>
          <w:rFonts w:cs="Calibri"/>
        </w:rPr>
        <w:t xml:space="preserve">Participants will be contacted by email and provided with a link to the online </w:t>
      </w:r>
      <w:r w:rsidR="00C92897">
        <w:rPr>
          <w:rFonts w:cs="Calibri"/>
        </w:rPr>
        <w:t>questionnaires</w:t>
      </w:r>
      <w:r w:rsidRPr="00C67F50">
        <w:rPr>
          <w:rFonts w:cs="Calibri"/>
        </w:rPr>
        <w:t>. Once they have reviewed the information sheet</w:t>
      </w:r>
      <w:r w:rsidR="00FE5C42">
        <w:rPr>
          <w:rFonts w:cs="Calibri"/>
        </w:rPr>
        <w:t xml:space="preserve"> and provided informed consent</w:t>
      </w:r>
      <w:r w:rsidRPr="00C67F50">
        <w:rPr>
          <w:rFonts w:cs="Calibri"/>
        </w:rPr>
        <w:t xml:space="preserve">, if they wish to take part they will click on the link and complete the questionnaire which should take no more than </w:t>
      </w:r>
      <w:r w:rsidR="00C92897">
        <w:rPr>
          <w:rFonts w:cs="Calibri"/>
        </w:rPr>
        <w:t>5</w:t>
      </w:r>
      <w:r w:rsidRPr="00C67F50">
        <w:rPr>
          <w:rFonts w:cs="Calibri"/>
        </w:rPr>
        <w:t xml:space="preserve"> minutes. They will then exit the study.  </w:t>
      </w:r>
    </w:p>
    <w:p w14:paraId="75514EBB" w14:textId="4B464A74" w:rsidR="008C31D3" w:rsidRDefault="008C31D3" w:rsidP="009B32A2">
      <w:pPr>
        <w:rPr>
          <w:rFonts w:cs="Calibri"/>
        </w:rPr>
      </w:pPr>
    </w:p>
    <w:p w14:paraId="33523FCC" w14:textId="77777777" w:rsidR="001A3EDE" w:rsidRDefault="008C31D3" w:rsidP="009B32A2">
      <w:pPr>
        <w:rPr>
          <w:rFonts w:cs="Calibri"/>
        </w:rPr>
      </w:pPr>
      <w:r w:rsidRPr="008C31D3">
        <w:rPr>
          <w:rFonts w:cs="Calibri"/>
        </w:rPr>
        <w:t xml:space="preserve">The survey will also be publicised </w:t>
      </w:r>
      <w:r w:rsidR="001A3EDE">
        <w:rPr>
          <w:rFonts w:cs="Calibri"/>
        </w:rPr>
        <w:t xml:space="preserve">to students </w:t>
      </w:r>
      <w:r w:rsidRPr="008C31D3">
        <w:rPr>
          <w:rFonts w:cs="Calibri"/>
        </w:rPr>
        <w:t xml:space="preserve">through representative bodies such as the Australian Medical Students Association, Australian Physiotherapy Association and Australian Psychological Association. </w:t>
      </w:r>
      <w:r w:rsidR="001A3EDE">
        <w:rPr>
          <w:rFonts w:cs="Calibri"/>
        </w:rPr>
        <w:t>Students will also be emailed directly by course organisers who are willing for their students to be contacted about the study.</w:t>
      </w:r>
    </w:p>
    <w:p w14:paraId="62A31AFB" w14:textId="7816CA35" w:rsidR="008C31D3" w:rsidRPr="00C67F50" w:rsidRDefault="001A3EDE" w:rsidP="009B32A2">
      <w:pPr>
        <w:rPr>
          <w:rFonts w:cs="Calibri"/>
        </w:rPr>
      </w:pPr>
      <w:r>
        <w:rPr>
          <w:rFonts w:cs="Calibri"/>
        </w:rPr>
        <w:t xml:space="preserve">The study will be </w:t>
      </w:r>
      <w:proofErr w:type="spellStart"/>
      <w:r>
        <w:rPr>
          <w:rFonts w:cs="Calibri"/>
        </w:rPr>
        <w:t>puclicised</w:t>
      </w:r>
      <w:proofErr w:type="spellEnd"/>
      <w:r>
        <w:rPr>
          <w:rFonts w:cs="Calibri"/>
        </w:rPr>
        <w:t xml:space="preserve"> to GPs through the RACGP and they will also be emailed directly through GP Liaison Officers who are willing to send the information on. </w:t>
      </w:r>
      <w:r w:rsidR="008C31D3" w:rsidRPr="008C31D3">
        <w:rPr>
          <w:rFonts w:cs="Calibri"/>
        </w:rPr>
        <w:t xml:space="preserve"> </w:t>
      </w:r>
    </w:p>
    <w:p w14:paraId="0D154BDD" w14:textId="77777777" w:rsidR="00D543D0" w:rsidRPr="00C67F50" w:rsidRDefault="00D543D0" w:rsidP="009B32A2">
      <w:pPr>
        <w:rPr>
          <w:rFonts w:cs="Calibri"/>
        </w:rPr>
      </w:pPr>
    </w:p>
    <w:p w14:paraId="050C03A7" w14:textId="77777777" w:rsidR="00D543D0" w:rsidRPr="00C67F50" w:rsidRDefault="00D543D0" w:rsidP="009B32A2">
      <w:pPr>
        <w:rPr>
          <w:rFonts w:cs="Calibri"/>
        </w:rPr>
      </w:pPr>
      <w:r w:rsidRPr="00C67F50">
        <w:rPr>
          <w:rFonts w:cs="Calibri"/>
        </w:rPr>
        <w:t>Ethical and legal practice will be followed, and all of the information gathered will be handled in confidence. All responses will be treated in confidence</w:t>
      </w:r>
      <w:r w:rsidR="00FE5C42">
        <w:rPr>
          <w:rFonts w:cs="Calibri"/>
        </w:rPr>
        <w:t xml:space="preserve"> and no personal details will be stored</w:t>
      </w:r>
      <w:r w:rsidRPr="00C67F50">
        <w:rPr>
          <w:rFonts w:cs="Calibri"/>
        </w:rPr>
        <w:t xml:space="preserve">. No identifying information will appear in any documents or in the final report. </w:t>
      </w:r>
    </w:p>
    <w:p w14:paraId="38F4D125" w14:textId="77777777" w:rsidR="009B32A2" w:rsidRPr="00C67F50" w:rsidRDefault="009B32A2" w:rsidP="009B32A2">
      <w:pPr>
        <w:rPr>
          <w:rFonts w:cs="Calibri"/>
        </w:rPr>
      </w:pPr>
    </w:p>
    <w:p w14:paraId="23084A1E" w14:textId="77777777" w:rsidR="007A4B75" w:rsidRPr="00C67F50" w:rsidRDefault="007A4B75" w:rsidP="007A4B75">
      <w:pPr>
        <w:numPr>
          <w:ilvl w:val="0"/>
          <w:numId w:val="10"/>
        </w:numPr>
        <w:rPr>
          <w:rFonts w:cs="Calibri"/>
          <w:b/>
        </w:rPr>
      </w:pPr>
      <w:r w:rsidRPr="00C67F50">
        <w:rPr>
          <w:rFonts w:cs="Calibri"/>
          <w:b/>
        </w:rPr>
        <w:t>Consent, confidentiality and anonymity</w:t>
      </w:r>
    </w:p>
    <w:p w14:paraId="101013EE" w14:textId="77777777" w:rsidR="00901AC3" w:rsidRPr="00C67F50" w:rsidRDefault="00901AC3" w:rsidP="00901AC3">
      <w:pPr>
        <w:rPr>
          <w:rFonts w:cs="Calibri"/>
        </w:rPr>
      </w:pPr>
    </w:p>
    <w:p w14:paraId="53D93952" w14:textId="77777777" w:rsidR="00D543D0" w:rsidRPr="00C67F50" w:rsidRDefault="00D543D0" w:rsidP="00901AC3">
      <w:pPr>
        <w:rPr>
          <w:rFonts w:cs="Calibri"/>
        </w:rPr>
      </w:pPr>
      <w:r w:rsidRPr="00C67F50">
        <w:rPr>
          <w:rFonts w:cs="Calibri"/>
        </w:rPr>
        <w:t xml:space="preserve">The survey will be anonymous, but will record basic demographic information (e.g. profession, level of study). Participation will be voluntary and participants can withdraw at any point without giving a reason; the survey will include an informed consent procedure at the start. </w:t>
      </w:r>
    </w:p>
    <w:p w14:paraId="4F78F0E7" w14:textId="77777777" w:rsidR="00D543D0" w:rsidRPr="00C67F50" w:rsidRDefault="00D543D0" w:rsidP="00901AC3">
      <w:pPr>
        <w:rPr>
          <w:rFonts w:cs="Calibri"/>
        </w:rPr>
      </w:pPr>
    </w:p>
    <w:p w14:paraId="6DBEC042" w14:textId="77777777" w:rsidR="00D543D0" w:rsidRPr="00C67F50" w:rsidRDefault="00D543D0" w:rsidP="00901AC3">
      <w:pPr>
        <w:rPr>
          <w:rFonts w:cs="Calibri"/>
        </w:rPr>
      </w:pPr>
      <w:r w:rsidRPr="00C67F50">
        <w:rPr>
          <w:rFonts w:cs="Calibri"/>
        </w:rPr>
        <w:t xml:space="preserve">Any analysis and reporting of the results of the study will maintain this anonymity and confidentiality. </w:t>
      </w:r>
    </w:p>
    <w:p w14:paraId="49E284DC" w14:textId="77777777" w:rsidR="00901AC3" w:rsidRPr="00C67F50" w:rsidRDefault="00901AC3" w:rsidP="00901AC3">
      <w:pPr>
        <w:rPr>
          <w:rFonts w:cs="Calibri"/>
        </w:rPr>
      </w:pPr>
    </w:p>
    <w:p w14:paraId="120FC085" w14:textId="77777777" w:rsidR="007A4B75" w:rsidRPr="00C67F50" w:rsidRDefault="007A4B75" w:rsidP="007A4B75">
      <w:pPr>
        <w:numPr>
          <w:ilvl w:val="0"/>
          <w:numId w:val="10"/>
        </w:numPr>
        <w:rPr>
          <w:rFonts w:cs="Calibri"/>
          <w:b/>
        </w:rPr>
      </w:pPr>
      <w:r w:rsidRPr="00C67F50">
        <w:rPr>
          <w:rFonts w:cs="Calibri"/>
          <w:b/>
        </w:rPr>
        <w:t xml:space="preserve">Risks to participants/self </w:t>
      </w:r>
    </w:p>
    <w:p w14:paraId="01596492" w14:textId="77777777" w:rsidR="002A5157" w:rsidRPr="00C67F50" w:rsidRDefault="002A5157">
      <w:pPr>
        <w:rPr>
          <w:rFonts w:cs="Calibri"/>
        </w:rPr>
      </w:pPr>
    </w:p>
    <w:p w14:paraId="5D73D5A2" w14:textId="77777777" w:rsidR="00901AC3" w:rsidRPr="00C67F50" w:rsidRDefault="00D543D0">
      <w:pPr>
        <w:rPr>
          <w:rFonts w:cs="Calibri"/>
        </w:rPr>
      </w:pPr>
      <w:r w:rsidRPr="00C67F50">
        <w:rPr>
          <w:rFonts w:cs="Calibri"/>
        </w:rPr>
        <w:t xml:space="preserve">There are no identifiable risks involved in participating in this study. </w:t>
      </w:r>
    </w:p>
    <w:p w14:paraId="3FD78237" w14:textId="77777777" w:rsidR="004709B7" w:rsidRPr="00C67F50" w:rsidRDefault="004709B7">
      <w:pPr>
        <w:rPr>
          <w:rFonts w:cs="Calibri"/>
        </w:rPr>
      </w:pPr>
    </w:p>
    <w:p w14:paraId="119B1757" w14:textId="77777777" w:rsidR="00C92897" w:rsidRDefault="00C92897">
      <w:pPr>
        <w:rPr>
          <w:rFonts w:cs="Calibri"/>
          <w:b/>
        </w:rPr>
      </w:pPr>
      <w:r>
        <w:rPr>
          <w:rFonts w:cs="Calibri"/>
          <w:b/>
        </w:rPr>
        <w:br w:type="page"/>
      </w:r>
    </w:p>
    <w:p w14:paraId="5E9A0118" w14:textId="77777777" w:rsidR="001F2977" w:rsidRPr="00977E5B" w:rsidRDefault="001F2977" w:rsidP="001F2977">
      <w:pPr>
        <w:rPr>
          <w:rFonts w:cs="Calibri"/>
          <w:b/>
        </w:rPr>
      </w:pPr>
      <w:r w:rsidRPr="00977E5B">
        <w:rPr>
          <w:rFonts w:cs="Calibri"/>
          <w:b/>
        </w:rPr>
        <w:t xml:space="preserve">REFERENCES </w:t>
      </w:r>
    </w:p>
    <w:p w14:paraId="5528DF24" w14:textId="77777777" w:rsidR="001F2977" w:rsidRPr="008704C8" w:rsidRDefault="001F2977" w:rsidP="001F2977">
      <w:pPr>
        <w:spacing w:after="240"/>
        <w:rPr>
          <w:rFonts w:cs="Calibri"/>
        </w:rPr>
      </w:pPr>
      <w:r w:rsidRPr="00BB1EC4">
        <w:rPr>
          <w:rFonts w:cs="Calibri"/>
        </w:rPr>
        <w:t>Bishop et al 2008</w:t>
      </w:r>
      <w:r>
        <w:rPr>
          <w:rFonts w:cs="Calibri"/>
        </w:rPr>
        <w:t>.</w:t>
      </w:r>
      <w:r w:rsidRPr="00BB1EC4">
        <w:rPr>
          <w:rFonts w:cs="Calibri"/>
        </w:rPr>
        <w:t xml:space="preserve"> How does the self-reported clinical management of patients with low back pain relate </w:t>
      </w:r>
      <w:r w:rsidRPr="008704C8">
        <w:rPr>
          <w:rFonts w:cs="Calibri"/>
        </w:rPr>
        <w:t xml:space="preserve">to the attitudes and beliefs of health care practitioners? A survey of UK general practitioners and physiotherapists. Pain; 135: 187-195. </w:t>
      </w:r>
    </w:p>
    <w:p w14:paraId="1C0557B9" w14:textId="77777777" w:rsidR="001F2977" w:rsidRPr="008704C8" w:rsidRDefault="001F2977" w:rsidP="001F2977">
      <w:pPr>
        <w:spacing w:after="240"/>
      </w:pPr>
      <w:r w:rsidRPr="008704C8">
        <w:t xml:space="preserve">Bond M, Acuna </w:t>
      </w:r>
      <w:proofErr w:type="spellStart"/>
      <w:r w:rsidRPr="008704C8">
        <w:t>Mourin</w:t>
      </w:r>
      <w:proofErr w:type="spellEnd"/>
      <w:r w:rsidRPr="008704C8">
        <w:t xml:space="preserve"> M, Barros H et al (2007) </w:t>
      </w:r>
      <w:r w:rsidRPr="008704C8">
        <w:rPr>
          <w:i/>
          <w:iCs/>
        </w:rPr>
        <w:t xml:space="preserve">Education and training for pain management in developing countries: a report by the IASP Developing Countries Taskforce </w:t>
      </w:r>
      <w:r w:rsidRPr="008704C8">
        <w:t xml:space="preserve">Seattle: IASP Press </w:t>
      </w:r>
    </w:p>
    <w:p w14:paraId="1403206A" w14:textId="77777777" w:rsidR="001F2977" w:rsidRPr="008704C8" w:rsidRDefault="001F2977" w:rsidP="001F2977">
      <w:pPr>
        <w:spacing w:after="240"/>
      </w:pPr>
      <w:r w:rsidRPr="008704C8">
        <w:t xml:space="preserve">Bridges S (2012) Chronic pain In: Craig R, Mindell J (eds) </w:t>
      </w:r>
      <w:r w:rsidRPr="008704C8">
        <w:rPr>
          <w:i/>
          <w:iCs/>
        </w:rPr>
        <w:t xml:space="preserve">Health survey of England 2011 </w:t>
      </w:r>
      <w:r w:rsidRPr="008704C8">
        <w:t xml:space="preserve">London: Health and Social Care Information Centre </w:t>
      </w:r>
    </w:p>
    <w:p w14:paraId="56FF2B91" w14:textId="77777777" w:rsidR="001F2977" w:rsidRPr="008704C8" w:rsidRDefault="001F2977" w:rsidP="001F2977">
      <w:pPr>
        <w:spacing w:after="240"/>
      </w:pPr>
      <w:r w:rsidRPr="008704C8">
        <w:t xml:space="preserve">Briggs EV, </w:t>
      </w:r>
      <w:proofErr w:type="spellStart"/>
      <w:r w:rsidRPr="008704C8">
        <w:t>Battelli</w:t>
      </w:r>
      <w:proofErr w:type="spellEnd"/>
      <w:r w:rsidRPr="008704C8">
        <w:t xml:space="preserve"> D, Gordon D, Kopf A, Ribeiro S, Puig MM, Kress HG. (2015). Current pain education within undergraduate medical studies across Europe: Advancing the Provision of Pain Education and Learning (APPEAL) study. </w:t>
      </w:r>
      <w:r w:rsidRPr="008704C8">
        <w:rPr>
          <w:i/>
        </w:rPr>
        <w:t>BMJ Open</w:t>
      </w:r>
      <w:r w:rsidRPr="008704C8">
        <w:t xml:space="preserve">;5:8 e006984 doi:10.1136/bmjopen-2014-006984 </w:t>
      </w:r>
    </w:p>
    <w:p w14:paraId="16374833" w14:textId="77777777" w:rsidR="001F2977" w:rsidRDefault="001F2977" w:rsidP="001F2977">
      <w:pPr>
        <w:spacing w:after="240"/>
      </w:pPr>
      <w:r w:rsidRPr="008704C8">
        <w:t xml:space="preserve">Briggs EV, </w:t>
      </w:r>
      <w:proofErr w:type="spellStart"/>
      <w:r w:rsidRPr="008704C8">
        <w:t>Carr</w:t>
      </w:r>
      <w:proofErr w:type="spellEnd"/>
      <w:r w:rsidRPr="008704C8">
        <w:t xml:space="preserve"> EC, Whittaker MS (2011) Survey of undergraduate pain curricula for healthcare professionals in the United Kingdom </w:t>
      </w:r>
      <w:r w:rsidRPr="008704C8">
        <w:rPr>
          <w:i/>
          <w:iCs/>
        </w:rPr>
        <w:t xml:space="preserve">European Journal of Pain </w:t>
      </w:r>
      <w:r w:rsidRPr="008704C8">
        <w:t xml:space="preserve">15 (8) 789-95 </w:t>
      </w:r>
    </w:p>
    <w:p w14:paraId="61D97CEE" w14:textId="77777777" w:rsidR="001F2977" w:rsidRDefault="001F2977" w:rsidP="001F2977">
      <w:pPr>
        <w:spacing w:after="240"/>
      </w:pPr>
      <w:r w:rsidRPr="00FF522A">
        <w:rPr>
          <w:noProof/>
          <w:lang w:val="en-AU"/>
        </w:rPr>
        <w:t>Clark</w:t>
      </w:r>
      <w:r>
        <w:rPr>
          <w:noProof/>
          <w:lang w:val="en-AU"/>
        </w:rPr>
        <w:t xml:space="preserve"> S, </w:t>
      </w:r>
      <w:r w:rsidRPr="00FF522A">
        <w:rPr>
          <w:noProof/>
          <w:lang w:val="en-AU"/>
        </w:rPr>
        <w:t>Horton</w:t>
      </w:r>
      <w:r>
        <w:rPr>
          <w:noProof/>
          <w:lang w:val="en-AU"/>
        </w:rPr>
        <w:t xml:space="preserve"> R. </w:t>
      </w:r>
      <w:r w:rsidRPr="00FF522A">
        <w:rPr>
          <w:noProof/>
          <w:lang w:val="en-AU"/>
        </w:rPr>
        <w:t>2018</w:t>
      </w:r>
      <w:r>
        <w:rPr>
          <w:noProof/>
          <w:lang w:val="en-AU"/>
        </w:rPr>
        <w:t>,</w:t>
      </w:r>
      <w:r w:rsidRPr="009731BB">
        <w:rPr>
          <w:noProof/>
          <w:lang w:val="en-AU"/>
        </w:rPr>
        <w:t>Low Back Pain: a major global challenge</w:t>
      </w:r>
      <w:r>
        <w:rPr>
          <w:noProof/>
          <w:lang w:val="en-AU"/>
        </w:rPr>
        <w:t>. Lancet</w:t>
      </w:r>
      <w:r w:rsidRPr="00FF522A">
        <w:rPr>
          <w:noProof/>
          <w:lang w:val="en-AU"/>
        </w:rPr>
        <w:t xml:space="preserve">, </w:t>
      </w:r>
      <w:r>
        <w:rPr>
          <w:noProof/>
          <w:lang w:val="en-AU"/>
        </w:rPr>
        <w:t xml:space="preserve">391 (10137); 2302 </w:t>
      </w:r>
    </w:p>
    <w:p w14:paraId="6F9A9D56" w14:textId="77777777" w:rsidR="001F2977" w:rsidRPr="008704C8" w:rsidRDefault="001F2977" w:rsidP="001F2977">
      <w:pPr>
        <w:spacing w:after="240"/>
      </w:pPr>
      <w:r w:rsidRPr="008704C8">
        <w:t xml:space="preserve">Chief Medical Officer (2009) 150 years of the Annual Report of the Chief Medical Officer: On the state of public health 2008. Available from http://webarchive.nationalarchives.gov.uk/20130107105354/http://www.dh.gov.uk/en/Publicationsandstatistics/Publications/AnnualReports/DH_096206 Accessed 15.1.15 </w:t>
      </w:r>
    </w:p>
    <w:p w14:paraId="1992D525" w14:textId="77777777" w:rsidR="001F2977" w:rsidRDefault="001F2977" w:rsidP="001F2977">
      <w:pPr>
        <w:spacing w:after="240"/>
        <w:rPr>
          <w:rFonts w:cs="Calibri"/>
        </w:rPr>
      </w:pPr>
      <w:r w:rsidRPr="00F36D33">
        <w:rPr>
          <w:rFonts w:cs="Calibri"/>
        </w:rPr>
        <w:t xml:space="preserve">Donovan, PJ; Arroyo, D; </w:t>
      </w:r>
      <w:proofErr w:type="spellStart"/>
      <w:r w:rsidRPr="00F36D33">
        <w:rPr>
          <w:rFonts w:cs="Calibri"/>
        </w:rPr>
        <w:t>Pattullo</w:t>
      </w:r>
      <w:proofErr w:type="spellEnd"/>
      <w:r w:rsidRPr="00F36D33">
        <w:rPr>
          <w:rFonts w:cs="Calibri"/>
        </w:rPr>
        <w:t>, C; Bell, A</w:t>
      </w:r>
      <w:r>
        <w:rPr>
          <w:rFonts w:cs="Calibri"/>
        </w:rPr>
        <w:t xml:space="preserve">. </w:t>
      </w:r>
      <w:r w:rsidRPr="00C23D24">
        <w:rPr>
          <w:rFonts w:cs="Calibri"/>
        </w:rPr>
        <w:t>Trends in opioid prescribing in Australia: a systematic review.</w:t>
      </w:r>
      <w:r>
        <w:rPr>
          <w:rFonts w:cs="Calibri"/>
        </w:rPr>
        <w:t xml:space="preserve"> 2019. Australian Health Review 44(2); 277- 87</w:t>
      </w:r>
    </w:p>
    <w:p w14:paraId="3107AB4F" w14:textId="77777777" w:rsidR="001F2977" w:rsidRPr="008704C8" w:rsidRDefault="001F2977" w:rsidP="001F2977">
      <w:pPr>
        <w:spacing w:after="240"/>
        <w:rPr>
          <w:rFonts w:cs="Calibri"/>
        </w:rPr>
      </w:pPr>
      <w:r w:rsidRPr="008704C8">
        <w:rPr>
          <w:rFonts w:cs="Calibri"/>
        </w:rPr>
        <w:t xml:space="preserve">Guzman J et al 2001 Multidisciplinary rehabilitation for chronic low back pain: systemic review  BMJ; 322: 1511-1516 </w:t>
      </w:r>
    </w:p>
    <w:p w14:paraId="0E43B864" w14:textId="77777777" w:rsidR="001F2977" w:rsidRDefault="001F2977" w:rsidP="001F2977">
      <w:pPr>
        <w:spacing w:after="240"/>
        <w:rPr>
          <w:rFonts w:cs="Calibri"/>
        </w:rPr>
      </w:pPr>
      <w:r>
        <w:rPr>
          <w:rFonts w:cs="Calibri"/>
        </w:rPr>
        <w:t>IASP (2004</w:t>
      </w:r>
      <w:r w:rsidRPr="00D621DF">
        <w:rPr>
          <w:rFonts w:cs="Calibri"/>
        </w:rPr>
        <w:t xml:space="preserve">) Classification of chronic pain </w:t>
      </w:r>
      <w:proofErr w:type="spellStart"/>
      <w:r w:rsidRPr="00D621DF">
        <w:rPr>
          <w:rFonts w:cs="Calibri"/>
        </w:rPr>
        <w:t>Merskey</w:t>
      </w:r>
      <w:proofErr w:type="spellEnd"/>
      <w:r w:rsidRPr="00D621DF">
        <w:rPr>
          <w:rFonts w:cs="Calibri"/>
        </w:rPr>
        <w:t xml:space="preserve"> H, </w:t>
      </w:r>
      <w:proofErr w:type="spellStart"/>
      <w:r w:rsidRPr="00D621DF">
        <w:rPr>
          <w:rFonts w:cs="Calibri"/>
        </w:rPr>
        <w:t>Bogduk</w:t>
      </w:r>
      <w:proofErr w:type="spellEnd"/>
      <w:r w:rsidRPr="00D621DF">
        <w:rPr>
          <w:rFonts w:cs="Calibri"/>
        </w:rPr>
        <w:t xml:space="preserve"> N (eds) International Association for Study of Pain Task Force on Taxonomy Seattle: IASP Press </w:t>
      </w:r>
    </w:p>
    <w:p w14:paraId="57057AC4" w14:textId="77777777" w:rsidR="001F2977" w:rsidRPr="008704C8" w:rsidRDefault="001F2977" w:rsidP="001F2977">
      <w:pPr>
        <w:spacing w:after="240"/>
        <w:rPr>
          <w:rFonts w:cs="Calibri"/>
        </w:rPr>
      </w:pPr>
      <w:r w:rsidRPr="008704C8">
        <w:rPr>
          <w:rFonts w:cs="Calibri"/>
        </w:rPr>
        <w:t xml:space="preserve">Linton et al 2002. "The back pain beliefs of health care providers: are we fear-avoidant?", Journal of Occupational Rehabilitation: 12: 223-232. </w:t>
      </w:r>
    </w:p>
    <w:p w14:paraId="08439204" w14:textId="77777777" w:rsidR="001F2977" w:rsidRPr="008704C8" w:rsidRDefault="001F2977" w:rsidP="001F2977">
      <w:pPr>
        <w:spacing w:after="240"/>
      </w:pPr>
      <w:r w:rsidRPr="008704C8">
        <w:t xml:space="preserve">Pain Europe (2013) </w:t>
      </w:r>
      <w:r w:rsidRPr="008704C8">
        <w:rPr>
          <w:i/>
          <w:iCs/>
        </w:rPr>
        <w:t xml:space="preserve">A blueprint for pain education: advancing the provision of pain education and learning – the APPEAL study </w:t>
      </w:r>
      <w:r w:rsidRPr="008704C8">
        <w:t>(</w:t>
      </w:r>
      <w:proofErr w:type="spellStart"/>
      <w:r w:rsidRPr="008704C8">
        <w:t>Mundipharma</w:t>
      </w:r>
      <w:proofErr w:type="spellEnd"/>
      <w:r w:rsidRPr="008704C8">
        <w:t xml:space="preserve">) Available from http://www.paineurope.com/articles/a-blueprint-for-pain-education-advancing-the-provision-of-pain-education-and-learning Accessed 15.1.15 </w:t>
      </w:r>
    </w:p>
    <w:p w14:paraId="23454AA5" w14:textId="77777777" w:rsidR="001F2977" w:rsidRPr="008704C8" w:rsidRDefault="001F2977" w:rsidP="001F2977">
      <w:pPr>
        <w:spacing w:after="240"/>
        <w:rPr>
          <w:rFonts w:cs="Calibri"/>
        </w:rPr>
      </w:pPr>
      <w:r w:rsidRPr="008704C8">
        <w:rPr>
          <w:rFonts w:cs="Calibri"/>
        </w:rPr>
        <w:t xml:space="preserve">Ryan, C., Murphy, D., Clark, M., Lee, A., 2010. The effect of a physiotherapy education compared with a non-healthcare education on the attitudes and beliefs of students towards functioning in individuals with back pain: An observational, cross-sectional study. Physiotherapy 96, 144–150. </w:t>
      </w:r>
      <w:proofErr w:type="spellStart"/>
      <w:r w:rsidRPr="008704C8">
        <w:rPr>
          <w:rFonts w:cs="Calibri"/>
        </w:rPr>
        <w:t>Rainville</w:t>
      </w:r>
      <w:proofErr w:type="spellEnd"/>
      <w:r w:rsidRPr="008704C8">
        <w:rPr>
          <w:rFonts w:cs="Calibri"/>
        </w:rPr>
        <w:t xml:space="preserve"> et al 1995 "Health care providers' attitudes and beliefs about functional impairments and chronic back pain", The Clinical Journal of Pain; 11: 287-295.</w:t>
      </w:r>
    </w:p>
    <w:p w14:paraId="344D4F58" w14:textId="77777777" w:rsidR="001F2977" w:rsidRPr="008704C8" w:rsidRDefault="001F2977" w:rsidP="001F2977">
      <w:pPr>
        <w:spacing w:after="240"/>
        <w:rPr>
          <w:rFonts w:cs="Calibri"/>
        </w:rPr>
      </w:pPr>
      <w:r w:rsidRPr="008704C8">
        <w:rPr>
          <w:rFonts w:cs="Calibri"/>
        </w:rPr>
        <w:t xml:space="preserve">Scottish Intercollegiate Guidelines Network (SIGN) 2013. SIGN 136 Management of chronic pain: A national clinical guideline. </w:t>
      </w:r>
    </w:p>
    <w:p w14:paraId="14E9ADAD" w14:textId="77777777" w:rsidR="001F2977" w:rsidRDefault="001F2977" w:rsidP="001F2977">
      <w:pPr>
        <w:spacing w:after="240"/>
        <w:rPr>
          <w:rFonts w:cs="Calibri"/>
        </w:rPr>
      </w:pPr>
      <w:r w:rsidRPr="008704C8">
        <w:rPr>
          <w:rFonts w:cs="Calibri"/>
        </w:rPr>
        <w:t xml:space="preserve">Seenan, C. et al 2017. </w:t>
      </w:r>
      <w:proofErr w:type="spellStart"/>
      <w:r w:rsidRPr="008704C8">
        <w:rPr>
          <w:rFonts w:cs="Calibri"/>
        </w:rPr>
        <w:t>PUnCQ</w:t>
      </w:r>
      <w:proofErr w:type="spellEnd"/>
      <w:r w:rsidRPr="008704C8">
        <w:rPr>
          <w:rFonts w:cs="Calibri"/>
        </w:rPr>
        <w:t>; Knowledge and confidence related to pain management of pre-registration healthcare profession students in Scotland. Poster presented at the Scottish Pain Research Community (</w:t>
      </w:r>
      <w:proofErr w:type="spellStart"/>
      <w:r w:rsidRPr="008704C8">
        <w:rPr>
          <w:rFonts w:cs="Calibri"/>
        </w:rPr>
        <w:t>SPaRC</w:t>
      </w:r>
      <w:proofErr w:type="spellEnd"/>
      <w:r w:rsidRPr="008704C8">
        <w:rPr>
          <w:rFonts w:cs="Calibri"/>
        </w:rPr>
        <w:t>) Annual Scientific Meeting, 24</w:t>
      </w:r>
      <w:r w:rsidRPr="008704C8">
        <w:rPr>
          <w:rFonts w:cs="Calibri"/>
          <w:vertAlign w:val="superscript"/>
        </w:rPr>
        <w:t>th</w:t>
      </w:r>
      <w:r w:rsidRPr="008704C8">
        <w:rPr>
          <w:rFonts w:cs="Calibri"/>
        </w:rPr>
        <w:t xml:space="preserve"> March 2017 Dundee, Scotland </w:t>
      </w:r>
    </w:p>
    <w:p w14:paraId="63B87CFE" w14:textId="77777777" w:rsidR="001F2977" w:rsidRPr="008704C8" w:rsidRDefault="001F2977" w:rsidP="001F2977">
      <w:pPr>
        <w:spacing w:after="240"/>
        <w:rPr>
          <w:rFonts w:cs="Calibri"/>
        </w:rPr>
      </w:pPr>
      <w:proofErr w:type="spellStart"/>
      <w:r w:rsidRPr="00435808">
        <w:rPr>
          <w:rFonts w:cs="Calibri"/>
        </w:rPr>
        <w:t>Shipton,E</w:t>
      </w:r>
      <w:proofErr w:type="spellEnd"/>
      <w:r w:rsidRPr="00435808">
        <w:rPr>
          <w:rFonts w:cs="Calibri"/>
        </w:rPr>
        <w:t xml:space="preserve">; </w:t>
      </w:r>
      <w:proofErr w:type="spellStart"/>
      <w:r w:rsidRPr="00435808">
        <w:rPr>
          <w:rFonts w:cs="Calibri"/>
        </w:rPr>
        <w:t>Bate,F</w:t>
      </w:r>
      <w:proofErr w:type="spellEnd"/>
      <w:r w:rsidRPr="00435808">
        <w:rPr>
          <w:rFonts w:cs="Calibri"/>
        </w:rPr>
        <w:t xml:space="preserve">; Garrick, R; </w:t>
      </w:r>
      <w:proofErr w:type="spellStart"/>
      <w:r w:rsidRPr="00435808">
        <w:rPr>
          <w:rFonts w:cs="Calibri"/>
        </w:rPr>
        <w:t>S</w:t>
      </w:r>
      <w:r>
        <w:rPr>
          <w:rFonts w:cs="Calibri"/>
        </w:rPr>
        <w:t>e</w:t>
      </w:r>
      <w:r w:rsidRPr="00435808">
        <w:rPr>
          <w:rFonts w:cs="Calibri"/>
        </w:rPr>
        <w:t>yeketee</w:t>
      </w:r>
      <w:proofErr w:type="spellEnd"/>
      <w:r w:rsidRPr="00435808">
        <w:rPr>
          <w:rFonts w:cs="Calibri"/>
        </w:rPr>
        <w:t>, C; Visser, E</w:t>
      </w:r>
      <w:r>
        <w:rPr>
          <w:rFonts w:cs="Calibri"/>
        </w:rPr>
        <w:t xml:space="preserve">. 2018. </w:t>
      </w:r>
      <w:r w:rsidRPr="00435808">
        <w:rPr>
          <w:rFonts w:cs="Calibri"/>
        </w:rPr>
        <w:t>Pain medicine content, teaching and assessment in medical school curricula in Australia and New Zealand</w:t>
      </w:r>
      <w:r>
        <w:rPr>
          <w:rFonts w:cs="Calibri"/>
        </w:rPr>
        <w:t>. BMC Medical Education 18 (110) 1 - 11</w:t>
      </w:r>
    </w:p>
    <w:p w14:paraId="37A0107D" w14:textId="0B4DBAFD" w:rsidR="001F2977" w:rsidRDefault="001F2977" w:rsidP="001F2977">
      <w:pPr>
        <w:spacing w:after="240"/>
        <w:rPr>
          <w:rFonts w:cs="Calibri"/>
        </w:rPr>
      </w:pPr>
      <w:r w:rsidRPr="00C92897">
        <w:rPr>
          <w:rFonts w:cs="Calibri"/>
        </w:rPr>
        <w:t>Symonds, T.L., Burton, A.K., Tillotson, K.M. and Main, C.J., 1996. Do attitudes and beliefs influence work loss due to low back trouble?. Occupational Medicine, 46(1), pp.25-32.</w:t>
      </w:r>
    </w:p>
    <w:p w14:paraId="7C938F2B" w14:textId="77777777" w:rsidR="001A3EDE" w:rsidRPr="008704C8" w:rsidRDefault="001A3EDE" w:rsidP="001A3EDE">
      <w:pPr>
        <w:spacing w:after="240"/>
        <w:rPr>
          <w:rFonts w:cs="Calibri"/>
          <w:highlight w:val="green"/>
        </w:rPr>
      </w:pPr>
      <w:r w:rsidRPr="00B31D5C">
        <w:rPr>
          <w:rFonts w:cs="Calibri"/>
        </w:rPr>
        <w:t xml:space="preserve">Veal, F; Thompson, A; </w:t>
      </w:r>
      <w:proofErr w:type="spellStart"/>
      <w:r w:rsidRPr="00B31D5C">
        <w:rPr>
          <w:rFonts w:cs="Calibri"/>
        </w:rPr>
        <w:t>Berezinicki</w:t>
      </w:r>
      <w:proofErr w:type="spellEnd"/>
      <w:r w:rsidRPr="00B31D5C">
        <w:rPr>
          <w:rFonts w:cs="Calibri"/>
        </w:rPr>
        <w:t>, L; Peterson, G</w:t>
      </w:r>
      <w:r>
        <w:rPr>
          <w:rFonts w:cs="Calibri"/>
        </w:rPr>
        <w:t xml:space="preserve">. 2017. Persistent Pain Management in Australian General Practice. Australian Journal of Primary Health </w:t>
      </w:r>
      <w:r w:rsidRPr="004C4629">
        <w:rPr>
          <w:rFonts w:cs="Calibri"/>
        </w:rPr>
        <w:t>23, 105–106</w:t>
      </w:r>
      <w:r>
        <w:rPr>
          <w:rFonts w:cs="Calibri"/>
        </w:rPr>
        <w:t xml:space="preserve">. </w:t>
      </w:r>
    </w:p>
    <w:p w14:paraId="4E7CBF4B" w14:textId="69370102" w:rsidR="00613E88" w:rsidRDefault="00A61B3C">
      <w:pPr>
        <w:rPr>
          <w:rFonts w:cs="Calibri"/>
          <w:b/>
        </w:rPr>
      </w:pPr>
      <w:r w:rsidRPr="00A61B3C">
        <w:rPr>
          <w:rFonts w:cs="Calibri"/>
          <w:b/>
        </w:rPr>
        <w:t>APPENDICES</w:t>
      </w:r>
      <w:r w:rsidR="00613E88" w:rsidRPr="00A61B3C">
        <w:rPr>
          <w:rFonts w:cs="Calibri"/>
          <w:b/>
        </w:rPr>
        <w:t xml:space="preserve">: </w:t>
      </w:r>
    </w:p>
    <w:p w14:paraId="7E2E988B" w14:textId="07A930C3" w:rsidR="00D23CAB" w:rsidRDefault="00D23CAB">
      <w:pPr>
        <w:rPr>
          <w:rFonts w:cs="Calibri"/>
          <w:b/>
        </w:rPr>
      </w:pPr>
      <w:r>
        <w:rPr>
          <w:rFonts w:cs="Calibri"/>
          <w:b/>
        </w:rPr>
        <w:t>1a – Participant information sheet, students</w:t>
      </w:r>
    </w:p>
    <w:p w14:paraId="00C06B75" w14:textId="4D03ADBF" w:rsidR="00D23CAB" w:rsidRDefault="00D23CAB">
      <w:pPr>
        <w:rPr>
          <w:rFonts w:cs="Calibri"/>
          <w:b/>
        </w:rPr>
      </w:pPr>
      <w:r>
        <w:rPr>
          <w:rFonts w:cs="Calibri"/>
          <w:b/>
        </w:rPr>
        <w:t>1b – Participant information sheet, GP’s</w:t>
      </w:r>
    </w:p>
    <w:p w14:paraId="212D51EE" w14:textId="0F476C97" w:rsidR="00D23CAB" w:rsidRDefault="00D23CAB">
      <w:pPr>
        <w:rPr>
          <w:rFonts w:cs="Calibri"/>
          <w:b/>
        </w:rPr>
      </w:pPr>
      <w:bookmarkStart w:id="0" w:name="_Hlk41466663"/>
      <w:r>
        <w:rPr>
          <w:rFonts w:cs="Calibri"/>
          <w:b/>
        </w:rPr>
        <w:t xml:space="preserve">2a – </w:t>
      </w:r>
      <w:proofErr w:type="spellStart"/>
      <w:r>
        <w:rPr>
          <w:rFonts w:cs="Calibri"/>
          <w:b/>
        </w:rPr>
        <w:t>PunCQ</w:t>
      </w:r>
      <w:proofErr w:type="spellEnd"/>
      <w:r>
        <w:rPr>
          <w:rFonts w:cs="Calibri"/>
          <w:b/>
        </w:rPr>
        <w:t>; Pain Understanding and Confidence Questionnaire, students</w:t>
      </w:r>
    </w:p>
    <w:bookmarkEnd w:id="0"/>
    <w:p w14:paraId="315E1F7E" w14:textId="697D29AA" w:rsidR="00D23CAB" w:rsidRDefault="00D23CAB" w:rsidP="00D23CAB">
      <w:pPr>
        <w:rPr>
          <w:rFonts w:cs="Calibri"/>
          <w:b/>
        </w:rPr>
      </w:pPr>
      <w:r>
        <w:rPr>
          <w:rFonts w:cs="Calibri"/>
          <w:b/>
        </w:rPr>
        <w:t xml:space="preserve">2b – </w:t>
      </w:r>
      <w:proofErr w:type="spellStart"/>
      <w:r>
        <w:rPr>
          <w:rFonts w:cs="Calibri"/>
          <w:b/>
        </w:rPr>
        <w:t>PunCQ</w:t>
      </w:r>
      <w:proofErr w:type="spellEnd"/>
      <w:r>
        <w:rPr>
          <w:rFonts w:cs="Calibri"/>
          <w:b/>
        </w:rPr>
        <w:t>; Pain Understanding and Confidence Questionnaire, GP’s</w:t>
      </w:r>
    </w:p>
    <w:p w14:paraId="044F37DB" w14:textId="0E180D43" w:rsidR="00D23CAB" w:rsidRDefault="00D23CAB" w:rsidP="00D23CAB">
      <w:pPr>
        <w:rPr>
          <w:rFonts w:cs="Calibri"/>
          <w:b/>
        </w:rPr>
      </w:pPr>
      <w:r>
        <w:rPr>
          <w:rFonts w:cs="Calibri"/>
          <w:b/>
        </w:rPr>
        <w:t xml:space="preserve">3 – </w:t>
      </w:r>
      <w:r w:rsidR="009658D5">
        <w:rPr>
          <w:rFonts w:cs="Calibri"/>
          <w:b/>
        </w:rPr>
        <w:t xml:space="preserve">  Participant </w:t>
      </w:r>
      <w:r>
        <w:rPr>
          <w:rFonts w:cs="Calibri"/>
          <w:b/>
        </w:rPr>
        <w:t>Invitation email – students/GP’s</w:t>
      </w:r>
    </w:p>
    <w:p w14:paraId="2C26D282" w14:textId="77777777" w:rsidR="00D23CAB" w:rsidRDefault="00D23CAB" w:rsidP="00D23CAB">
      <w:pPr>
        <w:rPr>
          <w:rFonts w:cs="Calibri"/>
          <w:b/>
        </w:rPr>
      </w:pPr>
      <w:r>
        <w:rPr>
          <w:rFonts w:cs="Calibri"/>
          <w:b/>
        </w:rPr>
        <w:t>4a – email to course organisers</w:t>
      </w:r>
    </w:p>
    <w:p w14:paraId="38C5C800" w14:textId="77777777" w:rsidR="00D23CAB" w:rsidRDefault="00D23CAB" w:rsidP="00D23CAB">
      <w:pPr>
        <w:rPr>
          <w:rFonts w:cs="Calibri"/>
          <w:b/>
        </w:rPr>
      </w:pPr>
      <w:r>
        <w:rPr>
          <w:rFonts w:cs="Calibri"/>
          <w:b/>
        </w:rPr>
        <w:t>4b – email to GPLO’s</w:t>
      </w:r>
    </w:p>
    <w:p w14:paraId="01B45F44" w14:textId="41A51CF0" w:rsidR="00D23CAB" w:rsidRDefault="00D23CAB" w:rsidP="00D23CAB">
      <w:pPr>
        <w:rPr>
          <w:rFonts w:cs="Calibri"/>
          <w:b/>
        </w:rPr>
      </w:pPr>
      <w:bookmarkStart w:id="1" w:name="_Hlk41467341"/>
      <w:r>
        <w:rPr>
          <w:rFonts w:cs="Calibri"/>
          <w:b/>
        </w:rPr>
        <w:t xml:space="preserve">5 – Information to be distributed by AMSA, APA (Physiotherapy &amp; psychology), ADA, RACGP </w:t>
      </w:r>
    </w:p>
    <w:bookmarkEnd w:id="1"/>
    <w:p w14:paraId="421DA8FC" w14:textId="77777777" w:rsidR="00D23CAB" w:rsidRPr="00A61B3C" w:rsidRDefault="00D23CAB">
      <w:pPr>
        <w:rPr>
          <w:rFonts w:cs="Calibri"/>
          <w:b/>
        </w:rPr>
      </w:pPr>
    </w:p>
    <w:p w14:paraId="38320ED3" w14:textId="736F8EB7" w:rsidR="00293BC6" w:rsidRDefault="00293BC6">
      <w:pPr>
        <w:rPr>
          <w:rFonts w:cs="Calibri"/>
        </w:rPr>
      </w:pPr>
    </w:p>
    <w:sectPr w:rsidR="00293BC6" w:rsidSect="002866C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9BA7" w14:textId="77777777" w:rsidR="008D51FA" w:rsidRDefault="008D51FA" w:rsidP="00901AC3">
      <w:r>
        <w:separator/>
      </w:r>
    </w:p>
  </w:endnote>
  <w:endnote w:type="continuationSeparator" w:id="0">
    <w:p w14:paraId="2E4644C7" w14:textId="77777777" w:rsidR="008D51FA" w:rsidRDefault="008D51FA" w:rsidP="0090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34E9" w14:textId="77777777" w:rsidR="00D23CAB" w:rsidRDefault="00D2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A2A3" w14:textId="77777777" w:rsidR="00D23CAB" w:rsidRDefault="00D23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6861" w14:textId="77777777" w:rsidR="00D23CAB" w:rsidRDefault="00D2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793DA" w14:textId="77777777" w:rsidR="008D51FA" w:rsidRDefault="008D51FA" w:rsidP="00901AC3">
      <w:r>
        <w:separator/>
      </w:r>
    </w:p>
  </w:footnote>
  <w:footnote w:type="continuationSeparator" w:id="0">
    <w:p w14:paraId="47091265" w14:textId="77777777" w:rsidR="008D51FA" w:rsidRDefault="008D51FA" w:rsidP="0090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5042" w14:textId="77777777" w:rsidR="00D23CAB" w:rsidRDefault="00D23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FC85" w14:textId="56516C28" w:rsidR="00D23CAB" w:rsidRPr="00C67F50" w:rsidRDefault="00D23CAB" w:rsidP="00901AC3">
    <w:pPr>
      <w:jc w:val="right"/>
      <w:rPr>
        <w:rFonts w:cs="Calibri"/>
        <w:sz w:val="20"/>
      </w:rPr>
    </w:pPr>
    <w:r w:rsidRPr="00C67F50">
      <w:rPr>
        <w:rFonts w:cs="Calibri"/>
        <w:sz w:val="20"/>
      </w:rPr>
      <w:t xml:space="preserve">Proposal </w:t>
    </w:r>
    <w:r>
      <w:rPr>
        <w:rFonts w:cs="Calibri"/>
        <w:sz w:val="20"/>
      </w:rPr>
      <w:t xml:space="preserve">Version 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42F9" w14:textId="77777777" w:rsidR="00D23CAB" w:rsidRDefault="00D2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6379"/>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6761C"/>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513D3"/>
    <w:multiLevelType w:val="hybridMultilevel"/>
    <w:tmpl w:val="AD284970"/>
    <w:lvl w:ilvl="0" w:tplc="2C6A59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866B4A"/>
    <w:multiLevelType w:val="hybridMultilevel"/>
    <w:tmpl w:val="6A56BDB6"/>
    <w:lvl w:ilvl="0" w:tplc="2C6A59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C12"/>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02E1B"/>
    <w:multiLevelType w:val="hybridMultilevel"/>
    <w:tmpl w:val="FCD2AE2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8C5F20"/>
    <w:multiLevelType w:val="hybridMultilevel"/>
    <w:tmpl w:val="42F03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696964"/>
    <w:multiLevelType w:val="hybridMultilevel"/>
    <w:tmpl w:val="90582760"/>
    <w:lvl w:ilvl="0" w:tplc="0809000F">
      <w:start w:val="1"/>
      <w:numFmt w:val="decimal"/>
      <w:lvlText w:val="%1."/>
      <w:lvlJc w:val="left"/>
      <w:pPr>
        <w:ind w:left="720" w:hanging="360"/>
      </w:pPr>
    </w:lvl>
    <w:lvl w:ilvl="1" w:tplc="E03629D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86507"/>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644A2"/>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A4C2A"/>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83F8D"/>
    <w:multiLevelType w:val="hybridMultilevel"/>
    <w:tmpl w:val="028E770C"/>
    <w:lvl w:ilvl="0" w:tplc="64FA32EE">
      <w:start w:val="1"/>
      <w:numFmt w:val="decimal"/>
      <w:lvlText w:val="%1."/>
      <w:lvlJc w:val="left"/>
      <w:pPr>
        <w:ind w:left="360" w:hanging="360"/>
      </w:pPr>
      <w:rPr>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716538"/>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30062"/>
    <w:multiLevelType w:val="hybridMultilevel"/>
    <w:tmpl w:val="E186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B5851"/>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F37A7"/>
    <w:multiLevelType w:val="hybridMultilevel"/>
    <w:tmpl w:val="76421D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8953A1"/>
    <w:multiLevelType w:val="hybridMultilevel"/>
    <w:tmpl w:val="03DA0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687E76"/>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C34839"/>
    <w:multiLevelType w:val="hybridMultilevel"/>
    <w:tmpl w:val="89028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186252"/>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1E636F"/>
    <w:multiLevelType w:val="hybridMultilevel"/>
    <w:tmpl w:val="D8D62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A1308"/>
    <w:multiLevelType w:val="multilevel"/>
    <w:tmpl w:val="3A8A2520"/>
    <w:lvl w:ilvl="0">
      <w:start w:val="7"/>
      <w:numFmt w:val="decimal"/>
      <w:suff w:val="space"/>
      <w:lvlText w:val="%1."/>
      <w:lvlJc w:val="left"/>
      <w:pPr>
        <w:ind w:left="0" w:firstLine="0"/>
      </w:pPr>
      <w:rPr>
        <w:rFonts w:ascii="Calibri" w:hAnsi="Calibri" w:hint="default"/>
        <w:b/>
        <w:i w:val="0"/>
        <w:sz w:val="28"/>
      </w:rPr>
    </w:lvl>
    <w:lvl w:ilvl="1">
      <w:start w:val="1"/>
      <w:numFmt w:val="decimal"/>
      <w:pStyle w:val="Heading2"/>
      <w:suff w:val="space"/>
      <w:lvlText w:val="%1.%2"/>
      <w:lvlJc w:val="left"/>
      <w:pPr>
        <w:ind w:left="720" w:firstLine="0"/>
      </w:pPr>
      <w:rPr>
        <w:rFonts w:ascii="Calibri" w:hAnsi="Calibri" w:hint="default"/>
        <w:sz w:val="24"/>
      </w:rPr>
    </w:lvl>
    <w:lvl w:ilvl="2">
      <w:start w:val="1"/>
      <w:numFmt w:val="decimal"/>
      <w:pStyle w:val="Heading3"/>
      <w:suff w:val="space"/>
      <w:lvlText w:val="%1.%2.%3"/>
      <w:lvlJc w:val="left"/>
      <w:pPr>
        <w:ind w:left="1440" w:firstLine="0"/>
      </w:pPr>
      <w:rPr>
        <w:rFonts w:ascii="Calibri" w:hAnsi="Calibri" w:hint="default"/>
      </w:rPr>
    </w:lvl>
    <w:lvl w:ilvl="3">
      <w:start w:val="1"/>
      <w:numFmt w:val="decimal"/>
      <w:pStyle w:val="Heading4"/>
      <w:suff w:val="space"/>
      <w:lvlText w:val="%1.%2.%3.%4"/>
      <w:lvlJc w:val="left"/>
      <w:pPr>
        <w:ind w:left="2160" w:firstLine="0"/>
      </w:pPr>
      <w:rPr>
        <w:rFonts w:ascii="Calibri" w:hAnsi="Calibri" w:hint="default"/>
      </w:rPr>
    </w:lvl>
    <w:lvl w:ilvl="4">
      <w:start w:val="1"/>
      <w:numFmt w:val="decimal"/>
      <w:suff w:val="space"/>
      <w:lvlText w:val="%1.%2.%3.%4.%5"/>
      <w:lvlJc w:val="left"/>
      <w:pPr>
        <w:ind w:left="2880" w:firstLine="0"/>
      </w:pPr>
      <w:rPr>
        <w:rFonts w:ascii="Calibri" w:hAnsi="Calibri"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7B455888"/>
    <w:multiLevelType w:val="hybridMultilevel"/>
    <w:tmpl w:val="A0CC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1"/>
  </w:num>
  <w:num w:numId="11">
    <w:abstractNumId w:val="15"/>
  </w:num>
  <w:num w:numId="12">
    <w:abstractNumId w:val="2"/>
  </w:num>
  <w:num w:numId="13">
    <w:abstractNumId w:val="18"/>
  </w:num>
  <w:num w:numId="14">
    <w:abstractNumId w:val="20"/>
  </w:num>
  <w:num w:numId="15">
    <w:abstractNumId w:val="7"/>
  </w:num>
  <w:num w:numId="16">
    <w:abstractNumId w:val="5"/>
  </w:num>
  <w:num w:numId="17">
    <w:abstractNumId w:val="3"/>
  </w:num>
  <w:num w:numId="18">
    <w:abstractNumId w:val="13"/>
  </w:num>
  <w:num w:numId="19">
    <w:abstractNumId w:val="14"/>
  </w:num>
  <w:num w:numId="20">
    <w:abstractNumId w:val="0"/>
  </w:num>
  <w:num w:numId="21">
    <w:abstractNumId w:val="8"/>
  </w:num>
  <w:num w:numId="22">
    <w:abstractNumId w:val="12"/>
  </w:num>
  <w:num w:numId="23">
    <w:abstractNumId w:val="22"/>
  </w:num>
  <w:num w:numId="24">
    <w:abstractNumId w:val="17"/>
  </w:num>
  <w:num w:numId="25">
    <w:abstractNumId w:val="1"/>
  </w:num>
  <w:num w:numId="26">
    <w:abstractNumId w:val="19"/>
  </w:num>
  <w:num w:numId="27">
    <w:abstractNumId w:val="10"/>
  </w:num>
  <w:num w:numId="28">
    <w:abstractNumId w:val="4"/>
  </w:num>
  <w:num w:numId="29">
    <w:abstractNumId w:val="9"/>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75"/>
    <w:rsid w:val="00006F1F"/>
    <w:rsid w:val="000323FB"/>
    <w:rsid w:val="00047BBC"/>
    <w:rsid w:val="000830B2"/>
    <w:rsid w:val="00093201"/>
    <w:rsid w:val="00094409"/>
    <w:rsid w:val="000D19C7"/>
    <w:rsid w:val="000F4DCB"/>
    <w:rsid w:val="0012737D"/>
    <w:rsid w:val="001305E4"/>
    <w:rsid w:val="001318D9"/>
    <w:rsid w:val="00164660"/>
    <w:rsid w:val="00175EEC"/>
    <w:rsid w:val="0018529F"/>
    <w:rsid w:val="00192A39"/>
    <w:rsid w:val="001A3EDE"/>
    <w:rsid w:val="001A5655"/>
    <w:rsid w:val="001A7118"/>
    <w:rsid w:val="001B5E5A"/>
    <w:rsid w:val="001F2977"/>
    <w:rsid w:val="002076A7"/>
    <w:rsid w:val="002550A0"/>
    <w:rsid w:val="0026465F"/>
    <w:rsid w:val="002740F1"/>
    <w:rsid w:val="00274AEA"/>
    <w:rsid w:val="002866C8"/>
    <w:rsid w:val="002909F8"/>
    <w:rsid w:val="00293BC6"/>
    <w:rsid w:val="00295161"/>
    <w:rsid w:val="002A3B02"/>
    <w:rsid w:val="002A5157"/>
    <w:rsid w:val="002A6622"/>
    <w:rsid w:val="002B6AC5"/>
    <w:rsid w:val="002F6A01"/>
    <w:rsid w:val="00303DF1"/>
    <w:rsid w:val="003105C4"/>
    <w:rsid w:val="00337E56"/>
    <w:rsid w:val="0035228F"/>
    <w:rsid w:val="0036736A"/>
    <w:rsid w:val="00376019"/>
    <w:rsid w:val="003A0900"/>
    <w:rsid w:val="003B24BF"/>
    <w:rsid w:val="003C1C7D"/>
    <w:rsid w:val="003C756F"/>
    <w:rsid w:val="003E3A50"/>
    <w:rsid w:val="003E6087"/>
    <w:rsid w:val="004129D8"/>
    <w:rsid w:val="00426CAB"/>
    <w:rsid w:val="0043521E"/>
    <w:rsid w:val="0043641E"/>
    <w:rsid w:val="0044189B"/>
    <w:rsid w:val="00447B02"/>
    <w:rsid w:val="00450B97"/>
    <w:rsid w:val="004709B7"/>
    <w:rsid w:val="004857D4"/>
    <w:rsid w:val="004C1619"/>
    <w:rsid w:val="004C37D6"/>
    <w:rsid w:val="004D0ECD"/>
    <w:rsid w:val="004E1FA3"/>
    <w:rsid w:val="005209EF"/>
    <w:rsid w:val="00525E3E"/>
    <w:rsid w:val="00526BCF"/>
    <w:rsid w:val="00526DF6"/>
    <w:rsid w:val="00532E68"/>
    <w:rsid w:val="005B1A2E"/>
    <w:rsid w:val="005D1A64"/>
    <w:rsid w:val="005D3539"/>
    <w:rsid w:val="005F69F7"/>
    <w:rsid w:val="00601D10"/>
    <w:rsid w:val="00613E88"/>
    <w:rsid w:val="00637777"/>
    <w:rsid w:val="00641B1A"/>
    <w:rsid w:val="00647F88"/>
    <w:rsid w:val="00650BF6"/>
    <w:rsid w:val="006701C1"/>
    <w:rsid w:val="00680EA0"/>
    <w:rsid w:val="00693D0C"/>
    <w:rsid w:val="00697674"/>
    <w:rsid w:val="006A36BB"/>
    <w:rsid w:val="006A396B"/>
    <w:rsid w:val="006C57E2"/>
    <w:rsid w:val="006D339E"/>
    <w:rsid w:val="006E402D"/>
    <w:rsid w:val="00715727"/>
    <w:rsid w:val="00750FE1"/>
    <w:rsid w:val="00761E1F"/>
    <w:rsid w:val="007623E6"/>
    <w:rsid w:val="00781E42"/>
    <w:rsid w:val="00786F0E"/>
    <w:rsid w:val="007A4B75"/>
    <w:rsid w:val="007B5000"/>
    <w:rsid w:val="007C48FF"/>
    <w:rsid w:val="007D030B"/>
    <w:rsid w:val="007E32F2"/>
    <w:rsid w:val="007E5EB9"/>
    <w:rsid w:val="00817B09"/>
    <w:rsid w:val="00824E9B"/>
    <w:rsid w:val="00855079"/>
    <w:rsid w:val="00857F0C"/>
    <w:rsid w:val="0086685C"/>
    <w:rsid w:val="008704C8"/>
    <w:rsid w:val="00872CF2"/>
    <w:rsid w:val="008776DE"/>
    <w:rsid w:val="00885A79"/>
    <w:rsid w:val="00894A92"/>
    <w:rsid w:val="00896235"/>
    <w:rsid w:val="00896914"/>
    <w:rsid w:val="008C31D3"/>
    <w:rsid w:val="008D51FA"/>
    <w:rsid w:val="008E5FA2"/>
    <w:rsid w:val="00901AC3"/>
    <w:rsid w:val="009222A9"/>
    <w:rsid w:val="009464E4"/>
    <w:rsid w:val="009658D5"/>
    <w:rsid w:val="00970DF2"/>
    <w:rsid w:val="00977E5B"/>
    <w:rsid w:val="00991A00"/>
    <w:rsid w:val="00993D6C"/>
    <w:rsid w:val="009B0D73"/>
    <w:rsid w:val="009B32A2"/>
    <w:rsid w:val="009F7F2F"/>
    <w:rsid w:val="00A01708"/>
    <w:rsid w:val="00A25028"/>
    <w:rsid w:val="00A56AD5"/>
    <w:rsid w:val="00A61B3C"/>
    <w:rsid w:val="00A81FBC"/>
    <w:rsid w:val="00A96E38"/>
    <w:rsid w:val="00AC369C"/>
    <w:rsid w:val="00AD42B4"/>
    <w:rsid w:val="00B13C96"/>
    <w:rsid w:val="00B20E91"/>
    <w:rsid w:val="00B43070"/>
    <w:rsid w:val="00B4608B"/>
    <w:rsid w:val="00B53145"/>
    <w:rsid w:val="00B6379D"/>
    <w:rsid w:val="00B67388"/>
    <w:rsid w:val="00B7135A"/>
    <w:rsid w:val="00B76372"/>
    <w:rsid w:val="00B85EC3"/>
    <w:rsid w:val="00B958B2"/>
    <w:rsid w:val="00BA538A"/>
    <w:rsid w:val="00BB0151"/>
    <w:rsid w:val="00BB1EC4"/>
    <w:rsid w:val="00BB24E6"/>
    <w:rsid w:val="00BB739B"/>
    <w:rsid w:val="00BC1FA5"/>
    <w:rsid w:val="00BF491D"/>
    <w:rsid w:val="00C1026D"/>
    <w:rsid w:val="00C50960"/>
    <w:rsid w:val="00C54684"/>
    <w:rsid w:val="00C67F50"/>
    <w:rsid w:val="00C92897"/>
    <w:rsid w:val="00CB2E38"/>
    <w:rsid w:val="00CD3320"/>
    <w:rsid w:val="00CD7D06"/>
    <w:rsid w:val="00CE41EB"/>
    <w:rsid w:val="00CE4D97"/>
    <w:rsid w:val="00CF43AD"/>
    <w:rsid w:val="00CF4AEB"/>
    <w:rsid w:val="00D0078A"/>
    <w:rsid w:val="00D15966"/>
    <w:rsid w:val="00D17193"/>
    <w:rsid w:val="00D23CAB"/>
    <w:rsid w:val="00D5239A"/>
    <w:rsid w:val="00D543D0"/>
    <w:rsid w:val="00D621DF"/>
    <w:rsid w:val="00D633F2"/>
    <w:rsid w:val="00D8241F"/>
    <w:rsid w:val="00D844D7"/>
    <w:rsid w:val="00DA7A2A"/>
    <w:rsid w:val="00DB1F95"/>
    <w:rsid w:val="00DE22BB"/>
    <w:rsid w:val="00DF0D25"/>
    <w:rsid w:val="00DF4CA8"/>
    <w:rsid w:val="00E00718"/>
    <w:rsid w:val="00E03F5D"/>
    <w:rsid w:val="00E2017E"/>
    <w:rsid w:val="00E46431"/>
    <w:rsid w:val="00E46EFB"/>
    <w:rsid w:val="00E607C2"/>
    <w:rsid w:val="00E86C6B"/>
    <w:rsid w:val="00E92AA4"/>
    <w:rsid w:val="00EA4731"/>
    <w:rsid w:val="00EC60A3"/>
    <w:rsid w:val="00EE08AC"/>
    <w:rsid w:val="00EF676C"/>
    <w:rsid w:val="00F05C1F"/>
    <w:rsid w:val="00F54025"/>
    <w:rsid w:val="00F71FDA"/>
    <w:rsid w:val="00F72512"/>
    <w:rsid w:val="00F924B4"/>
    <w:rsid w:val="00FB6976"/>
    <w:rsid w:val="00FE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1768"/>
  <w15:docId w15:val="{F5F96EEE-3725-4198-9E80-EC4A3FE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4B75"/>
    <w:rPr>
      <w:sz w:val="22"/>
      <w:szCs w:val="22"/>
      <w:lang w:eastAsia="en-US"/>
    </w:rPr>
  </w:style>
  <w:style w:type="paragraph" w:styleId="Heading2">
    <w:name w:val="heading 2"/>
    <w:basedOn w:val="Normal"/>
    <w:next w:val="Normal"/>
    <w:link w:val="Heading2Char"/>
    <w:autoRedefine/>
    <w:qFormat/>
    <w:rsid w:val="00093201"/>
    <w:pPr>
      <w:keepNext/>
      <w:numPr>
        <w:ilvl w:val="1"/>
        <w:numId w:val="9"/>
      </w:numPr>
      <w:autoSpaceDE w:val="0"/>
      <w:autoSpaceDN w:val="0"/>
      <w:adjustRightInd w:val="0"/>
      <w:spacing w:line="480" w:lineRule="auto"/>
      <w:outlineLvl w:val="1"/>
    </w:pPr>
    <w:rPr>
      <w:sz w:val="24"/>
      <w:szCs w:val="24"/>
    </w:rPr>
  </w:style>
  <w:style w:type="paragraph" w:styleId="Heading3">
    <w:name w:val="heading 3"/>
    <w:basedOn w:val="Normal"/>
    <w:next w:val="Normal"/>
    <w:link w:val="Heading3Char"/>
    <w:autoRedefine/>
    <w:qFormat/>
    <w:rsid w:val="00093201"/>
    <w:pPr>
      <w:keepNext/>
      <w:numPr>
        <w:ilvl w:val="2"/>
        <w:numId w:val="9"/>
      </w:numPr>
      <w:spacing w:before="240" w:after="60" w:line="480" w:lineRule="auto"/>
      <w:outlineLvl w:val="2"/>
    </w:pPr>
    <w:rPr>
      <w:rFonts w:eastAsia="Times New Roman"/>
      <w:b/>
      <w:bCs/>
      <w:sz w:val="24"/>
      <w:szCs w:val="26"/>
    </w:rPr>
  </w:style>
  <w:style w:type="paragraph" w:styleId="Heading4">
    <w:name w:val="heading 4"/>
    <w:basedOn w:val="Normal"/>
    <w:next w:val="Normal"/>
    <w:link w:val="Heading4Char"/>
    <w:autoRedefine/>
    <w:qFormat/>
    <w:rsid w:val="00093201"/>
    <w:pPr>
      <w:keepNext/>
      <w:numPr>
        <w:ilvl w:val="3"/>
        <w:numId w:val="9"/>
      </w:numPr>
      <w:spacing w:line="480" w:lineRule="auto"/>
      <w:outlineLvl w:val="3"/>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339E"/>
    <w:rPr>
      <w:sz w:val="24"/>
      <w:szCs w:val="24"/>
    </w:rPr>
  </w:style>
  <w:style w:type="character" w:customStyle="1" w:styleId="Heading3Char">
    <w:name w:val="Heading 3 Char"/>
    <w:link w:val="Heading3"/>
    <w:rsid w:val="00093201"/>
    <w:rPr>
      <w:rFonts w:eastAsia="Times New Roman"/>
      <w:b/>
      <w:bCs/>
      <w:sz w:val="24"/>
      <w:szCs w:val="26"/>
    </w:rPr>
  </w:style>
  <w:style w:type="character" w:customStyle="1" w:styleId="Heading4Char">
    <w:name w:val="Heading 4 Char"/>
    <w:link w:val="Heading4"/>
    <w:rsid w:val="00093201"/>
    <w:rPr>
      <w:rFonts w:eastAsia="Times New Roman"/>
      <w:b/>
      <w:sz w:val="24"/>
    </w:rPr>
  </w:style>
  <w:style w:type="paragraph" w:customStyle="1" w:styleId="Figure">
    <w:name w:val="Figure"/>
    <w:basedOn w:val="Normal"/>
    <w:link w:val="FigureChar"/>
    <w:autoRedefine/>
    <w:qFormat/>
    <w:rsid w:val="006D339E"/>
    <w:pPr>
      <w:spacing w:line="480" w:lineRule="auto"/>
      <w:jc w:val="center"/>
    </w:pPr>
    <w:rPr>
      <w:rFonts w:eastAsia="Times New Roman"/>
      <w:sz w:val="24"/>
      <w:szCs w:val="24"/>
      <w:lang w:eastAsia="en-GB"/>
    </w:rPr>
  </w:style>
  <w:style w:type="character" w:customStyle="1" w:styleId="FigureChar">
    <w:name w:val="Figure Char"/>
    <w:link w:val="Figure"/>
    <w:rsid w:val="006D339E"/>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901AC3"/>
    <w:pPr>
      <w:tabs>
        <w:tab w:val="center" w:pos="4513"/>
        <w:tab w:val="right" w:pos="9026"/>
      </w:tabs>
    </w:pPr>
  </w:style>
  <w:style w:type="character" w:customStyle="1" w:styleId="HeaderChar">
    <w:name w:val="Header Char"/>
    <w:link w:val="Header"/>
    <w:uiPriority w:val="99"/>
    <w:rsid w:val="00901AC3"/>
    <w:rPr>
      <w:rFonts w:ascii="Calibri" w:eastAsia="Calibri" w:hAnsi="Calibri" w:cs="Times New Roman"/>
    </w:rPr>
  </w:style>
  <w:style w:type="paragraph" w:styleId="Footer">
    <w:name w:val="footer"/>
    <w:basedOn w:val="Normal"/>
    <w:link w:val="FooterChar"/>
    <w:uiPriority w:val="99"/>
    <w:unhideWhenUsed/>
    <w:rsid w:val="00901AC3"/>
    <w:pPr>
      <w:tabs>
        <w:tab w:val="center" w:pos="4513"/>
        <w:tab w:val="right" w:pos="9026"/>
      </w:tabs>
    </w:pPr>
  </w:style>
  <w:style w:type="character" w:customStyle="1" w:styleId="FooterChar">
    <w:name w:val="Footer Char"/>
    <w:link w:val="Footer"/>
    <w:uiPriority w:val="99"/>
    <w:rsid w:val="00901AC3"/>
    <w:rPr>
      <w:rFonts w:ascii="Calibri" w:eastAsia="Calibri" w:hAnsi="Calibri" w:cs="Times New Roman"/>
    </w:rPr>
  </w:style>
  <w:style w:type="character" w:styleId="Hyperlink">
    <w:name w:val="Hyperlink"/>
    <w:rsid w:val="00447B02"/>
    <w:rPr>
      <w:color w:val="0000FF"/>
      <w:u w:val="single"/>
    </w:rPr>
  </w:style>
  <w:style w:type="paragraph" w:customStyle="1" w:styleId="Default">
    <w:name w:val="Default"/>
    <w:rsid w:val="00885A79"/>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885A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A79"/>
    <w:rPr>
      <w:rFonts w:ascii="Tahoma" w:hAnsi="Tahoma" w:cs="Tahoma"/>
      <w:sz w:val="16"/>
      <w:szCs w:val="16"/>
    </w:rPr>
  </w:style>
  <w:style w:type="character" w:customStyle="1" w:styleId="BalloonTextChar">
    <w:name w:val="Balloon Text Char"/>
    <w:link w:val="BalloonText"/>
    <w:uiPriority w:val="99"/>
    <w:semiHidden/>
    <w:rsid w:val="00885A79"/>
    <w:rPr>
      <w:rFonts w:ascii="Tahoma" w:eastAsia="Calibri" w:hAnsi="Tahoma" w:cs="Tahoma"/>
      <w:sz w:val="16"/>
      <w:szCs w:val="16"/>
    </w:rPr>
  </w:style>
  <w:style w:type="character" w:styleId="CommentReference">
    <w:name w:val="annotation reference"/>
    <w:uiPriority w:val="99"/>
    <w:semiHidden/>
    <w:unhideWhenUsed/>
    <w:rsid w:val="003105C4"/>
    <w:rPr>
      <w:sz w:val="16"/>
      <w:szCs w:val="16"/>
    </w:rPr>
  </w:style>
  <w:style w:type="paragraph" w:styleId="CommentText">
    <w:name w:val="annotation text"/>
    <w:basedOn w:val="Normal"/>
    <w:link w:val="CommentTextChar"/>
    <w:uiPriority w:val="99"/>
    <w:semiHidden/>
    <w:unhideWhenUsed/>
    <w:rsid w:val="003105C4"/>
    <w:rPr>
      <w:sz w:val="20"/>
      <w:szCs w:val="20"/>
    </w:rPr>
  </w:style>
  <w:style w:type="character" w:customStyle="1" w:styleId="CommentTextChar">
    <w:name w:val="Comment Text Char"/>
    <w:link w:val="CommentText"/>
    <w:uiPriority w:val="99"/>
    <w:semiHidden/>
    <w:rsid w:val="003105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05C4"/>
    <w:rPr>
      <w:b/>
      <w:bCs/>
    </w:rPr>
  </w:style>
  <w:style w:type="character" w:customStyle="1" w:styleId="CommentSubjectChar">
    <w:name w:val="Comment Subject Char"/>
    <w:link w:val="CommentSubject"/>
    <w:uiPriority w:val="99"/>
    <w:semiHidden/>
    <w:rsid w:val="003105C4"/>
    <w:rPr>
      <w:rFonts w:ascii="Calibri" w:eastAsia="Calibri" w:hAnsi="Calibri" w:cs="Times New Roman"/>
      <w:b/>
      <w:bCs/>
      <w:sz w:val="20"/>
      <w:szCs w:val="20"/>
    </w:rPr>
  </w:style>
  <w:style w:type="paragraph" w:styleId="ListParagraph">
    <w:name w:val="List Paragraph"/>
    <w:basedOn w:val="Normal"/>
    <w:uiPriority w:val="34"/>
    <w:qFormat/>
    <w:rsid w:val="00D633F2"/>
    <w:pPr>
      <w:ind w:left="720"/>
      <w:contextualSpacing/>
    </w:pPr>
  </w:style>
  <w:style w:type="character" w:styleId="FollowedHyperlink">
    <w:name w:val="FollowedHyperlink"/>
    <w:basedOn w:val="DefaultParagraphFont"/>
    <w:uiPriority w:val="99"/>
    <w:semiHidden/>
    <w:unhideWhenUsed/>
    <w:rsid w:val="00BB1EC4"/>
    <w:rPr>
      <w:color w:val="800080" w:themeColor="followedHyperlink"/>
      <w:u w:val="single"/>
    </w:rPr>
  </w:style>
  <w:style w:type="character" w:styleId="UnresolvedMention">
    <w:name w:val="Unresolved Mention"/>
    <w:basedOn w:val="DefaultParagraphFont"/>
    <w:uiPriority w:val="99"/>
    <w:rsid w:val="00697674"/>
    <w:rPr>
      <w:color w:val="808080"/>
      <w:shd w:val="clear" w:color="auto" w:fill="E6E6E6"/>
    </w:rPr>
  </w:style>
  <w:style w:type="table" w:customStyle="1" w:styleId="TableGrid1">
    <w:name w:val="Table Grid1"/>
    <w:basedOn w:val="TableNormal"/>
    <w:next w:val="TableGrid"/>
    <w:uiPriority w:val="59"/>
    <w:rsid w:val="00650B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94694">
      <w:bodyDiv w:val="1"/>
      <w:marLeft w:val="0"/>
      <w:marRight w:val="0"/>
      <w:marTop w:val="0"/>
      <w:marBottom w:val="0"/>
      <w:divBdr>
        <w:top w:val="none" w:sz="0" w:space="0" w:color="auto"/>
        <w:left w:val="none" w:sz="0" w:space="0" w:color="auto"/>
        <w:bottom w:val="none" w:sz="0" w:space="0" w:color="auto"/>
        <w:right w:val="none" w:sz="0" w:space="0" w:color="auto"/>
      </w:divBdr>
    </w:div>
    <w:div w:id="387730835">
      <w:bodyDiv w:val="1"/>
      <w:marLeft w:val="0"/>
      <w:marRight w:val="0"/>
      <w:marTop w:val="0"/>
      <w:marBottom w:val="0"/>
      <w:divBdr>
        <w:top w:val="none" w:sz="0" w:space="0" w:color="auto"/>
        <w:left w:val="none" w:sz="0" w:space="0" w:color="auto"/>
        <w:bottom w:val="none" w:sz="0" w:space="0" w:color="auto"/>
        <w:right w:val="none" w:sz="0" w:space="0" w:color="auto"/>
      </w:divBdr>
    </w:div>
    <w:div w:id="481235183">
      <w:bodyDiv w:val="1"/>
      <w:marLeft w:val="0"/>
      <w:marRight w:val="0"/>
      <w:marTop w:val="0"/>
      <w:marBottom w:val="0"/>
      <w:divBdr>
        <w:top w:val="none" w:sz="0" w:space="0" w:color="auto"/>
        <w:left w:val="none" w:sz="0" w:space="0" w:color="auto"/>
        <w:bottom w:val="none" w:sz="0" w:space="0" w:color="auto"/>
        <w:right w:val="none" w:sz="0" w:space="0" w:color="auto"/>
      </w:divBdr>
    </w:div>
    <w:div w:id="577907262">
      <w:bodyDiv w:val="1"/>
      <w:marLeft w:val="0"/>
      <w:marRight w:val="0"/>
      <w:marTop w:val="0"/>
      <w:marBottom w:val="0"/>
      <w:divBdr>
        <w:top w:val="none" w:sz="0" w:space="0" w:color="auto"/>
        <w:left w:val="none" w:sz="0" w:space="0" w:color="auto"/>
        <w:bottom w:val="none" w:sz="0" w:space="0" w:color="auto"/>
        <w:right w:val="none" w:sz="0" w:space="0" w:color="auto"/>
      </w:divBdr>
    </w:div>
    <w:div w:id="899096801">
      <w:bodyDiv w:val="1"/>
      <w:marLeft w:val="0"/>
      <w:marRight w:val="0"/>
      <w:marTop w:val="0"/>
      <w:marBottom w:val="0"/>
      <w:divBdr>
        <w:top w:val="none" w:sz="0" w:space="0" w:color="auto"/>
        <w:left w:val="none" w:sz="0" w:space="0" w:color="auto"/>
        <w:bottom w:val="none" w:sz="0" w:space="0" w:color="auto"/>
        <w:right w:val="none" w:sz="0" w:space="0" w:color="auto"/>
      </w:divBdr>
    </w:div>
    <w:div w:id="1036586372">
      <w:bodyDiv w:val="1"/>
      <w:marLeft w:val="0"/>
      <w:marRight w:val="0"/>
      <w:marTop w:val="0"/>
      <w:marBottom w:val="0"/>
      <w:divBdr>
        <w:top w:val="none" w:sz="0" w:space="0" w:color="auto"/>
        <w:left w:val="none" w:sz="0" w:space="0" w:color="auto"/>
        <w:bottom w:val="none" w:sz="0" w:space="0" w:color="auto"/>
        <w:right w:val="none" w:sz="0" w:space="0" w:color="auto"/>
      </w:divBdr>
    </w:div>
    <w:div w:id="1222208102">
      <w:bodyDiv w:val="1"/>
      <w:marLeft w:val="0"/>
      <w:marRight w:val="0"/>
      <w:marTop w:val="0"/>
      <w:marBottom w:val="0"/>
      <w:divBdr>
        <w:top w:val="none" w:sz="0" w:space="0" w:color="auto"/>
        <w:left w:val="none" w:sz="0" w:space="0" w:color="auto"/>
        <w:bottom w:val="none" w:sz="0" w:space="0" w:color="auto"/>
        <w:right w:val="none" w:sz="0" w:space="0" w:color="auto"/>
      </w:divBdr>
    </w:div>
    <w:div w:id="1288663350">
      <w:bodyDiv w:val="1"/>
      <w:marLeft w:val="0"/>
      <w:marRight w:val="0"/>
      <w:marTop w:val="0"/>
      <w:marBottom w:val="0"/>
      <w:divBdr>
        <w:top w:val="none" w:sz="0" w:space="0" w:color="auto"/>
        <w:left w:val="none" w:sz="0" w:space="0" w:color="auto"/>
        <w:bottom w:val="none" w:sz="0" w:space="0" w:color="auto"/>
        <w:right w:val="none" w:sz="0" w:space="0" w:color="auto"/>
      </w:divBdr>
    </w:div>
    <w:div w:id="1523320557">
      <w:bodyDiv w:val="1"/>
      <w:marLeft w:val="0"/>
      <w:marRight w:val="0"/>
      <w:marTop w:val="0"/>
      <w:marBottom w:val="0"/>
      <w:divBdr>
        <w:top w:val="none" w:sz="0" w:space="0" w:color="auto"/>
        <w:left w:val="none" w:sz="0" w:space="0" w:color="auto"/>
        <w:bottom w:val="none" w:sz="0" w:space="0" w:color="auto"/>
        <w:right w:val="none" w:sz="0" w:space="0" w:color="auto"/>
      </w:divBdr>
    </w:div>
    <w:div w:id="1855654281">
      <w:bodyDiv w:val="1"/>
      <w:marLeft w:val="0"/>
      <w:marRight w:val="0"/>
      <w:marTop w:val="0"/>
      <w:marBottom w:val="0"/>
      <w:divBdr>
        <w:top w:val="none" w:sz="0" w:space="0" w:color="auto"/>
        <w:left w:val="none" w:sz="0" w:space="0" w:color="auto"/>
        <w:bottom w:val="none" w:sz="0" w:space="0" w:color="auto"/>
        <w:right w:val="none" w:sz="0" w:space="0" w:color="auto"/>
      </w:divBdr>
    </w:div>
    <w:div w:id="1865705101">
      <w:bodyDiv w:val="1"/>
      <w:marLeft w:val="0"/>
      <w:marRight w:val="0"/>
      <w:marTop w:val="0"/>
      <w:marBottom w:val="0"/>
      <w:divBdr>
        <w:top w:val="none" w:sz="0" w:space="0" w:color="auto"/>
        <w:left w:val="none" w:sz="0" w:space="0" w:color="auto"/>
        <w:bottom w:val="none" w:sz="0" w:space="0" w:color="auto"/>
        <w:right w:val="none" w:sz="0" w:space="0" w:color="auto"/>
      </w:divBdr>
    </w:div>
    <w:div w:id="1883443177">
      <w:bodyDiv w:val="1"/>
      <w:marLeft w:val="0"/>
      <w:marRight w:val="0"/>
      <w:marTop w:val="0"/>
      <w:marBottom w:val="0"/>
      <w:divBdr>
        <w:top w:val="none" w:sz="0" w:space="0" w:color="auto"/>
        <w:left w:val="none" w:sz="0" w:space="0" w:color="auto"/>
        <w:bottom w:val="none" w:sz="0" w:space="0" w:color="auto"/>
        <w:right w:val="none" w:sz="0" w:space="0" w:color="auto"/>
      </w:divBdr>
    </w:div>
    <w:div w:id="19452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Shi18</b:Tag>
    <b:SourceType>JournalArticle</b:SourceType>
    <b:Guid>{421E4421-4335-4AF6-A60C-C3E0CECBDA7D}</b:Guid>
    <b:Author>
      <b:Author>
        <b:NameList>
          <b:Person>
            <b:Last>Shipton E</b:Last>
            <b:First>Bate</b:First>
            <b:Middle>F, Garrick R, Syeketee C, Visser E</b:Middle>
          </b:Person>
        </b:NameList>
      </b:Author>
    </b:Author>
    <b:Title>Pain medicine content, teaching and assessment in medical school curricula in Australia and New Zealand</b:Title>
    <b:JournalName>BMC Medical Education</b:JournalName>
    <b:Year>2018</b:Year>
    <b:Volume>18</b:Volume>
    <b:Issue>110</b:Issue>
    <b:Pages>1-11</b:Pages>
    <b:RefOrder>1</b:RefOrder>
  </b:Source>
  <b:Source>
    <b:Tag>Cla18</b:Tag>
    <b:SourceType>JournalArticle</b:SourceType>
    <b:Guid>{630C086B-CAAF-47F1-943E-F9D8467ADE19}</b:Guid>
    <b:Author>
      <b:Author>
        <b:NameList>
          <b:Person>
            <b:Last>Clark S</b:Last>
            <b:First>Horton</b:First>
            <b:Middle>R</b:Middle>
          </b:Person>
        </b:NameList>
      </b:Author>
    </b:Author>
    <b:Title>Low Back Pain: a major global challenge </b:Title>
    <b:JournalName>Lancet</b:JournalName>
    <b:Year>2018</b:Year>
    <b:Pages>2302</b:Pages>
    <b:Volume>391</b:Volume>
    <b:Issue>10137</b:Issue>
    <b:RefOrder>3</b:RefOrder>
  </b:Source>
  <b:Source>
    <b:Tag>Don19</b:Tag>
    <b:SourceType>JournalArticle</b:SourceType>
    <b:Guid>{0E266055-1B81-4FE8-B577-DE796E961833}</b:Guid>
    <b:Author>
      <b:Author>
        <b:NameList>
          <b:Person>
            <b:Last>Donovan PJ</b:Last>
            <b:First>Arroyo</b:First>
            <b:Middle>D, Pattullo C, Bell A</b:Middle>
          </b:Person>
        </b:NameList>
      </b:Author>
    </b:Author>
    <b:Title>Trends in opioid prescribing in Australia: a systematic review.</b:Title>
    <b:JournalName>Australian Health Review</b:JournalName>
    <b:Year>2019</b:Year>
    <b:Pages>277 - 287</b:Pages>
    <b:Volume>44</b:Volume>
    <b:Issue>2</b:Issue>
    <b:RefOrder>4</b:RefOrder>
  </b:Source>
  <b:Source>
    <b:Tag>Vea17</b:Tag>
    <b:SourceType>JournalArticle</b:SourceType>
    <b:Guid>{B0144D91-53AA-4C0E-951C-94BED684541D}</b:Guid>
    <b:Author>
      <b:Author>
        <b:NameList>
          <b:Person>
            <b:Last>Veal</b:Last>
            <b:First>F</b:First>
          </b:Person>
          <b:Person>
            <b:Last>Thompson</b:Last>
            <b:First>A</b:First>
          </b:Person>
          <b:Person>
            <b:Last>Berezinicki</b:Last>
            <b:First>L</b:First>
          </b:Person>
          <b:Person>
            <b:Last>Peterson</b:Last>
            <b:First>G</b:First>
          </b:Person>
        </b:NameList>
      </b:Author>
    </b:Author>
    <b:Title>Persistent Pain management in Australian General Practice.</b:Title>
    <b:JournalName>Australian Journal of Primary Health</b:JournalName>
    <b:Year>2017</b:Year>
    <b:Pages>105 - 6</b:Pages>
    <b:Volume>23</b:Volume>
    <b:RefOrder>2</b:RefOrder>
  </b:Source>
  <b:Source>
    <b:Tag>Placeholder1</b:Tag>
    <b:SourceType>JournalArticle</b:SourceType>
    <b:Guid>{E0DB5F79-5468-4BC4-B2E3-2F5603AA2382}</b:Guid>
    <b:Author>
      <b:Author>
        <b:NameList>
          <b:Person>
            <b:Last>Clark</b:Last>
            <b:First>S</b:First>
          </b:Person>
          <b:Person>
            <b:Last>Horton</b:Last>
            <b:First>R</b:First>
          </b:Person>
        </b:NameList>
      </b:Author>
    </b:Author>
    <b:Title>Low Back Pain: a major global challenge</b:Title>
    <b:JournalName>Lancet</b:JournalName>
    <b:Year>2018</b:Year>
    <b:Pages>2302</b:Pages>
    <b:Volume>391</b:Volume>
    <b:Issue>10137</b:Issue>
    <b:RefOrder>5</b:RefOrder>
  </b:Source>
</b:Sources>
</file>

<file path=customXml/itemProps1.xml><?xml version="1.0" encoding="utf-8"?>
<ds:datastoreItem xmlns:ds="http://schemas.openxmlformats.org/officeDocument/2006/customXml" ds:itemID="{E3B0E28F-EF32-4B94-AA81-35EBA4B3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11703</CharactersWithSpaces>
  <SharedDoc>false</SharedDoc>
  <HLinks>
    <vt:vector size="36" baseType="variant">
      <vt:variant>
        <vt:i4>7077981</vt:i4>
      </vt:variant>
      <vt:variant>
        <vt:i4>15</vt:i4>
      </vt:variant>
      <vt:variant>
        <vt:i4>0</vt:i4>
      </vt:variant>
      <vt:variant>
        <vt:i4>5</vt:i4>
      </vt:variant>
      <vt:variant>
        <vt:lpwstr>mailto:chris.seenan@gcu.ac.uk</vt:lpwstr>
      </vt:variant>
      <vt:variant>
        <vt:lpwstr/>
      </vt:variant>
      <vt:variant>
        <vt:i4>7077981</vt:i4>
      </vt:variant>
      <vt:variant>
        <vt:i4>12</vt:i4>
      </vt:variant>
      <vt:variant>
        <vt:i4>0</vt:i4>
      </vt:variant>
      <vt:variant>
        <vt:i4>5</vt:i4>
      </vt:variant>
      <vt:variant>
        <vt:lpwstr>mailto:chris.seenan@gcu.ac.uk</vt:lpwstr>
      </vt:variant>
      <vt:variant>
        <vt:lpwstr/>
      </vt:variant>
      <vt:variant>
        <vt:i4>4522001</vt:i4>
      </vt:variant>
      <vt:variant>
        <vt:i4>9</vt:i4>
      </vt:variant>
      <vt:variant>
        <vt:i4>0</vt:i4>
      </vt:variant>
      <vt:variant>
        <vt:i4>5</vt:i4>
      </vt:variant>
      <vt:variant>
        <vt:lpwstr>https://www.surveymonkey.co.uk/r/GTGKFX8</vt:lpwstr>
      </vt:variant>
      <vt:variant>
        <vt:lpwstr/>
      </vt:variant>
      <vt:variant>
        <vt:i4>7077981</vt:i4>
      </vt:variant>
      <vt:variant>
        <vt:i4>6</vt:i4>
      </vt:variant>
      <vt:variant>
        <vt:i4>0</vt:i4>
      </vt:variant>
      <vt:variant>
        <vt:i4>5</vt:i4>
      </vt:variant>
      <vt:variant>
        <vt:lpwstr>mailto:chris.seenan@gcu.ac.uk</vt:lpwstr>
      </vt:variant>
      <vt:variant>
        <vt:lpwstr/>
      </vt:variant>
      <vt:variant>
        <vt:i4>3866628</vt:i4>
      </vt:variant>
      <vt:variant>
        <vt:i4>3</vt:i4>
      </vt:variant>
      <vt:variant>
        <vt:i4>0</vt:i4>
      </vt:variant>
      <vt:variant>
        <vt:i4>5</vt:i4>
      </vt:variant>
      <vt:variant>
        <vt:lpwstr>mailto:Sivaram.Shanmugam@gcu.ac.uk</vt:lpwstr>
      </vt:variant>
      <vt:variant>
        <vt:lpwstr/>
      </vt:variant>
      <vt:variant>
        <vt:i4>7077981</vt:i4>
      </vt:variant>
      <vt:variant>
        <vt:i4>0</vt:i4>
      </vt:variant>
      <vt:variant>
        <vt:i4>0</vt:i4>
      </vt:variant>
      <vt:variant>
        <vt:i4>5</vt:i4>
      </vt:variant>
      <vt:variant>
        <vt:lpwstr>mailto:chris.seenan@gcu.ac.uk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Seenan</dc:creator>
  <cp:keywords/>
  <dc:description/>
  <cp:lastModifiedBy>Steve Gilbert</cp:lastModifiedBy>
  <cp:revision>2</cp:revision>
  <dcterms:created xsi:type="dcterms:W3CDTF">2020-05-27T09:55:00Z</dcterms:created>
  <dcterms:modified xsi:type="dcterms:W3CDTF">2020-05-27T09:55:00Z</dcterms:modified>
</cp:coreProperties>
</file>