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00BCE" w14:textId="77777777" w:rsidR="009F1E77" w:rsidRPr="004F2EA1" w:rsidRDefault="009F1E77" w:rsidP="009F1E77">
      <w:pPr>
        <w:jc w:val="center"/>
        <w:rPr>
          <w:b/>
        </w:rPr>
      </w:pPr>
      <w:bookmarkStart w:id="0" w:name="_GoBack"/>
      <w:bookmarkEnd w:id="0"/>
      <w:r w:rsidRPr="004F2EA1">
        <w:rPr>
          <w:b/>
        </w:rPr>
        <w:t xml:space="preserve">Use of ROTEM guided blood product </w:t>
      </w:r>
      <w:r>
        <w:rPr>
          <w:b/>
        </w:rPr>
        <w:t xml:space="preserve">utilisation </w:t>
      </w:r>
      <w:r w:rsidRPr="004F2EA1">
        <w:rPr>
          <w:b/>
        </w:rPr>
        <w:t xml:space="preserve">in </w:t>
      </w:r>
      <w:r>
        <w:rPr>
          <w:b/>
        </w:rPr>
        <w:t xml:space="preserve">cirrhotic </w:t>
      </w:r>
      <w:r w:rsidRPr="004F2EA1">
        <w:rPr>
          <w:b/>
        </w:rPr>
        <w:t xml:space="preserve">patients undergoing interventional procedures </w:t>
      </w:r>
      <w:r>
        <w:rPr>
          <w:b/>
        </w:rPr>
        <w:t xml:space="preserve"> (PROTEM Trial)</w:t>
      </w:r>
    </w:p>
    <w:p w14:paraId="68E1A35E" w14:textId="77777777" w:rsidR="009F1E77" w:rsidRPr="004F2EA1" w:rsidRDefault="009F1E77" w:rsidP="009F1E77">
      <w:pPr>
        <w:spacing w:after="80" w:line="276" w:lineRule="auto"/>
        <w:contextualSpacing w:val="0"/>
        <w:jc w:val="both"/>
      </w:pPr>
    </w:p>
    <w:p w14:paraId="33454812" w14:textId="77777777" w:rsidR="009F1E77" w:rsidRPr="004F2EA1" w:rsidRDefault="009F1E77" w:rsidP="009F1E77">
      <w:pPr>
        <w:spacing w:after="80" w:line="276" w:lineRule="auto"/>
        <w:contextualSpacing w:val="0"/>
        <w:jc w:val="both"/>
      </w:pPr>
    </w:p>
    <w:p w14:paraId="03EAA087" w14:textId="77777777" w:rsidR="009F1E77" w:rsidRPr="004F2EA1" w:rsidRDefault="009F1E77" w:rsidP="009F1E77">
      <w:pPr>
        <w:spacing w:after="80" w:line="276" w:lineRule="auto"/>
        <w:contextualSpacing w:val="0"/>
        <w:jc w:val="both"/>
      </w:pPr>
    </w:p>
    <w:p w14:paraId="5B1D012E" w14:textId="77777777" w:rsidR="009F1E77" w:rsidRPr="004F2EA1" w:rsidRDefault="009F1E77" w:rsidP="009F1E77">
      <w:pPr>
        <w:spacing w:after="80" w:line="276" w:lineRule="auto"/>
        <w:contextualSpacing w:val="0"/>
        <w:jc w:val="center"/>
      </w:pPr>
      <w:r w:rsidRPr="004F2EA1">
        <w:t>Investigator-led Trial</w:t>
      </w:r>
    </w:p>
    <w:p w14:paraId="02C32D03" w14:textId="77777777" w:rsidR="009F1E77" w:rsidRPr="004F2EA1" w:rsidRDefault="009F1E77" w:rsidP="009F1E77">
      <w:pPr>
        <w:spacing w:after="80" w:line="276" w:lineRule="auto"/>
        <w:contextualSpacing w:val="0"/>
        <w:jc w:val="center"/>
      </w:pPr>
    </w:p>
    <w:p w14:paraId="14A283C4" w14:textId="77777777" w:rsidR="009F1E77" w:rsidRPr="004F2EA1" w:rsidRDefault="009F1E77" w:rsidP="009F1E77">
      <w:pPr>
        <w:spacing w:after="80" w:line="276" w:lineRule="auto"/>
        <w:contextualSpacing w:val="0"/>
        <w:jc w:val="center"/>
      </w:pPr>
      <w:r w:rsidRPr="004F2EA1">
        <w:t>Flinders Medical Centre</w:t>
      </w:r>
    </w:p>
    <w:p w14:paraId="39A5A81C" w14:textId="77777777" w:rsidR="009F1E77" w:rsidRPr="004F2EA1" w:rsidRDefault="009F1E77" w:rsidP="009F1E77">
      <w:pPr>
        <w:spacing w:after="80" w:line="276" w:lineRule="auto"/>
        <w:contextualSpacing w:val="0"/>
        <w:jc w:val="center"/>
      </w:pPr>
      <w:r w:rsidRPr="004F2EA1">
        <w:t>Hepatology and Transplant Medicine Unit</w:t>
      </w:r>
    </w:p>
    <w:p w14:paraId="232F039B" w14:textId="77777777" w:rsidR="009F1E77" w:rsidRPr="004F2EA1" w:rsidRDefault="009F1E77" w:rsidP="009F1E77">
      <w:pPr>
        <w:spacing w:after="80" w:line="276" w:lineRule="auto"/>
        <w:contextualSpacing w:val="0"/>
        <w:jc w:val="center"/>
      </w:pPr>
      <w:r w:rsidRPr="004F2EA1">
        <w:t>c/- Level 3 Gastroenterology</w:t>
      </w:r>
    </w:p>
    <w:p w14:paraId="5DAA0515" w14:textId="77777777" w:rsidR="009F1E77" w:rsidRPr="004F2EA1" w:rsidRDefault="009F1E77" w:rsidP="009F1E77">
      <w:pPr>
        <w:spacing w:after="80" w:line="276" w:lineRule="auto"/>
        <w:contextualSpacing w:val="0"/>
        <w:jc w:val="center"/>
      </w:pPr>
      <w:r w:rsidRPr="004F2EA1">
        <w:t>Flinders Drive</w:t>
      </w:r>
    </w:p>
    <w:p w14:paraId="5E91E42C" w14:textId="77777777" w:rsidR="009F1E77" w:rsidRPr="004F2EA1" w:rsidRDefault="009F1E77" w:rsidP="009F1E77">
      <w:pPr>
        <w:spacing w:after="80" w:line="276" w:lineRule="auto"/>
        <w:contextualSpacing w:val="0"/>
        <w:jc w:val="center"/>
      </w:pPr>
      <w:r w:rsidRPr="004F2EA1">
        <w:t>Bedford Park SA 5042</w:t>
      </w:r>
    </w:p>
    <w:p w14:paraId="1DEB5B41" w14:textId="77777777" w:rsidR="009F1E77" w:rsidRPr="004F2EA1" w:rsidRDefault="009F1E77" w:rsidP="009F1E77">
      <w:pPr>
        <w:spacing w:after="80" w:line="276" w:lineRule="auto"/>
        <w:contextualSpacing w:val="0"/>
        <w:jc w:val="center"/>
      </w:pPr>
    </w:p>
    <w:p w14:paraId="69189C56" w14:textId="77777777" w:rsidR="009F1E77" w:rsidRPr="004F2EA1" w:rsidRDefault="009F1E77" w:rsidP="009F1E77">
      <w:pPr>
        <w:spacing w:after="80" w:line="276" w:lineRule="auto"/>
        <w:contextualSpacing w:val="0"/>
        <w:jc w:val="center"/>
      </w:pPr>
      <w:r w:rsidRPr="004F2EA1">
        <w:t>TEL: 08 8204 6989</w:t>
      </w:r>
    </w:p>
    <w:p w14:paraId="70327345" w14:textId="77777777" w:rsidR="009F1E77" w:rsidRPr="004F2EA1" w:rsidRDefault="009F1E77" w:rsidP="009F1E77">
      <w:pPr>
        <w:spacing w:after="80" w:line="276" w:lineRule="auto"/>
        <w:contextualSpacing w:val="0"/>
        <w:jc w:val="center"/>
      </w:pPr>
      <w:r w:rsidRPr="004F2EA1">
        <w:t>FAX: 08 8204 3943</w:t>
      </w:r>
    </w:p>
    <w:p w14:paraId="5A7D0AB6" w14:textId="77777777" w:rsidR="009F1E77" w:rsidRPr="004F2EA1" w:rsidRDefault="009F1E77" w:rsidP="009F1E77">
      <w:pPr>
        <w:spacing w:after="80" w:line="276" w:lineRule="auto"/>
        <w:contextualSpacing w:val="0"/>
        <w:jc w:val="center"/>
      </w:pPr>
    </w:p>
    <w:p w14:paraId="0A10D0A5" w14:textId="77777777" w:rsidR="009F1E77" w:rsidRPr="004F2EA1" w:rsidRDefault="009F1E77" w:rsidP="009F1E77">
      <w:pPr>
        <w:spacing w:after="80" w:line="276" w:lineRule="auto"/>
        <w:contextualSpacing w:val="0"/>
        <w:jc w:val="center"/>
      </w:pPr>
      <w:r>
        <w:t>July</w:t>
      </w:r>
      <w:r w:rsidRPr="004F2EA1">
        <w:t xml:space="preserve"> 2019</w:t>
      </w:r>
    </w:p>
    <w:p w14:paraId="42210C54" w14:textId="77777777" w:rsidR="009F1E77" w:rsidRPr="004F2EA1" w:rsidRDefault="009F1E77" w:rsidP="009F1E77">
      <w:pPr>
        <w:spacing w:after="80" w:line="276" w:lineRule="auto"/>
        <w:contextualSpacing w:val="0"/>
        <w:jc w:val="center"/>
      </w:pPr>
    </w:p>
    <w:p w14:paraId="08E2C9D0" w14:textId="77777777" w:rsidR="009F1E77" w:rsidRPr="004F2EA1" w:rsidRDefault="009F1E77" w:rsidP="009F1E77">
      <w:pPr>
        <w:spacing w:after="80" w:line="276" w:lineRule="auto"/>
        <w:contextualSpacing w:val="0"/>
        <w:jc w:val="center"/>
      </w:pPr>
    </w:p>
    <w:p w14:paraId="7F64D520" w14:textId="77777777" w:rsidR="009F1E77" w:rsidRPr="004F2EA1" w:rsidRDefault="009F1E77" w:rsidP="009F1E77">
      <w:pPr>
        <w:spacing w:after="80" w:line="276" w:lineRule="auto"/>
        <w:contextualSpacing w:val="0"/>
        <w:jc w:val="center"/>
      </w:pPr>
      <w:r w:rsidRPr="004F2EA1">
        <w:t>CONFIDENTIAL</w:t>
      </w:r>
    </w:p>
    <w:p w14:paraId="5A511F0A" w14:textId="77777777" w:rsidR="009F1E77" w:rsidRPr="004F2EA1" w:rsidRDefault="009F1E77" w:rsidP="009F1E77">
      <w:pPr>
        <w:spacing w:after="80" w:line="276" w:lineRule="auto"/>
        <w:contextualSpacing w:val="0"/>
        <w:jc w:val="center"/>
      </w:pPr>
      <w:r w:rsidRPr="004F2EA1">
        <w:t xml:space="preserve">The information contained herein is the property of the Hepatology Department at FMC </w:t>
      </w:r>
    </w:p>
    <w:p w14:paraId="7520AA8E" w14:textId="77777777" w:rsidR="009F1E77" w:rsidRPr="004F2EA1" w:rsidRDefault="009F1E77" w:rsidP="009F1E77">
      <w:pPr>
        <w:spacing w:after="80" w:line="276" w:lineRule="auto"/>
        <w:contextualSpacing w:val="0"/>
        <w:jc w:val="center"/>
      </w:pPr>
      <w:r w:rsidRPr="004F2EA1">
        <w:t xml:space="preserve">and may not be reproduced, published, or disclosed to others without the </w:t>
      </w:r>
    </w:p>
    <w:p w14:paraId="013C0752" w14:textId="77777777" w:rsidR="009F1E77" w:rsidRPr="004F2EA1" w:rsidRDefault="009F1E77" w:rsidP="009F1E77">
      <w:pPr>
        <w:spacing w:after="80" w:line="276" w:lineRule="auto"/>
        <w:contextualSpacing w:val="0"/>
        <w:jc w:val="center"/>
      </w:pPr>
      <w:r w:rsidRPr="004F2EA1">
        <w:t>written authorisation of Assoc. Prof Alan Wigg.</w:t>
      </w:r>
    </w:p>
    <w:p w14:paraId="76F18078" w14:textId="77777777" w:rsidR="009F1E77" w:rsidRPr="004F2EA1" w:rsidRDefault="009F1E77" w:rsidP="009F1E77">
      <w:pPr>
        <w:spacing w:after="80" w:line="276" w:lineRule="auto"/>
        <w:contextualSpacing w:val="0"/>
      </w:pPr>
    </w:p>
    <w:p w14:paraId="29DA77D4" w14:textId="77777777" w:rsidR="009F1E77" w:rsidRPr="004F2EA1" w:rsidRDefault="009F1E77" w:rsidP="009F1E77">
      <w:pPr>
        <w:spacing w:after="80" w:line="276" w:lineRule="auto"/>
        <w:contextualSpacing w:val="0"/>
      </w:pPr>
    </w:p>
    <w:p w14:paraId="3D33C52D" w14:textId="77777777" w:rsidR="009F1E77" w:rsidRPr="004F2EA1" w:rsidRDefault="009F1E77" w:rsidP="009F1E77">
      <w:pPr>
        <w:spacing w:after="80" w:line="276" w:lineRule="auto"/>
        <w:contextualSpacing w:val="0"/>
        <w:jc w:val="both"/>
        <w:rPr>
          <w:u w:val="single"/>
        </w:rPr>
      </w:pPr>
      <w:r w:rsidRPr="004F2EA1">
        <w:rPr>
          <w:u w:val="single"/>
        </w:rPr>
        <w:t>Statement of Compliance</w:t>
      </w:r>
    </w:p>
    <w:p w14:paraId="06201BEE" w14:textId="77777777" w:rsidR="009F1E77" w:rsidRPr="004F2EA1" w:rsidRDefault="009F1E77" w:rsidP="00CB0FD9">
      <w:pPr>
        <w:spacing w:after="80" w:line="276" w:lineRule="auto"/>
        <w:contextualSpacing w:val="0"/>
        <w:jc w:val="both"/>
      </w:pPr>
      <w:r w:rsidRPr="004F2EA1">
        <w:t xml:space="preserve">This study will be conducted in compliance with all stipulation of this protocol, the conditions of the ethics approval, the NHMRC National Statement on Ethical Conduct in Human Research (2007) and the Note for Guidance on Good Clinical Practice (CPMP/ICH-E6).  </w:t>
      </w:r>
    </w:p>
    <w:p w14:paraId="18DC1F01" w14:textId="77777777" w:rsidR="009F1E77" w:rsidRDefault="009F1E77" w:rsidP="00CB0FD9">
      <w:pPr>
        <w:pStyle w:val="Heading1"/>
        <w:spacing w:before="0" w:after="80" w:line="276" w:lineRule="auto"/>
        <w:jc w:val="both"/>
        <w:rPr>
          <w:rFonts w:cs="Times New Roman"/>
          <w:b w:val="0"/>
          <w:bCs w:val="0"/>
          <w:kern w:val="0"/>
          <w:sz w:val="24"/>
          <w:szCs w:val="24"/>
        </w:rPr>
      </w:pPr>
    </w:p>
    <w:p w14:paraId="4F9E1CEA" w14:textId="77777777" w:rsidR="009F1E77" w:rsidRDefault="009F1E77" w:rsidP="00CB0FD9">
      <w:pPr>
        <w:jc w:val="both"/>
      </w:pPr>
    </w:p>
    <w:p w14:paraId="7FC815A5" w14:textId="77777777" w:rsidR="009F1E77" w:rsidRDefault="009F1E77" w:rsidP="00CB0FD9">
      <w:pPr>
        <w:jc w:val="both"/>
      </w:pPr>
    </w:p>
    <w:p w14:paraId="39F35693" w14:textId="77777777" w:rsidR="009F1E77" w:rsidRDefault="009F1E77" w:rsidP="00CB0FD9">
      <w:pPr>
        <w:jc w:val="both"/>
      </w:pPr>
    </w:p>
    <w:p w14:paraId="474D1427" w14:textId="77777777" w:rsidR="009F1E77" w:rsidRDefault="009F1E77" w:rsidP="00CB0FD9">
      <w:pPr>
        <w:jc w:val="both"/>
      </w:pPr>
    </w:p>
    <w:p w14:paraId="730AF255" w14:textId="77777777" w:rsidR="009F1E77" w:rsidRDefault="009F1E77" w:rsidP="00CB0FD9">
      <w:pPr>
        <w:jc w:val="both"/>
      </w:pPr>
    </w:p>
    <w:p w14:paraId="05FFA2BD" w14:textId="77777777" w:rsidR="009F1E77" w:rsidRPr="009F1E77" w:rsidRDefault="009F1E77" w:rsidP="00CB0FD9">
      <w:pPr>
        <w:jc w:val="both"/>
      </w:pPr>
    </w:p>
    <w:p w14:paraId="3B12E9E1" w14:textId="77777777" w:rsidR="009F1E77" w:rsidRDefault="009F1E77" w:rsidP="00CB0FD9">
      <w:pPr>
        <w:pStyle w:val="Heading1"/>
        <w:spacing w:before="0" w:after="80" w:line="276" w:lineRule="auto"/>
        <w:jc w:val="both"/>
        <w:rPr>
          <w:sz w:val="24"/>
          <w:szCs w:val="24"/>
        </w:rPr>
      </w:pPr>
    </w:p>
    <w:p w14:paraId="5FA31F93" w14:textId="77777777" w:rsidR="009F1E77" w:rsidRPr="009F1E77" w:rsidRDefault="009F1E77" w:rsidP="00CB0FD9">
      <w:pPr>
        <w:pStyle w:val="Heading1"/>
        <w:spacing w:before="0" w:after="80" w:line="276" w:lineRule="auto"/>
        <w:jc w:val="both"/>
        <w:rPr>
          <w:sz w:val="24"/>
          <w:szCs w:val="24"/>
        </w:rPr>
      </w:pPr>
      <w:r w:rsidRPr="004F2EA1">
        <w:rPr>
          <w:sz w:val="24"/>
          <w:szCs w:val="24"/>
        </w:rPr>
        <w:t>INVESTIGATORS</w:t>
      </w:r>
    </w:p>
    <w:p w14:paraId="0FFF2525" w14:textId="77777777" w:rsidR="009F1E77" w:rsidRDefault="009F1E77" w:rsidP="00CB0FD9">
      <w:pPr>
        <w:spacing w:after="80" w:line="276" w:lineRule="auto"/>
        <w:contextualSpacing w:val="0"/>
        <w:jc w:val="both"/>
      </w:pPr>
      <w:r w:rsidRPr="004F2EA1">
        <w:t>The project team will include the following investigators:</w:t>
      </w:r>
    </w:p>
    <w:p w14:paraId="4A40AEA5" w14:textId="77777777" w:rsidR="009F1E77" w:rsidRPr="009F4263" w:rsidRDefault="009F1E77" w:rsidP="00CB0FD9">
      <w:pPr>
        <w:spacing w:after="80" w:line="276" w:lineRule="auto"/>
        <w:contextualSpacing w:val="0"/>
        <w:jc w:val="both"/>
        <w:rPr>
          <w:b/>
        </w:rPr>
      </w:pPr>
      <w:r w:rsidRPr="009F4263">
        <w:rPr>
          <w:b/>
        </w:rPr>
        <w:t>Flinders Medical Centre</w:t>
      </w:r>
    </w:p>
    <w:p w14:paraId="2896AF61" w14:textId="2EFBD023" w:rsidR="00FB2C24" w:rsidRDefault="009F1E77" w:rsidP="00CB0FD9">
      <w:pPr>
        <w:pStyle w:val="ListParagraph"/>
        <w:numPr>
          <w:ilvl w:val="0"/>
          <w:numId w:val="4"/>
        </w:numPr>
        <w:spacing w:after="80" w:line="276" w:lineRule="auto"/>
        <w:contextualSpacing w:val="0"/>
        <w:jc w:val="both"/>
      </w:pPr>
      <w:r w:rsidRPr="004F2EA1">
        <w:t xml:space="preserve">A/Professor Alan Wigg </w:t>
      </w:r>
      <w:r>
        <w:t>–</w:t>
      </w:r>
      <w:r w:rsidRPr="004F2EA1">
        <w:t xml:space="preserve"> Hepatologist</w:t>
      </w:r>
      <w:r>
        <w:t>,</w:t>
      </w:r>
      <w:r w:rsidRPr="004F2EA1">
        <w:t xml:space="preserve"> </w:t>
      </w:r>
      <w:r w:rsidR="008876DC">
        <w:t xml:space="preserve">Coordinating </w:t>
      </w:r>
      <w:r>
        <w:t xml:space="preserve">Principal Investigator, </w:t>
      </w:r>
      <w:r w:rsidRPr="004F2EA1">
        <w:t>FMC</w:t>
      </w:r>
      <w:r w:rsidR="00FB2C24">
        <w:t xml:space="preserve">. </w:t>
      </w:r>
    </w:p>
    <w:p w14:paraId="2E78BE3E" w14:textId="4C60BB12" w:rsidR="009F1E77" w:rsidRPr="004F2EA1" w:rsidRDefault="00FB2C24" w:rsidP="00FB2C24">
      <w:pPr>
        <w:pStyle w:val="ListParagraph"/>
        <w:spacing w:after="80" w:line="276" w:lineRule="auto"/>
        <w:contextualSpacing w:val="0"/>
        <w:jc w:val="both"/>
      </w:pPr>
      <w:r>
        <w:t>A/</w:t>
      </w:r>
      <w:r w:rsidRPr="00FB2C24">
        <w:t>Professor Alan Wigg</w:t>
      </w:r>
      <w:r>
        <w:t xml:space="preserve"> </w:t>
      </w:r>
      <w:r w:rsidRPr="00FB2C24">
        <w:t xml:space="preserve">will </w:t>
      </w:r>
      <w:r w:rsidR="00BA1862">
        <w:t>assume</w:t>
      </w:r>
      <w:r w:rsidRPr="00FB2C24">
        <w:t xml:space="preserve"> overall responsibility for the study.</w:t>
      </w:r>
    </w:p>
    <w:p w14:paraId="6927233E" w14:textId="61DFE850" w:rsidR="009F1E77" w:rsidRPr="004F2EA1" w:rsidRDefault="009F1E77" w:rsidP="00CB0FD9">
      <w:pPr>
        <w:pStyle w:val="ListParagraph"/>
        <w:numPr>
          <w:ilvl w:val="0"/>
          <w:numId w:val="4"/>
        </w:numPr>
        <w:spacing w:after="80" w:line="276" w:lineRule="auto"/>
        <w:contextualSpacing w:val="0"/>
        <w:jc w:val="both"/>
      </w:pPr>
      <w:r w:rsidRPr="004F2EA1">
        <w:t xml:space="preserve">A/Professor </w:t>
      </w:r>
      <w:r w:rsidRPr="004F2EA1">
        <w:rPr>
          <w:rStyle w:val="rpc41"/>
        </w:rPr>
        <w:t xml:space="preserve">David Roxby - </w:t>
      </w:r>
      <w:r w:rsidRPr="004F2EA1">
        <w:t>Chief Medical Scientist of Transfusion Services</w:t>
      </w:r>
      <w:r>
        <w:t>,</w:t>
      </w:r>
      <w:r w:rsidRPr="004F2EA1">
        <w:t xml:space="preserve"> </w:t>
      </w:r>
      <w:r w:rsidR="00212D19">
        <w:t xml:space="preserve">Principal Investigator, </w:t>
      </w:r>
      <w:r w:rsidR="00212D19" w:rsidRPr="004F2EA1">
        <w:t>FMC</w:t>
      </w:r>
    </w:p>
    <w:p w14:paraId="1D7FEFBF" w14:textId="25979994" w:rsidR="009F1E77" w:rsidRPr="004F2EA1" w:rsidRDefault="009F1E77" w:rsidP="00CB0FD9">
      <w:pPr>
        <w:pStyle w:val="ListParagraph"/>
        <w:numPr>
          <w:ilvl w:val="0"/>
          <w:numId w:val="4"/>
        </w:numPr>
        <w:spacing w:after="80" w:line="276" w:lineRule="auto"/>
        <w:contextualSpacing w:val="0"/>
        <w:jc w:val="both"/>
      </w:pPr>
      <w:r w:rsidRPr="004F2EA1">
        <w:t xml:space="preserve">Dr </w:t>
      </w:r>
      <w:r w:rsidRPr="004F2EA1">
        <w:rPr>
          <w:rStyle w:val="rpc41"/>
        </w:rPr>
        <w:t>Magdalena Sobieraj-Teague – Haematologist</w:t>
      </w:r>
      <w:r>
        <w:rPr>
          <w:rStyle w:val="rpc41"/>
        </w:rPr>
        <w:t>,</w:t>
      </w:r>
      <w:r w:rsidRPr="004F2EA1">
        <w:rPr>
          <w:rStyle w:val="rpc41"/>
        </w:rPr>
        <w:t xml:space="preserve"> </w:t>
      </w:r>
      <w:r w:rsidR="00212D19">
        <w:t xml:space="preserve">Principal Investigator, </w:t>
      </w:r>
      <w:r w:rsidRPr="004F2EA1">
        <w:rPr>
          <w:rStyle w:val="rpc41"/>
        </w:rPr>
        <w:t>FMC</w:t>
      </w:r>
    </w:p>
    <w:p w14:paraId="501D2D48" w14:textId="77777777" w:rsidR="009F1E77" w:rsidRPr="00C01CBD" w:rsidRDefault="009F1E77" w:rsidP="00CB0FD9">
      <w:pPr>
        <w:pStyle w:val="ListParagraph"/>
        <w:numPr>
          <w:ilvl w:val="0"/>
          <w:numId w:val="4"/>
        </w:numPr>
        <w:spacing w:after="80" w:line="276" w:lineRule="auto"/>
        <w:contextualSpacing w:val="0"/>
        <w:jc w:val="both"/>
      </w:pPr>
      <w:r w:rsidRPr="004D4174">
        <w:t>Dr Yasmina Tashkent – Hepatology</w:t>
      </w:r>
      <w:r w:rsidRPr="00C22548">
        <w:t>/Gastroenterology</w:t>
      </w:r>
      <w:r w:rsidRPr="003F2D1B">
        <w:t xml:space="preserve"> Advanced Trainee, </w:t>
      </w:r>
      <w:r w:rsidRPr="00A51451">
        <w:t>Study Coordinator</w:t>
      </w:r>
      <w:r w:rsidRPr="00C01CBD">
        <w:t>, FMC</w:t>
      </w:r>
    </w:p>
    <w:p w14:paraId="0A5EF428" w14:textId="77777777" w:rsidR="009F1E77" w:rsidRPr="00C01CBD" w:rsidRDefault="009F1E77" w:rsidP="00CB0FD9">
      <w:pPr>
        <w:pStyle w:val="ListParagraph"/>
        <w:numPr>
          <w:ilvl w:val="0"/>
          <w:numId w:val="4"/>
        </w:numPr>
        <w:spacing w:after="80" w:line="276" w:lineRule="auto"/>
        <w:contextualSpacing w:val="0"/>
        <w:jc w:val="both"/>
      </w:pPr>
      <w:r w:rsidRPr="00C01CBD">
        <w:t>Dr Sumudu Narayana – Hepatology Department Clinical Research Scientist, FMC</w:t>
      </w:r>
    </w:p>
    <w:p w14:paraId="77C96391" w14:textId="77777777" w:rsidR="009F1E77" w:rsidRPr="00C01CBD" w:rsidRDefault="009F1E77" w:rsidP="00CB0FD9">
      <w:pPr>
        <w:spacing w:after="80" w:line="276" w:lineRule="auto"/>
        <w:contextualSpacing w:val="0"/>
        <w:jc w:val="both"/>
        <w:rPr>
          <w:b/>
        </w:rPr>
      </w:pPr>
      <w:r w:rsidRPr="00C01CBD">
        <w:rPr>
          <w:b/>
        </w:rPr>
        <w:t>Royal Adelaide Hospital</w:t>
      </w:r>
    </w:p>
    <w:p w14:paraId="03FDA4FF" w14:textId="1E4580DF" w:rsidR="009F1E77" w:rsidRPr="00C01CBD" w:rsidRDefault="00CD78C1" w:rsidP="00CB0FD9">
      <w:pPr>
        <w:pStyle w:val="ListParagraph"/>
        <w:numPr>
          <w:ilvl w:val="0"/>
          <w:numId w:val="4"/>
        </w:numPr>
        <w:spacing w:after="80" w:line="276" w:lineRule="auto"/>
        <w:contextualSpacing w:val="0"/>
        <w:jc w:val="both"/>
      </w:pPr>
      <w:r w:rsidRPr="00C01CBD">
        <w:rPr>
          <w:rFonts w:cs="Calibri"/>
        </w:rPr>
        <w:t>A/Professor</w:t>
      </w:r>
      <w:r w:rsidR="00187895" w:rsidRPr="00C01CBD">
        <w:rPr>
          <w:rFonts w:cs="Calibri"/>
        </w:rPr>
        <w:t xml:space="preserve"> Edmund</w:t>
      </w:r>
      <w:r w:rsidR="00C01CBD" w:rsidRPr="00C01CBD">
        <w:rPr>
          <w:rFonts w:cs="Calibri"/>
        </w:rPr>
        <w:t xml:space="preserve"> Tse -</w:t>
      </w:r>
      <w:r w:rsidR="009F1E77" w:rsidRPr="00C01CBD">
        <w:rPr>
          <w:rFonts w:cs="Calibri"/>
        </w:rPr>
        <w:t xml:space="preserve"> </w:t>
      </w:r>
      <w:r w:rsidR="00CB0FD9" w:rsidRPr="00C01CBD">
        <w:t>Hepatologist,</w:t>
      </w:r>
      <w:r w:rsidR="009F1E77" w:rsidRPr="00C01CBD">
        <w:rPr>
          <w:rFonts w:cs="Calibri"/>
        </w:rPr>
        <w:t xml:space="preserve"> </w:t>
      </w:r>
      <w:r w:rsidR="009F1E77" w:rsidRPr="00C01CBD">
        <w:t>Principal Investigator,</w:t>
      </w:r>
      <w:r w:rsidR="009F1E77" w:rsidRPr="00C01CBD">
        <w:rPr>
          <w:rFonts w:cs="Calibri"/>
        </w:rPr>
        <w:t xml:space="preserve"> RAH</w:t>
      </w:r>
    </w:p>
    <w:p w14:paraId="34AF6CBB" w14:textId="77777777" w:rsidR="009F1E77" w:rsidRPr="00C01CBD" w:rsidRDefault="009F1E77" w:rsidP="00CB0FD9">
      <w:pPr>
        <w:pStyle w:val="ListParagraph"/>
        <w:numPr>
          <w:ilvl w:val="0"/>
          <w:numId w:val="4"/>
        </w:numPr>
        <w:spacing w:after="80" w:line="276" w:lineRule="auto"/>
        <w:contextualSpacing w:val="0"/>
        <w:jc w:val="both"/>
      </w:pPr>
      <w:r w:rsidRPr="00C01CBD">
        <w:rPr>
          <w:rFonts w:cs="Calibri"/>
        </w:rPr>
        <w:t>Dr Tsai-Wing Ow – Hepatologist, RAH</w:t>
      </w:r>
    </w:p>
    <w:p w14:paraId="48EB0E36" w14:textId="77777777" w:rsidR="009F1E77" w:rsidRPr="00C01CBD" w:rsidRDefault="009F1E77" w:rsidP="00CB0FD9">
      <w:pPr>
        <w:spacing w:after="80" w:line="276" w:lineRule="auto"/>
        <w:contextualSpacing w:val="0"/>
        <w:jc w:val="both"/>
        <w:rPr>
          <w:b/>
        </w:rPr>
      </w:pPr>
      <w:r w:rsidRPr="00C01CBD">
        <w:rPr>
          <w:b/>
        </w:rPr>
        <w:t>Lyell McEwin Hospital</w:t>
      </w:r>
    </w:p>
    <w:p w14:paraId="7C8D0402" w14:textId="6BE1CFE9" w:rsidR="009F1E77" w:rsidRPr="00C01CBD" w:rsidRDefault="009F1E77" w:rsidP="00CB0FD9">
      <w:pPr>
        <w:pStyle w:val="ListParagraph"/>
        <w:numPr>
          <w:ilvl w:val="0"/>
          <w:numId w:val="4"/>
        </w:numPr>
        <w:spacing w:after="80" w:line="276" w:lineRule="auto"/>
        <w:contextualSpacing w:val="0"/>
        <w:jc w:val="both"/>
      </w:pPr>
      <w:r w:rsidRPr="00C01CBD">
        <w:t xml:space="preserve">Dr </w:t>
      </w:r>
      <w:r w:rsidR="00C01CBD" w:rsidRPr="00C01CBD">
        <w:rPr>
          <w:color w:val="000000"/>
          <w:shd w:val="clear" w:color="auto" w:fill="FFFFFF"/>
        </w:rPr>
        <w:t xml:space="preserve">Biju George </w:t>
      </w:r>
      <w:r w:rsidRPr="00C01CBD">
        <w:t>-</w:t>
      </w:r>
      <w:r w:rsidR="00CD78C1" w:rsidRPr="00C01CBD">
        <w:t xml:space="preserve"> </w:t>
      </w:r>
      <w:r w:rsidRPr="00C01CBD">
        <w:t>Hepatologist, Principal Investigator, LMH</w:t>
      </w:r>
    </w:p>
    <w:p w14:paraId="48DFAB20" w14:textId="77777777" w:rsidR="009F1E77" w:rsidRPr="00C01CBD" w:rsidRDefault="009F1E77" w:rsidP="00CB0FD9">
      <w:pPr>
        <w:spacing w:after="80" w:line="276" w:lineRule="auto"/>
        <w:contextualSpacing w:val="0"/>
        <w:jc w:val="both"/>
        <w:rPr>
          <w:b/>
        </w:rPr>
      </w:pPr>
      <w:r w:rsidRPr="00C01CBD">
        <w:rPr>
          <w:b/>
        </w:rPr>
        <w:t>Sir Charles Gardiner Hospital</w:t>
      </w:r>
    </w:p>
    <w:p w14:paraId="47B4C1C4" w14:textId="6879E6AA" w:rsidR="009F1E77" w:rsidRPr="00A51451" w:rsidRDefault="00CD78C1" w:rsidP="00CB0FD9">
      <w:pPr>
        <w:pStyle w:val="ListParagraph"/>
        <w:numPr>
          <w:ilvl w:val="0"/>
          <w:numId w:val="9"/>
        </w:numPr>
        <w:spacing w:after="80" w:line="276" w:lineRule="auto"/>
        <w:contextualSpacing w:val="0"/>
        <w:jc w:val="both"/>
      </w:pPr>
      <w:r>
        <w:t>A/</w:t>
      </w:r>
      <w:r w:rsidR="009F1E77" w:rsidRPr="00A51451">
        <w:t>Professor Leon Adams</w:t>
      </w:r>
      <w:r w:rsidR="00C01CBD">
        <w:t xml:space="preserve"> -</w:t>
      </w:r>
      <w:r w:rsidR="009F1E77">
        <w:t xml:space="preserve"> </w:t>
      </w:r>
      <w:r w:rsidR="00CB0FD9" w:rsidRPr="00A51451">
        <w:t xml:space="preserve">Hepatologist, </w:t>
      </w:r>
      <w:r w:rsidR="009F1E77">
        <w:t>Principal Investigator, SCGH</w:t>
      </w:r>
    </w:p>
    <w:p w14:paraId="7C7A5F8E" w14:textId="77777777" w:rsidR="009F1E77" w:rsidRPr="004F2EA1" w:rsidRDefault="009F1E77" w:rsidP="00CB0FD9">
      <w:pPr>
        <w:pStyle w:val="Heading1"/>
        <w:spacing w:before="0" w:after="80" w:line="276" w:lineRule="auto"/>
        <w:jc w:val="both"/>
        <w:rPr>
          <w:sz w:val="24"/>
          <w:szCs w:val="24"/>
        </w:rPr>
      </w:pPr>
      <w:bookmarkStart w:id="1" w:name="_Toc479769054"/>
    </w:p>
    <w:p w14:paraId="7DB0C53D" w14:textId="77777777" w:rsidR="009F1E77" w:rsidRPr="009F4263" w:rsidRDefault="009F1E77" w:rsidP="00CB0FD9">
      <w:pPr>
        <w:pStyle w:val="Heading1"/>
        <w:spacing w:before="0" w:after="80" w:line="276" w:lineRule="auto"/>
        <w:jc w:val="both"/>
        <w:rPr>
          <w:sz w:val="24"/>
          <w:szCs w:val="24"/>
        </w:rPr>
      </w:pPr>
      <w:r w:rsidRPr="009F4263">
        <w:rPr>
          <w:sz w:val="24"/>
          <w:szCs w:val="24"/>
        </w:rPr>
        <w:t>Background</w:t>
      </w:r>
      <w:bookmarkEnd w:id="1"/>
    </w:p>
    <w:p w14:paraId="018BC2B4" w14:textId="77777777" w:rsidR="009F1E77" w:rsidRPr="000227ED" w:rsidRDefault="009F1E77" w:rsidP="00CB0FD9">
      <w:pPr>
        <w:jc w:val="both"/>
        <w:rPr>
          <w:rFonts w:cs="Arial"/>
          <w:lang w:val="en-US"/>
        </w:rPr>
      </w:pPr>
      <w:r w:rsidRPr="00A51451">
        <w:rPr>
          <w:rFonts w:cs="Calibri"/>
          <w:lang w:eastAsia="ar-SA"/>
        </w:rPr>
        <w:t xml:space="preserve">The Australian Liver Association (2013) estimates that over 5 million Australians are affected by chronic liver disease (CLD). </w:t>
      </w:r>
      <w:r w:rsidRPr="00A51451">
        <w:t xml:space="preserve">Patients with </w:t>
      </w:r>
      <w:r w:rsidRPr="00A51451">
        <w:rPr>
          <w:rFonts w:cs="Arial"/>
          <w:lang w:val="en-US"/>
        </w:rPr>
        <w:t xml:space="preserve">CLD </w:t>
      </w:r>
      <w:r w:rsidRPr="00A51451">
        <w:t>frequently require invasive interventional procedures during routine care, which can be associated with an increased risk of bleeding. Traditionally the risk of bleeding in cirrhotic patients has been assessed using platelet count and i</w:t>
      </w:r>
      <w:r w:rsidRPr="00A51451">
        <w:rPr>
          <w:rStyle w:val="e24kjd"/>
          <w:bCs/>
        </w:rPr>
        <w:t>nternational normalized ratio</w:t>
      </w:r>
      <w:r w:rsidRPr="00A51451">
        <w:rPr>
          <w:rStyle w:val="e24kjd"/>
        </w:rPr>
        <w:t xml:space="preserve"> (</w:t>
      </w:r>
      <w:r w:rsidRPr="00A51451">
        <w:t>INR)</w:t>
      </w:r>
      <w:r>
        <w:t>.</w:t>
      </w:r>
      <w:r w:rsidRPr="00A51451">
        <w:t xml:space="preserve"> </w:t>
      </w:r>
      <w:r>
        <w:t>P</w:t>
      </w:r>
      <w:r w:rsidRPr="00A51451">
        <w:t xml:space="preserve">atients with low platelet counts or elevated INR are given platelet transfusions or clotting factors (fresh frozen plasma (FFP) or cryoprecipitate) to reduce the risk of bleeding. </w:t>
      </w:r>
      <w:r w:rsidRPr="00A51451">
        <w:rPr>
          <w:rFonts w:cs="Arial"/>
        </w:rPr>
        <w:t>However, routine coagulation studies</w:t>
      </w:r>
      <w:r>
        <w:rPr>
          <w:rFonts w:cs="Arial"/>
        </w:rPr>
        <w:t>,</w:t>
      </w:r>
      <w:r w:rsidRPr="00A51451">
        <w:rPr>
          <w:rFonts w:cs="Arial"/>
        </w:rPr>
        <w:t xml:space="preserve"> such as </w:t>
      </w:r>
      <w:r w:rsidRPr="00A51451">
        <w:rPr>
          <w:rFonts w:cs="Arial"/>
          <w:lang w:val="en-US"/>
        </w:rPr>
        <w:t>INR and platelet count</w:t>
      </w:r>
      <w:r>
        <w:rPr>
          <w:rFonts w:cs="Arial"/>
          <w:lang w:val="en-US"/>
        </w:rPr>
        <w:t>,</w:t>
      </w:r>
      <w:r w:rsidRPr="00A51451">
        <w:rPr>
          <w:rFonts w:cs="Arial"/>
          <w:lang w:val="en-US"/>
        </w:rPr>
        <w:t xml:space="preserve"> do not accurately reflect </w:t>
      </w:r>
      <w:r>
        <w:rPr>
          <w:rFonts w:cs="Arial"/>
          <w:lang w:val="en-US"/>
        </w:rPr>
        <w:t xml:space="preserve">the </w:t>
      </w:r>
      <w:r w:rsidRPr="00A51451">
        <w:rPr>
          <w:rFonts w:cs="Arial"/>
          <w:lang w:val="en-US"/>
        </w:rPr>
        <w:t xml:space="preserve">risk </w:t>
      </w:r>
      <w:r>
        <w:rPr>
          <w:rFonts w:cs="Arial"/>
          <w:lang w:val="en-US"/>
        </w:rPr>
        <w:t xml:space="preserve">of </w:t>
      </w:r>
      <w:r w:rsidRPr="00437373">
        <w:rPr>
          <w:rFonts w:cs="Arial"/>
          <w:lang w:val="en-US"/>
        </w:rPr>
        <w:t xml:space="preserve">bleeding </w:t>
      </w:r>
      <w:r w:rsidRPr="00A51451">
        <w:rPr>
          <w:rFonts w:cs="Arial"/>
          <w:lang w:val="en-US"/>
        </w:rPr>
        <w:t xml:space="preserve">in these patients due to the complex changes in the coagulation system that occurs </w:t>
      </w:r>
      <w:r w:rsidRPr="000227ED">
        <w:rPr>
          <w:rFonts w:cs="Arial"/>
          <w:lang w:val="en-US"/>
        </w:rPr>
        <w:t xml:space="preserve">in CLD. </w:t>
      </w:r>
      <w:r w:rsidRPr="000227ED">
        <w:t>Subsequently, the use of blood products in this setting is resource intensive and not evidence based.</w:t>
      </w:r>
      <w:r w:rsidRPr="000227ED">
        <w:rPr>
          <w:rFonts w:cs="Arial"/>
          <w:lang w:val="en-US"/>
        </w:rPr>
        <w:t xml:space="preserve"> It is suggested that newer technology, such as </w:t>
      </w:r>
      <w:r w:rsidRPr="000227ED">
        <w:rPr>
          <w:rFonts w:cs="Arial"/>
        </w:rPr>
        <w:t>rotational thromboelastometry (ROTEM), can predict the risk of thrombosis and bleeding in liver disease, which has led to its widespread use in liver transplantation to guide transfusion (Hartmann, Szalai and Saner, 2016). ROTEM measures the viscoelastic properties of blood to assess clot formation time, clot dissolution time and clot firmness, and can identify defects in coagulation (Forkin et al, 2018)</w:t>
      </w:r>
    </w:p>
    <w:p w14:paraId="69B92B82" w14:textId="77777777" w:rsidR="009F1E77" w:rsidRPr="000227ED" w:rsidRDefault="009F1E77" w:rsidP="00CB0FD9">
      <w:pPr>
        <w:spacing w:line="276" w:lineRule="auto"/>
        <w:jc w:val="both"/>
        <w:rPr>
          <w:rFonts w:cs="Arial"/>
        </w:rPr>
      </w:pPr>
    </w:p>
    <w:p w14:paraId="7FC71C4D" w14:textId="77777777" w:rsidR="009F1E77" w:rsidRPr="000227ED" w:rsidRDefault="009F1E77" w:rsidP="00CB0FD9">
      <w:pPr>
        <w:jc w:val="both"/>
      </w:pPr>
      <w:r w:rsidRPr="000227ED">
        <w:rPr>
          <w:rFonts w:cs="Arial"/>
        </w:rPr>
        <w:t xml:space="preserve">Overall, there are no prospective trials investigating whether ROTEM can be used to reduce the use of blood products in patients with CLD undergoing invasive procedures. </w:t>
      </w:r>
      <w:r w:rsidRPr="000227ED">
        <w:rPr>
          <w:lang w:val="en-US"/>
        </w:rPr>
        <w:t xml:space="preserve">A randomized controlled trial by De Pietri et al (2016) </w:t>
      </w:r>
      <w:r w:rsidRPr="000227ED">
        <w:t xml:space="preserve">using </w:t>
      </w:r>
      <w:r w:rsidRPr="000227ED">
        <w:rPr>
          <w:lang w:val="en-US"/>
        </w:rPr>
        <w:t xml:space="preserve">similar point of care testing called </w:t>
      </w:r>
      <w:r w:rsidRPr="004613E8">
        <w:rPr>
          <w:rFonts w:cs="Arial"/>
        </w:rPr>
        <w:t>t</w:t>
      </w:r>
      <w:r w:rsidRPr="004613E8">
        <w:rPr>
          <w:rFonts w:cs="Arial"/>
          <w:lang w:val="en-US"/>
        </w:rPr>
        <w:t>hrombelastography</w:t>
      </w:r>
      <w:r w:rsidRPr="004613E8">
        <w:rPr>
          <w:rFonts w:cs="Arial"/>
        </w:rPr>
        <w:t xml:space="preserve"> </w:t>
      </w:r>
      <w:r w:rsidRPr="000227ED">
        <w:rPr>
          <w:lang w:val="en-US"/>
        </w:rPr>
        <w:t xml:space="preserve">(TEG) </w:t>
      </w:r>
      <w:r w:rsidRPr="000227ED">
        <w:t xml:space="preserve">on </w:t>
      </w:r>
      <w:r w:rsidRPr="000227ED">
        <w:rPr>
          <w:lang w:val="en-US"/>
        </w:rPr>
        <w:t>patients with CLD undergoing</w:t>
      </w:r>
      <w:r w:rsidRPr="000227ED">
        <w:t xml:space="preserve"> </w:t>
      </w:r>
      <w:r w:rsidRPr="000227ED">
        <w:rPr>
          <w:lang w:val="en-US"/>
        </w:rPr>
        <w:t xml:space="preserve">invasive </w:t>
      </w:r>
      <w:r w:rsidRPr="000227ED">
        <w:t xml:space="preserve"> </w:t>
      </w:r>
      <w:r w:rsidRPr="000227ED">
        <w:rPr>
          <w:lang w:val="en-US"/>
        </w:rPr>
        <w:t xml:space="preserve">procedures  showed that following a </w:t>
      </w:r>
      <w:r w:rsidRPr="004613E8">
        <w:rPr>
          <w:rFonts w:cs="Arial"/>
          <w:color w:val="231F20"/>
          <w:lang w:val="en-US"/>
        </w:rPr>
        <w:t>transfusion strategy based on TEG</w:t>
      </w:r>
      <w:r w:rsidRPr="000227ED">
        <w:rPr>
          <w:lang w:val="en-US"/>
        </w:rPr>
        <w:t xml:space="preserve"> reduced the use of blood products with </w:t>
      </w:r>
      <w:r w:rsidRPr="000227ED">
        <w:t>no increase in bleeding nor adverse events. However, the paper was compromised by the inclusion of low risk procedures and the potential overuse of blood products in the standard of care arm.</w:t>
      </w:r>
    </w:p>
    <w:p w14:paraId="1495A7DE" w14:textId="77777777" w:rsidR="009F1E77" w:rsidRPr="000227ED" w:rsidRDefault="009F1E77" w:rsidP="00CB0FD9">
      <w:pPr>
        <w:jc w:val="both"/>
      </w:pPr>
    </w:p>
    <w:p w14:paraId="4C55A6B8" w14:textId="77777777" w:rsidR="009F1E77" w:rsidRPr="00E02AEA" w:rsidRDefault="009F1E77" w:rsidP="00CB0FD9">
      <w:pPr>
        <w:jc w:val="both"/>
        <w:rPr>
          <w:rFonts w:cs="Arial"/>
        </w:rPr>
      </w:pPr>
      <w:r>
        <w:rPr>
          <w:rFonts w:cs="Arial"/>
        </w:rPr>
        <w:t xml:space="preserve">An </w:t>
      </w:r>
      <w:r w:rsidRPr="003F2D1B">
        <w:rPr>
          <w:rFonts w:cs="Arial"/>
        </w:rPr>
        <w:t>observational stud</w:t>
      </w:r>
      <w:r>
        <w:rPr>
          <w:rFonts w:cs="Arial"/>
        </w:rPr>
        <w:t>y</w:t>
      </w:r>
      <w:r w:rsidRPr="003F2D1B">
        <w:rPr>
          <w:rFonts w:cs="Arial"/>
        </w:rPr>
        <w:t xml:space="preserve"> </w:t>
      </w:r>
      <w:r>
        <w:rPr>
          <w:rFonts w:cs="Arial"/>
        </w:rPr>
        <w:t xml:space="preserve">by </w:t>
      </w:r>
      <w:r w:rsidRPr="00E54B61">
        <w:rPr>
          <w:rFonts w:cs="Arial"/>
          <w:bCs/>
          <w:lang w:val="en-US"/>
        </w:rPr>
        <w:t>Venon et al. (2015) on whether ROTEM could be used to identify bleeding risk in patients with cirrhosis undergoing invasive procedures</w:t>
      </w:r>
      <w:r w:rsidRPr="00E54B61">
        <w:rPr>
          <w:rFonts w:cs="Arial"/>
          <w:bCs/>
        </w:rPr>
        <w:t xml:space="preserve"> </w:t>
      </w:r>
      <w:r w:rsidRPr="00E54B61">
        <w:rPr>
          <w:rFonts w:cs="Arial"/>
        </w:rPr>
        <w:t>and a case control study on liver transplant patients (</w:t>
      </w:r>
      <w:r w:rsidRPr="00E54B61">
        <w:rPr>
          <w:rFonts w:cs="Arial"/>
          <w:bCs/>
          <w:lang w:val="en-US"/>
        </w:rPr>
        <w:t>Alamo et al, 2013)</w:t>
      </w:r>
      <w:r>
        <w:rPr>
          <w:rFonts w:cs="Arial"/>
        </w:rPr>
        <w:t xml:space="preserve"> </w:t>
      </w:r>
      <w:r w:rsidRPr="003F2D1B">
        <w:rPr>
          <w:rFonts w:cs="Arial"/>
        </w:rPr>
        <w:t xml:space="preserve">have suggested that </w:t>
      </w:r>
      <w:r>
        <w:rPr>
          <w:rFonts w:cs="Arial"/>
        </w:rPr>
        <w:t>blood product use</w:t>
      </w:r>
      <w:r w:rsidRPr="003F2D1B">
        <w:rPr>
          <w:rFonts w:cs="Arial"/>
        </w:rPr>
        <w:t xml:space="preserve"> can be reduced by using ROTEM guidance in patients with CLD</w:t>
      </w:r>
      <w:r>
        <w:rPr>
          <w:rFonts w:cs="Arial"/>
        </w:rPr>
        <w:t xml:space="preserve">. </w:t>
      </w:r>
      <w:r w:rsidRPr="003F2D1B">
        <w:rPr>
          <w:rFonts w:cs="Arial"/>
        </w:rPr>
        <w:t xml:space="preserve">Rocha et al (2017) are currently conducting a </w:t>
      </w:r>
      <w:r>
        <w:rPr>
          <w:rFonts w:cs="Arial"/>
          <w:color w:val="131413"/>
          <w:lang w:val="en-US"/>
        </w:rPr>
        <w:t>randomized</w:t>
      </w:r>
      <w:r w:rsidRPr="003F2D1B">
        <w:rPr>
          <w:rFonts w:cs="Arial"/>
          <w:color w:val="131413"/>
          <w:lang w:val="en-US"/>
        </w:rPr>
        <w:t xml:space="preserve"> controlled trial to investigate three blood product transfusion protocols, including ROTEM, in critically unwell patients with cirrhosis before undergoing central venous catheterization (CVC). </w:t>
      </w:r>
      <w:r w:rsidRPr="003F2D1B">
        <w:rPr>
          <w:rFonts w:cs="Arial"/>
        </w:rPr>
        <w:t>However, their study is only investigating patients undergoing CVC insertion and does not include other invasive procedures.</w:t>
      </w:r>
    </w:p>
    <w:p w14:paraId="0CE9CE18" w14:textId="77777777" w:rsidR="009F1E77" w:rsidRDefault="009F1E77" w:rsidP="00CB0FD9">
      <w:pPr>
        <w:jc w:val="both"/>
        <w:rPr>
          <w:rFonts w:cs="Arial"/>
        </w:rPr>
      </w:pPr>
    </w:p>
    <w:p w14:paraId="00941BC1" w14:textId="77777777" w:rsidR="009F1E77" w:rsidRPr="005F7FD7" w:rsidRDefault="009F1E77" w:rsidP="00CB0FD9">
      <w:pPr>
        <w:jc w:val="both"/>
        <w:rPr>
          <w:rFonts w:cs="Arial"/>
        </w:rPr>
      </w:pPr>
      <w:r>
        <w:rPr>
          <w:rFonts w:cs="Arial"/>
        </w:rPr>
        <w:t>Overall</w:t>
      </w:r>
      <w:r w:rsidRPr="003F2D1B">
        <w:rPr>
          <w:rFonts w:cs="Arial"/>
        </w:rPr>
        <w:t xml:space="preserve"> </w:t>
      </w:r>
      <w:r w:rsidRPr="003F2D1B">
        <w:t>there is an evidence gap</w:t>
      </w:r>
      <w:r>
        <w:t xml:space="preserve">, with no high quality </w:t>
      </w:r>
      <w:r w:rsidRPr="003F2D1B">
        <w:t>studies demonstrating safety and cost effectiveness of ROTEM base</w:t>
      </w:r>
      <w:r w:rsidRPr="00A51451">
        <w:t>d</w:t>
      </w:r>
      <w:r w:rsidRPr="003F2D1B">
        <w:t xml:space="preserve"> protocols. </w:t>
      </w:r>
      <w:r>
        <w:rPr>
          <w:rFonts w:cs="Arial"/>
        </w:rPr>
        <w:t xml:space="preserve"> T</w:t>
      </w:r>
      <w:r w:rsidRPr="003F2D1B">
        <w:rPr>
          <w:rFonts w:cs="Arial"/>
        </w:rPr>
        <w:t xml:space="preserve">rials are needed to establish a </w:t>
      </w:r>
      <w:r>
        <w:rPr>
          <w:rFonts w:cs="Arial"/>
        </w:rPr>
        <w:t xml:space="preserve">new </w:t>
      </w:r>
      <w:r w:rsidRPr="003F2D1B">
        <w:rPr>
          <w:rFonts w:cs="Arial"/>
        </w:rPr>
        <w:t>standard of care for these patients, which may also reduce precious</w:t>
      </w:r>
      <w:r>
        <w:rPr>
          <w:rFonts w:cs="Arial"/>
        </w:rPr>
        <w:t xml:space="preserve"> and expensive</w:t>
      </w:r>
      <w:r w:rsidRPr="003F2D1B">
        <w:rPr>
          <w:rFonts w:cs="Arial"/>
        </w:rPr>
        <w:t xml:space="preserve"> blood product use. </w:t>
      </w:r>
      <w:r w:rsidRPr="00A51451">
        <w:t>To further investigate this</w:t>
      </w:r>
      <w:r>
        <w:t xml:space="preserve">, </w:t>
      </w:r>
      <w:r w:rsidRPr="00A51451">
        <w:t>a</w:t>
      </w:r>
      <w:r w:rsidRPr="003F2D1B">
        <w:t xml:space="preserve"> protocol has been developed by the Flinder</w:t>
      </w:r>
      <w:r w:rsidRPr="00A51451">
        <w:t>s</w:t>
      </w:r>
      <w:r w:rsidRPr="003F2D1B">
        <w:t xml:space="preserve"> Medical Centre </w:t>
      </w:r>
      <w:r>
        <w:t xml:space="preserve">Transfusion Service and </w:t>
      </w:r>
      <w:r w:rsidRPr="003F2D1B">
        <w:t xml:space="preserve">Haematology Department for this </w:t>
      </w:r>
      <w:r w:rsidRPr="00A51451">
        <w:t xml:space="preserve">trial </w:t>
      </w:r>
      <w:r w:rsidRPr="003F2D1B">
        <w:t>to study the effects of a ROTEM-guided blood product protocol in patients with CLD undergoing interventional procedures.</w:t>
      </w:r>
      <w:r w:rsidRPr="00A51451">
        <w:t xml:space="preserve"> </w:t>
      </w:r>
      <w:r w:rsidRPr="00A51451">
        <w:rPr>
          <w:rFonts w:cs="Arial"/>
        </w:rPr>
        <w:t>Based on this algorithm, patients will receive bloods products (FFP, cryoprecipitate or platelets) depending on certain ROTEM parameters (Figure 1.).</w:t>
      </w:r>
    </w:p>
    <w:p w14:paraId="4CF974F5" w14:textId="77777777" w:rsidR="009F1E77" w:rsidRPr="009F4263" w:rsidRDefault="009F1E77" w:rsidP="00CB0FD9">
      <w:pPr>
        <w:suppressAutoHyphens/>
        <w:spacing w:after="80" w:line="276" w:lineRule="auto"/>
        <w:jc w:val="both"/>
        <w:rPr>
          <w:rFonts w:cs="Calibri"/>
          <w:lang w:eastAsia="ar-SA"/>
        </w:rPr>
      </w:pPr>
    </w:p>
    <w:p w14:paraId="1908BD8A" w14:textId="77777777" w:rsidR="009F1E77" w:rsidRPr="009F4263" w:rsidRDefault="009F1E77" w:rsidP="00CB0FD9">
      <w:pPr>
        <w:spacing w:after="80" w:line="276" w:lineRule="auto"/>
        <w:contextualSpacing w:val="0"/>
        <w:jc w:val="both"/>
      </w:pPr>
      <w:r w:rsidRPr="009F4263">
        <w:rPr>
          <w:b/>
        </w:rPr>
        <w:t>Aim</w:t>
      </w:r>
    </w:p>
    <w:p w14:paraId="7F5C1099" w14:textId="77777777" w:rsidR="009F1E77" w:rsidRDefault="009F1E77" w:rsidP="00CB0FD9">
      <w:pPr>
        <w:spacing w:line="276" w:lineRule="auto"/>
        <w:jc w:val="both"/>
      </w:pPr>
      <w:r w:rsidRPr="009F4263">
        <w:t xml:space="preserve">The aim of this </w:t>
      </w:r>
      <w:r>
        <w:t>proposal</w:t>
      </w:r>
      <w:r w:rsidRPr="009F4263">
        <w:t xml:space="preserve"> is to study the effects of a ROTEM-guided blood product protocol in patients with chronic liver disease undergoing interventional procedures associated with a moderate to high risk of bleeding.  </w:t>
      </w:r>
    </w:p>
    <w:p w14:paraId="09F5CA00" w14:textId="77777777" w:rsidR="009F1E77" w:rsidRPr="009F4263" w:rsidRDefault="009F1E77" w:rsidP="00CB0FD9">
      <w:pPr>
        <w:spacing w:line="276" w:lineRule="auto"/>
        <w:jc w:val="both"/>
      </w:pPr>
    </w:p>
    <w:p w14:paraId="355324C3" w14:textId="77777777" w:rsidR="009F1E77" w:rsidRPr="00A51451" w:rsidRDefault="009F1E77" w:rsidP="00CB0FD9">
      <w:pPr>
        <w:jc w:val="both"/>
        <w:rPr>
          <w:b/>
        </w:rPr>
      </w:pPr>
      <w:r w:rsidRPr="00A51451">
        <w:rPr>
          <w:b/>
        </w:rPr>
        <w:t>Study endpoints</w:t>
      </w:r>
    </w:p>
    <w:p w14:paraId="51B6209C" w14:textId="77777777" w:rsidR="009F1E77" w:rsidRDefault="009F1E77" w:rsidP="00CB0FD9">
      <w:pPr>
        <w:jc w:val="both"/>
        <w:rPr>
          <w:u w:val="single"/>
        </w:rPr>
      </w:pPr>
    </w:p>
    <w:p w14:paraId="530DDD5B" w14:textId="77777777" w:rsidR="009F1E77" w:rsidRDefault="009F1E77" w:rsidP="00CB0FD9">
      <w:pPr>
        <w:jc w:val="both"/>
      </w:pPr>
      <w:r w:rsidRPr="002B37F6">
        <w:rPr>
          <w:u w:val="single"/>
        </w:rPr>
        <w:t>Primary endpoint</w:t>
      </w:r>
    </w:p>
    <w:p w14:paraId="55F1E059" w14:textId="77777777" w:rsidR="009F1E77" w:rsidRDefault="009F1E77" w:rsidP="00CB0FD9">
      <w:pPr>
        <w:pStyle w:val="ListParagraph"/>
        <w:numPr>
          <w:ilvl w:val="0"/>
          <w:numId w:val="7"/>
        </w:numPr>
        <w:jc w:val="both"/>
      </w:pPr>
      <w:r>
        <w:t>Number of patients in each group requiring blood products</w:t>
      </w:r>
    </w:p>
    <w:p w14:paraId="3B388C93" w14:textId="77777777" w:rsidR="009F1E77" w:rsidRDefault="009F1E77" w:rsidP="00CB0FD9">
      <w:pPr>
        <w:jc w:val="both"/>
      </w:pPr>
    </w:p>
    <w:p w14:paraId="0375BFDE" w14:textId="77777777" w:rsidR="009F1E77" w:rsidRPr="002B37F6" w:rsidRDefault="009F1E77" w:rsidP="00CB0FD9">
      <w:pPr>
        <w:jc w:val="both"/>
        <w:rPr>
          <w:u w:val="single"/>
        </w:rPr>
      </w:pPr>
      <w:r w:rsidRPr="002B37F6">
        <w:rPr>
          <w:u w:val="single"/>
        </w:rPr>
        <w:t>Secondary endpoints</w:t>
      </w:r>
    </w:p>
    <w:p w14:paraId="574E60AB" w14:textId="77777777" w:rsidR="009F1E77" w:rsidRDefault="009F1E77" w:rsidP="00CB0FD9">
      <w:pPr>
        <w:pStyle w:val="ListParagraph"/>
        <w:numPr>
          <w:ilvl w:val="0"/>
          <w:numId w:val="8"/>
        </w:numPr>
        <w:jc w:val="both"/>
      </w:pPr>
      <w:r>
        <w:t xml:space="preserve">Number </w:t>
      </w:r>
      <w:r w:rsidRPr="002B37F6">
        <w:t xml:space="preserve">of </w:t>
      </w:r>
      <w:r>
        <w:t xml:space="preserve">units of </w:t>
      </w:r>
      <w:r w:rsidRPr="002B37F6">
        <w:t>blood product</w:t>
      </w:r>
      <w:r>
        <w:t>s</w:t>
      </w:r>
      <w:r w:rsidRPr="002B37F6">
        <w:t xml:space="preserve"> used (</w:t>
      </w:r>
      <w:r>
        <w:t xml:space="preserve">red cells, </w:t>
      </w:r>
      <w:r w:rsidRPr="002B37F6">
        <w:t>FFP, platelet</w:t>
      </w:r>
      <w:r>
        <w:t>s, cryoprecipitate</w:t>
      </w:r>
      <w:r w:rsidRPr="002B37F6">
        <w:t>)</w:t>
      </w:r>
    </w:p>
    <w:p w14:paraId="74DF62B9" w14:textId="77777777" w:rsidR="009F1E77" w:rsidRDefault="009F1E77" w:rsidP="00CB0FD9">
      <w:pPr>
        <w:pStyle w:val="ListParagraph"/>
        <w:numPr>
          <w:ilvl w:val="0"/>
          <w:numId w:val="8"/>
        </w:numPr>
        <w:jc w:val="both"/>
      </w:pPr>
      <w:r>
        <w:t xml:space="preserve">Cost  of blood products in each arm of trial </w:t>
      </w:r>
    </w:p>
    <w:p w14:paraId="38DB54E9" w14:textId="77777777" w:rsidR="009F1E77" w:rsidRDefault="009F1E77" w:rsidP="00CB0FD9">
      <w:pPr>
        <w:pStyle w:val="ListParagraph"/>
        <w:numPr>
          <w:ilvl w:val="0"/>
          <w:numId w:val="8"/>
        </w:numPr>
        <w:jc w:val="both"/>
      </w:pPr>
      <w:r>
        <w:t>Total number of procedure-related bleeding events in each group</w:t>
      </w:r>
    </w:p>
    <w:p w14:paraId="5155324E" w14:textId="77777777" w:rsidR="009F1E77" w:rsidRDefault="009F1E77" w:rsidP="00CB0FD9">
      <w:pPr>
        <w:pStyle w:val="ListParagraph"/>
        <w:numPr>
          <w:ilvl w:val="0"/>
          <w:numId w:val="8"/>
        </w:numPr>
        <w:jc w:val="both"/>
      </w:pPr>
      <w:r>
        <w:t>Serious adverse events including transfusion related adverse events</w:t>
      </w:r>
    </w:p>
    <w:p w14:paraId="4C77B500" w14:textId="77777777" w:rsidR="009F1E77" w:rsidRDefault="009F1E77" w:rsidP="00CB0FD9">
      <w:pPr>
        <w:pStyle w:val="ListParagraph"/>
        <w:numPr>
          <w:ilvl w:val="0"/>
          <w:numId w:val="8"/>
        </w:numPr>
        <w:jc w:val="both"/>
      </w:pPr>
      <w:r>
        <w:t>Rate of unnecessary blood product usage in standard of care arm (based on ROTEM profile)</w:t>
      </w:r>
    </w:p>
    <w:p w14:paraId="27679299" w14:textId="77777777" w:rsidR="009F1E77" w:rsidRDefault="009F1E77" w:rsidP="00CB0FD9">
      <w:pPr>
        <w:spacing w:line="276" w:lineRule="auto"/>
        <w:jc w:val="both"/>
      </w:pPr>
    </w:p>
    <w:p w14:paraId="4B6FCA01" w14:textId="77777777" w:rsidR="009F1E77" w:rsidRPr="002B37F6" w:rsidRDefault="009F1E77" w:rsidP="00CB0FD9">
      <w:pPr>
        <w:jc w:val="both"/>
        <w:rPr>
          <w:u w:val="single"/>
        </w:rPr>
      </w:pPr>
      <w:r w:rsidRPr="002B37F6">
        <w:rPr>
          <w:u w:val="single"/>
        </w:rPr>
        <w:t>Power analysis for primary endpoint</w:t>
      </w:r>
    </w:p>
    <w:p w14:paraId="1AA55AB6" w14:textId="77777777" w:rsidR="009F1E77" w:rsidRDefault="009F1E77" w:rsidP="00CB0FD9">
      <w:pPr>
        <w:jc w:val="both"/>
      </w:pPr>
      <w:r>
        <w:t>Assume 50% reduction (conservative relative to 85% reduction seen in De Pietri paper)</w:t>
      </w:r>
    </w:p>
    <w:p w14:paraId="5495C37E" w14:textId="77777777" w:rsidR="009F1E77" w:rsidRDefault="009F1E77" w:rsidP="00CB0FD9">
      <w:pPr>
        <w:jc w:val="both"/>
      </w:pPr>
      <w:r>
        <w:t>5% alpha error</w:t>
      </w:r>
    </w:p>
    <w:p w14:paraId="1079AEA4" w14:textId="77777777" w:rsidR="009F1E77" w:rsidRDefault="009F1E77" w:rsidP="00CB0FD9">
      <w:pPr>
        <w:jc w:val="both"/>
      </w:pPr>
      <w:r>
        <w:t>20% beta error</w:t>
      </w:r>
    </w:p>
    <w:p w14:paraId="272D7257" w14:textId="77777777" w:rsidR="009F1E77" w:rsidRPr="009F4263" w:rsidRDefault="009F1E77" w:rsidP="00CB0FD9">
      <w:pPr>
        <w:jc w:val="both"/>
      </w:pPr>
      <w:r>
        <w:t>Minimum recruitment target is 16 patients (8 per group)</w:t>
      </w:r>
    </w:p>
    <w:p w14:paraId="15884641" w14:textId="77777777" w:rsidR="009F1E77" w:rsidRPr="009F4263" w:rsidRDefault="009F1E77" w:rsidP="00CB0FD9">
      <w:pPr>
        <w:spacing w:after="80" w:line="276" w:lineRule="auto"/>
        <w:jc w:val="both"/>
      </w:pPr>
    </w:p>
    <w:p w14:paraId="27FBEC81" w14:textId="77777777" w:rsidR="009F1E77" w:rsidRPr="009F4263" w:rsidRDefault="009F1E77" w:rsidP="00CB0FD9">
      <w:pPr>
        <w:spacing w:after="80" w:line="276" w:lineRule="auto"/>
        <w:jc w:val="both"/>
        <w:rPr>
          <w:b/>
        </w:rPr>
      </w:pPr>
      <w:r w:rsidRPr="009F4263">
        <w:rPr>
          <w:b/>
        </w:rPr>
        <w:t>Inclusion Criteria</w:t>
      </w:r>
    </w:p>
    <w:p w14:paraId="06ACCFE2" w14:textId="77777777" w:rsidR="009F1E77" w:rsidRPr="009F4263" w:rsidRDefault="009F1E77" w:rsidP="00CB0FD9">
      <w:pPr>
        <w:pStyle w:val="ListParagraph"/>
        <w:numPr>
          <w:ilvl w:val="0"/>
          <w:numId w:val="1"/>
        </w:numPr>
        <w:spacing w:after="80" w:line="276" w:lineRule="auto"/>
        <w:jc w:val="both"/>
      </w:pPr>
      <w:r w:rsidRPr="009F4263">
        <w:t>Aged ≥ 18 years</w:t>
      </w:r>
    </w:p>
    <w:p w14:paraId="2EAFBB5D" w14:textId="77777777" w:rsidR="009F1E77" w:rsidRPr="009F4263" w:rsidRDefault="009F1E77" w:rsidP="00CB0FD9">
      <w:pPr>
        <w:pStyle w:val="ListParagraph"/>
        <w:numPr>
          <w:ilvl w:val="0"/>
          <w:numId w:val="1"/>
        </w:numPr>
        <w:spacing w:after="80" w:line="276" w:lineRule="auto"/>
        <w:jc w:val="both"/>
      </w:pPr>
      <w:r w:rsidRPr="009F4263">
        <w:t>Able to give informed consent</w:t>
      </w:r>
    </w:p>
    <w:p w14:paraId="26B3A359" w14:textId="77777777" w:rsidR="009F1E77" w:rsidRDefault="009F1E77" w:rsidP="00CB0FD9">
      <w:pPr>
        <w:pStyle w:val="ListParagraph"/>
        <w:numPr>
          <w:ilvl w:val="0"/>
          <w:numId w:val="1"/>
        </w:numPr>
        <w:spacing w:line="276" w:lineRule="auto"/>
        <w:jc w:val="both"/>
      </w:pPr>
      <w:r w:rsidRPr="009F4263">
        <w:t>Patients with coagulopathy (INR≥1.</w:t>
      </w:r>
      <w:r>
        <w:t xml:space="preserve">8 OR </w:t>
      </w:r>
      <w:r w:rsidRPr="009F4263">
        <w:t>Platelet count ≤50,000) who require procedures with moderate to high risk of bleeding</w:t>
      </w:r>
    </w:p>
    <w:p w14:paraId="548E4886" w14:textId="77777777" w:rsidR="009F1E77" w:rsidRPr="009F4263" w:rsidRDefault="009F1E77" w:rsidP="00CB0FD9">
      <w:pPr>
        <w:spacing w:line="276" w:lineRule="auto"/>
        <w:jc w:val="both"/>
      </w:pPr>
    </w:p>
    <w:p w14:paraId="7181298C" w14:textId="77777777" w:rsidR="009F1E77" w:rsidRPr="004613E8" w:rsidRDefault="009F1E77" w:rsidP="00CB0FD9">
      <w:pPr>
        <w:spacing w:line="276" w:lineRule="auto"/>
        <w:jc w:val="both"/>
        <w:rPr>
          <w:u w:val="single"/>
        </w:rPr>
      </w:pPr>
      <w:r w:rsidRPr="004613E8">
        <w:rPr>
          <w:u w:val="single"/>
        </w:rPr>
        <w:t>Definitions of moderate and high risk procedures:</w:t>
      </w:r>
    </w:p>
    <w:p w14:paraId="0323DD25" w14:textId="77777777" w:rsidR="009F1E77" w:rsidRPr="009F4263" w:rsidRDefault="009F1E77" w:rsidP="00CB0FD9">
      <w:pPr>
        <w:pStyle w:val="ListParagraph"/>
        <w:spacing w:line="276" w:lineRule="auto"/>
        <w:jc w:val="both"/>
      </w:pPr>
      <w:r w:rsidRPr="009F4263">
        <w:t xml:space="preserve">Transcatheter arterial chemoembolization (TACE), percutaneous ablation, transthoracic liver biopsy, endoscopic sphincterotomy, endoscopic polypectomy, tunnelled central venous catheter (CVC) placement, liver resection, abdominal surgery. Definitions are per as defined by </w:t>
      </w:r>
      <w:r>
        <w:t>(</w:t>
      </w:r>
      <w:r w:rsidRPr="009F4263">
        <w:t>Patel</w:t>
      </w:r>
      <w:r>
        <w:t xml:space="preserve"> </w:t>
      </w:r>
      <w:r w:rsidRPr="009F4263">
        <w:t>et al</w:t>
      </w:r>
      <w:r>
        <w:t>,</w:t>
      </w:r>
      <w:r w:rsidRPr="009F4263">
        <w:t xml:space="preserve"> 2012</w:t>
      </w:r>
      <w:r>
        <w:t>)</w:t>
      </w:r>
    </w:p>
    <w:p w14:paraId="11E77C88" w14:textId="77777777" w:rsidR="009F1E77" w:rsidRPr="009F4263" w:rsidRDefault="009F1E77" w:rsidP="00CB0FD9">
      <w:pPr>
        <w:spacing w:after="80" w:line="276" w:lineRule="auto"/>
        <w:jc w:val="both"/>
      </w:pPr>
    </w:p>
    <w:p w14:paraId="78A127B3" w14:textId="77777777" w:rsidR="009F1E77" w:rsidRPr="009F4263" w:rsidRDefault="009F1E77" w:rsidP="00CB0FD9">
      <w:pPr>
        <w:spacing w:after="80" w:line="276" w:lineRule="auto"/>
        <w:jc w:val="both"/>
        <w:rPr>
          <w:b/>
        </w:rPr>
      </w:pPr>
      <w:r w:rsidRPr="009F4263">
        <w:rPr>
          <w:b/>
        </w:rPr>
        <w:t>Exclusion Criteria</w:t>
      </w:r>
    </w:p>
    <w:p w14:paraId="597CFB02" w14:textId="77777777" w:rsidR="009F1E77" w:rsidRDefault="009F1E77" w:rsidP="00CB0FD9">
      <w:pPr>
        <w:pStyle w:val="ListParagraph"/>
        <w:numPr>
          <w:ilvl w:val="0"/>
          <w:numId w:val="2"/>
        </w:numPr>
        <w:spacing w:after="80" w:line="276" w:lineRule="auto"/>
        <w:jc w:val="both"/>
      </w:pPr>
      <w:r w:rsidRPr="009F4263">
        <w:t>Known overt encephalopathy or cognitive impairment from other aetiologies</w:t>
      </w:r>
    </w:p>
    <w:p w14:paraId="2BD3BAD9" w14:textId="74B3E2CE" w:rsidR="00304BC1" w:rsidRPr="009F4263" w:rsidRDefault="00304BC1" w:rsidP="00CB0FD9">
      <w:pPr>
        <w:pStyle w:val="ListParagraph"/>
        <w:numPr>
          <w:ilvl w:val="0"/>
          <w:numId w:val="2"/>
        </w:numPr>
        <w:spacing w:after="80" w:line="276" w:lineRule="auto"/>
        <w:jc w:val="both"/>
      </w:pPr>
      <w:r>
        <w:t>Non-English speakers</w:t>
      </w:r>
    </w:p>
    <w:p w14:paraId="2AB654AB" w14:textId="77777777" w:rsidR="009F1E77" w:rsidRPr="009F4263" w:rsidRDefault="009F1E77" w:rsidP="00CB0FD9">
      <w:pPr>
        <w:pStyle w:val="ListParagraph"/>
        <w:spacing w:after="80" w:line="276" w:lineRule="auto"/>
        <w:jc w:val="both"/>
      </w:pPr>
    </w:p>
    <w:p w14:paraId="2FDAEEE7" w14:textId="77777777" w:rsidR="009F1E77" w:rsidRPr="009F4263" w:rsidRDefault="009F1E77" w:rsidP="00CB0FD9">
      <w:pPr>
        <w:pStyle w:val="ListParagraph"/>
        <w:spacing w:after="80" w:line="276" w:lineRule="auto"/>
        <w:ind w:left="0"/>
        <w:jc w:val="both"/>
        <w:rPr>
          <w:b/>
        </w:rPr>
      </w:pPr>
      <w:r w:rsidRPr="009F4263">
        <w:rPr>
          <w:b/>
        </w:rPr>
        <w:t>Withdrawal Criteria</w:t>
      </w:r>
    </w:p>
    <w:p w14:paraId="7D0BD208" w14:textId="77777777" w:rsidR="009F1E77" w:rsidRPr="009F4263" w:rsidRDefault="009F1E77" w:rsidP="00CB0FD9">
      <w:pPr>
        <w:pStyle w:val="ListParagraph"/>
        <w:numPr>
          <w:ilvl w:val="0"/>
          <w:numId w:val="2"/>
        </w:numPr>
        <w:spacing w:after="80" w:line="276" w:lineRule="auto"/>
        <w:jc w:val="both"/>
      </w:pPr>
      <w:r w:rsidRPr="009F4263">
        <w:t>Wish of patient to discontinue due to procedure discomfort</w:t>
      </w:r>
    </w:p>
    <w:p w14:paraId="49856D00" w14:textId="77777777" w:rsidR="009F1E77" w:rsidRPr="009F4263" w:rsidRDefault="009F1E77" w:rsidP="00CB0FD9">
      <w:pPr>
        <w:pStyle w:val="ListParagraph"/>
        <w:numPr>
          <w:ilvl w:val="0"/>
          <w:numId w:val="2"/>
        </w:numPr>
        <w:spacing w:after="80" w:line="276" w:lineRule="auto"/>
        <w:jc w:val="both"/>
      </w:pPr>
      <w:r w:rsidRPr="009F4263">
        <w:t>Occurrence of serious adverse events</w:t>
      </w:r>
    </w:p>
    <w:p w14:paraId="1EB368A7" w14:textId="77777777" w:rsidR="009F1E77" w:rsidRPr="004613E8" w:rsidRDefault="009F1E77" w:rsidP="00CB0FD9">
      <w:pPr>
        <w:pStyle w:val="ListParagraph"/>
        <w:spacing w:after="80" w:line="276" w:lineRule="auto"/>
        <w:ind w:left="0"/>
        <w:jc w:val="both"/>
      </w:pPr>
    </w:p>
    <w:p w14:paraId="63C2855D" w14:textId="77777777" w:rsidR="009F1E77" w:rsidRPr="009F4263" w:rsidRDefault="009F1E77" w:rsidP="00CB0FD9">
      <w:pPr>
        <w:pStyle w:val="ListParagraph"/>
        <w:spacing w:after="80" w:line="276" w:lineRule="auto"/>
        <w:ind w:left="0"/>
        <w:jc w:val="both"/>
        <w:rPr>
          <w:b/>
        </w:rPr>
      </w:pPr>
      <w:r w:rsidRPr="009F4263">
        <w:rPr>
          <w:b/>
        </w:rPr>
        <w:t>Design and Plan for Study</w:t>
      </w:r>
    </w:p>
    <w:p w14:paraId="3883318E" w14:textId="717E5EDE" w:rsidR="009F1E77" w:rsidRPr="00FB2C24" w:rsidRDefault="009F1E77" w:rsidP="00E27E44">
      <w:pPr>
        <w:spacing w:before="100" w:beforeAutospacing="1" w:after="100" w:afterAutospacing="1" w:line="276" w:lineRule="auto"/>
        <w:jc w:val="both"/>
        <w:rPr>
          <w:rFonts w:ascii="Times" w:hAnsi="Times"/>
          <w:sz w:val="20"/>
          <w:szCs w:val="20"/>
        </w:rPr>
      </w:pPr>
      <w:bookmarkStart w:id="2" w:name="_Toc479769072"/>
      <w:r w:rsidRPr="009F4263">
        <w:t xml:space="preserve">Patients will be identified by the </w:t>
      </w:r>
      <w:r>
        <w:t>principal site investigators</w:t>
      </w:r>
      <w:r w:rsidRPr="009F4263">
        <w:t xml:space="preserve"> </w:t>
      </w:r>
      <w:r>
        <w:t>during organisation of</w:t>
      </w:r>
      <w:r w:rsidRPr="009F4263">
        <w:t xml:space="preserve"> elective admissions for </w:t>
      </w:r>
      <w:r w:rsidRPr="00FB2C24">
        <w:t>invasive procedures at the four participating sites - Flinders Medical Centre (FMC), Royal Adelaide Hospital (RAH) the Lyell McEwin Hospital (LMH) and Sir Charles Gardiner Hospital. A total of sixteen consecutive patients with CLD who require invasive procedures will be offered the opportunity to enrol in this prospective, multicentre trial. Patients will be given a patient information sheet and informed</w:t>
      </w:r>
      <w:r w:rsidRPr="009F4263">
        <w:t xml:space="preserve"> consent will be obtained</w:t>
      </w:r>
      <w:r>
        <w:t xml:space="preserve"> on the day, prior to the procedure or earlier if feasible</w:t>
      </w:r>
      <w:r w:rsidRPr="009F4263">
        <w:t xml:space="preserve">. The information sheet will have details pertaining to the use of ROTEM, as well as any potential complications. </w:t>
      </w:r>
    </w:p>
    <w:p w14:paraId="1C10D63A" w14:textId="77777777" w:rsidR="009F1E77" w:rsidRPr="009F4263" w:rsidRDefault="009F1E77" w:rsidP="00E27E44">
      <w:pPr>
        <w:spacing w:after="80" w:line="276" w:lineRule="auto"/>
        <w:contextualSpacing w:val="0"/>
        <w:jc w:val="both"/>
      </w:pPr>
    </w:p>
    <w:p w14:paraId="4CF7270B" w14:textId="03D65823" w:rsidR="009F1E77" w:rsidRDefault="009F1E77" w:rsidP="00E27E44">
      <w:pPr>
        <w:spacing w:after="80" w:line="276" w:lineRule="auto"/>
        <w:contextualSpacing w:val="0"/>
        <w:jc w:val="both"/>
        <w:rPr>
          <w:rFonts w:cs="Arial"/>
        </w:rPr>
      </w:pPr>
      <w:r w:rsidRPr="006814F1">
        <w:t>The study will be conducted in a r</w:t>
      </w:r>
      <w:r>
        <w:t>andomiz</w:t>
      </w:r>
      <w:r w:rsidRPr="006814F1">
        <w:t xml:space="preserve">ed controlled manner.  Allocation to one of two treatment groups (ROTEM guided or standard of care arms) will occur on a 1:1 ratio across sites. Patients will be randomized 1:1 to ROTEM guided or standard of care arms, via a call to the FMC randomization centre upon patient consent. Participant allocation, using unique study ID, will be recorded by the independent researcher and details stored in a secure cabinet. Blood samples will be collected on the day of the procedure from all consenting patients. </w:t>
      </w:r>
      <w:r w:rsidRPr="004613E8">
        <w:rPr>
          <w:rFonts w:cs="Arial"/>
        </w:rPr>
        <w:t>Patients in</w:t>
      </w:r>
      <w:r w:rsidR="00045503">
        <w:rPr>
          <w:rFonts w:cs="Arial"/>
        </w:rPr>
        <w:t xml:space="preserve"> both arms </w:t>
      </w:r>
      <w:r w:rsidRPr="004613E8">
        <w:rPr>
          <w:rFonts w:cs="Arial"/>
        </w:rPr>
        <w:t>will have blood sent for ROTEM testing, fibrinogen level, coag</w:t>
      </w:r>
      <w:r w:rsidR="00C333CA">
        <w:rPr>
          <w:rFonts w:cs="Arial"/>
        </w:rPr>
        <w:t>ulation studies, platelet count,</w:t>
      </w:r>
      <w:r w:rsidRPr="004613E8">
        <w:rPr>
          <w:rFonts w:cs="Arial"/>
        </w:rPr>
        <w:t xml:space="preserve"> full blood examination</w:t>
      </w:r>
      <w:r w:rsidR="00C333CA">
        <w:rPr>
          <w:rFonts w:cs="Arial"/>
        </w:rPr>
        <w:t xml:space="preserve"> and crossmatch</w:t>
      </w:r>
      <w:r w:rsidRPr="004613E8">
        <w:rPr>
          <w:rFonts w:cs="Arial"/>
        </w:rPr>
        <w:t xml:space="preserve">. </w:t>
      </w:r>
    </w:p>
    <w:p w14:paraId="40A19EC6" w14:textId="77777777" w:rsidR="00045503" w:rsidRDefault="00045503" w:rsidP="00CB0FD9">
      <w:pPr>
        <w:spacing w:after="80" w:line="276" w:lineRule="auto"/>
        <w:contextualSpacing w:val="0"/>
        <w:jc w:val="both"/>
        <w:rPr>
          <w:rFonts w:cs="Arial"/>
        </w:rPr>
      </w:pPr>
    </w:p>
    <w:p w14:paraId="1354DA3D" w14:textId="77777777" w:rsidR="009F1E77" w:rsidRPr="006814F1" w:rsidRDefault="009F1E77" w:rsidP="00CB0FD9">
      <w:pPr>
        <w:spacing w:after="80" w:line="276" w:lineRule="auto"/>
        <w:contextualSpacing w:val="0"/>
        <w:jc w:val="both"/>
      </w:pPr>
      <w:r w:rsidRPr="006814F1">
        <w:t>Patients randomi</w:t>
      </w:r>
      <w:r>
        <w:t>z</w:t>
      </w:r>
      <w:r w:rsidRPr="006814F1">
        <w:t>ed to the ROTEM arm will receive blood products guided by the ROTEM algorithm (</w:t>
      </w:r>
      <w:r w:rsidRPr="006814F1">
        <w:rPr>
          <w:i/>
        </w:rPr>
        <w:t>Figure 1</w:t>
      </w:r>
      <w:r w:rsidRPr="006814F1">
        <w:t xml:space="preserve">) prior to their invasive procedure. As per the ROTEM algorithm patients will receive FFP, cryoprecipitate, platelets or no blood products based on the ROTEM EXTEM Clotting Time (CT), EXTEM (i.e. assessment of clot formation, fibrin polymerisation and fibrinolysis via the extrinsic pathway) amplitude at 10 minutes (A10) and FIBTEM (i.e. qualitative assessment of fibrinogen status) A10. The blood products given in the ROTEM arms will be compared to those used in the standard of care arm at each of the participating sites. </w:t>
      </w:r>
    </w:p>
    <w:p w14:paraId="39451480" w14:textId="77777777" w:rsidR="009F1E77" w:rsidRDefault="009F1E77" w:rsidP="00CB0FD9">
      <w:pPr>
        <w:spacing w:after="80" w:line="276" w:lineRule="auto"/>
        <w:contextualSpacing w:val="0"/>
        <w:jc w:val="both"/>
      </w:pPr>
    </w:p>
    <w:p w14:paraId="2A305123" w14:textId="77777777" w:rsidR="009F1E77" w:rsidRPr="00AE45FF" w:rsidRDefault="009F1E77" w:rsidP="00CB0FD9">
      <w:pPr>
        <w:pStyle w:val="ListParagraph"/>
        <w:spacing w:after="80" w:line="276" w:lineRule="auto"/>
        <w:ind w:left="0"/>
        <w:jc w:val="both"/>
        <w:rPr>
          <w:u w:val="single"/>
        </w:rPr>
      </w:pPr>
      <w:r w:rsidRPr="00AE45FF">
        <w:rPr>
          <w:u w:val="single"/>
        </w:rPr>
        <w:t>Standard of Care (SOC) arm</w:t>
      </w:r>
    </w:p>
    <w:p w14:paraId="1AA56F01" w14:textId="77777777" w:rsidR="009F1E77" w:rsidRDefault="009F1E77" w:rsidP="00CB0FD9">
      <w:pPr>
        <w:pStyle w:val="ListParagraph"/>
        <w:spacing w:after="80" w:line="276" w:lineRule="auto"/>
        <w:ind w:left="0"/>
        <w:jc w:val="both"/>
      </w:pPr>
      <w:r>
        <w:t>This will be the existing practice on the day associated with each hospital team and individual interventional radiologists, and local protocols if available. SOC at each site will be recorded for each patient. It is accepted that the standard practice may vary across different institutions and radiologists, reflecting the lack of current evidence based guidelines. The study is not designed to enforce a standard of care but rather to reflect real world current practice.</w:t>
      </w:r>
    </w:p>
    <w:p w14:paraId="57A0312F" w14:textId="77777777" w:rsidR="009F1E77" w:rsidRPr="009F4263" w:rsidRDefault="009F1E77" w:rsidP="009F1E77">
      <w:pPr>
        <w:spacing w:line="276" w:lineRule="auto"/>
        <w:jc w:val="both"/>
      </w:pPr>
      <w:r>
        <w:rPr>
          <w:noProof/>
          <w:lang w:eastAsia="en-AU"/>
        </w:rPr>
        <w:drawing>
          <wp:inline distT="0" distB="0" distL="0" distR="0" wp14:anchorId="12097476" wp14:editId="0FC5818D">
            <wp:extent cx="6117337" cy="529556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EM alogrithm 2019.png"/>
                    <pic:cNvPicPr/>
                  </pic:nvPicPr>
                  <pic:blipFill>
                    <a:blip r:embed="rId8">
                      <a:extLst>
                        <a:ext uri="{28A0092B-C50C-407E-A947-70E740481C1C}">
                          <a14:useLocalDpi xmlns:a14="http://schemas.microsoft.com/office/drawing/2010/main" val="0"/>
                        </a:ext>
                      </a:extLst>
                    </a:blip>
                    <a:stretch>
                      <a:fillRect/>
                    </a:stretch>
                  </pic:blipFill>
                  <pic:spPr>
                    <a:xfrm>
                      <a:off x="0" y="0"/>
                      <a:ext cx="6120130" cy="5297987"/>
                    </a:xfrm>
                    <a:prstGeom prst="rect">
                      <a:avLst/>
                    </a:prstGeom>
                  </pic:spPr>
                </pic:pic>
              </a:graphicData>
            </a:graphic>
          </wp:inline>
        </w:drawing>
      </w:r>
    </w:p>
    <w:p w14:paraId="378BBE47" w14:textId="77777777" w:rsidR="009F1E77" w:rsidRPr="009F4263" w:rsidRDefault="009F1E77" w:rsidP="009F1E77">
      <w:pPr>
        <w:spacing w:after="80" w:line="276" w:lineRule="auto"/>
        <w:contextualSpacing w:val="0"/>
        <w:jc w:val="both"/>
        <w:rPr>
          <w:b/>
          <w:i/>
        </w:rPr>
      </w:pPr>
    </w:p>
    <w:p w14:paraId="070F7A58" w14:textId="77777777" w:rsidR="009F1E77" w:rsidRPr="00A51451" w:rsidRDefault="009F1E77" w:rsidP="009F1E77">
      <w:pPr>
        <w:pStyle w:val="ListParagraph"/>
        <w:spacing w:after="80" w:line="276" w:lineRule="auto"/>
        <w:contextualSpacing w:val="0"/>
        <w:jc w:val="both"/>
        <w:rPr>
          <w:sz w:val="22"/>
          <w:szCs w:val="22"/>
        </w:rPr>
      </w:pPr>
      <w:r w:rsidRPr="00A51451">
        <w:rPr>
          <w:b/>
          <w:i/>
          <w:sz w:val="22"/>
          <w:szCs w:val="22"/>
        </w:rPr>
        <w:t xml:space="preserve">Figure 1. ROTEM algorithm to guide blood product usage. </w:t>
      </w:r>
      <w:r w:rsidRPr="00A51451">
        <w:rPr>
          <w:i/>
          <w:sz w:val="22"/>
          <w:szCs w:val="22"/>
        </w:rPr>
        <w:t xml:space="preserve">CT, clotting time (seconds); A10, amplitude at 10 minutes (mm); EXTEM, assessment of clot formation, fibrin polymerisation and fibrinolysis via the extrinsic pathway; FIBTEM, qualitative assessment of fibrinogen status; AD, Adult Dose; FFP, fresh frozen plasma; Developed by Dr </w:t>
      </w:r>
      <w:r w:rsidRPr="00A51451">
        <w:rPr>
          <w:rStyle w:val="rpc41"/>
          <w:i/>
          <w:sz w:val="22"/>
          <w:szCs w:val="22"/>
        </w:rPr>
        <w:t xml:space="preserve">M. Sobieraj-Teague and </w:t>
      </w:r>
      <w:r w:rsidRPr="00A51451">
        <w:rPr>
          <w:i/>
          <w:sz w:val="22"/>
          <w:szCs w:val="22"/>
        </w:rPr>
        <w:t xml:space="preserve">A/Professor </w:t>
      </w:r>
      <w:r w:rsidRPr="00A51451">
        <w:rPr>
          <w:rStyle w:val="rpc41"/>
          <w:i/>
          <w:sz w:val="22"/>
          <w:szCs w:val="22"/>
        </w:rPr>
        <w:t>D Roxby,</w:t>
      </w:r>
      <w:r w:rsidRPr="00A51451">
        <w:rPr>
          <w:i/>
          <w:sz w:val="22"/>
          <w:szCs w:val="22"/>
        </w:rPr>
        <w:t xml:space="preserve"> Haematology Department and Transfusion Services, Flinders Medical Centre, Adelaide, South Australia, 2019.</w:t>
      </w:r>
    </w:p>
    <w:p w14:paraId="77D53F8F" w14:textId="77777777" w:rsidR="009F1E77" w:rsidRPr="009F4263" w:rsidRDefault="009F1E77" w:rsidP="009F1E77">
      <w:pPr>
        <w:spacing w:after="80" w:line="276" w:lineRule="auto"/>
        <w:contextualSpacing w:val="0"/>
        <w:jc w:val="both"/>
      </w:pPr>
    </w:p>
    <w:p w14:paraId="4AF436A0" w14:textId="77777777" w:rsidR="009F1E77" w:rsidRPr="009F4263" w:rsidRDefault="009F1E77" w:rsidP="009F1E77">
      <w:pPr>
        <w:spacing w:after="80" w:line="276" w:lineRule="auto"/>
        <w:contextualSpacing w:val="0"/>
        <w:jc w:val="both"/>
      </w:pPr>
      <w:r>
        <w:t>Principal site investigators or delegate</w:t>
      </w:r>
      <w:r w:rsidRPr="009F4263">
        <w:t xml:space="preserve"> will collect the following information: </w:t>
      </w:r>
      <w:bookmarkEnd w:id="2"/>
    </w:p>
    <w:p w14:paraId="15E084B3" w14:textId="77777777" w:rsidR="009F1E77" w:rsidRPr="009F4263" w:rsidRDefault="009F1E77" w:rsidP="009F1E77">
      <w:pPr>
        <w:pStyle w:val="ListParagraph"/>
        <w:numPr>
          <w:ilvl w:val="0"/>
          <w:numId w:val="6"/>
        </w:numPr>
        <w:spacing w:line="276" w:lineRule="auto"/>
        <w:jc w:val="both"/>
      </w:pPr>
      <w:r w:rsidRPr="009F4263">
        <w:t>Number of units of blood products used (red blood cells, FFP, platelets, cryoprecipitate)</w:t>
      </w:r>
    </w:p>
    <w:p w14:paraId="614F8212" w14:textId="77777777" w:rsidR="009F1E77" w:rsidRPr="009F4263" w:rsidRDefault="009F1E77" w:rsidP="009F1E77">
      <w:pPr>
        <w:pStyle w:val="ListParagraph"/>
        <w:numPr>
          <w:ilvl w:val="0"/>
          <w:numId w:val="6"/>
        </w:numPr>
        <w:spacing w:line="276" w:lineRule="auto"/>
        <w:jc w:val="both"/>
      </w:pPr>
      <w:r w:rsidRPr="009F4263">
        <w:t>Bleeding events</w:t>
      </w:r>
      <w:r>
        <w:t xml:space="preserve"> defined as per standard definitions</w:t>
      </w:r>
    </w:p>
    <w:p w14:paraId="423DCB79" w14:textId="77777777" w:rsidR="009F1E77" w:rsidRPr="009F4263" w:rsidRDefault="009F1E77" w:rsidP="009F1E77">
      <w:pPr>
        <w:pStyle w:val="ListParagraph"/>
        <w:numPr>
          <w:ilvl w:val="0"/>
          <w:numId w:val="6"/>
        </w:numPr>
        <w:spacing w:line="276" w:lineRule="auto"/>
        <w:jc w:val="both"/>
      </w:pPr>
      <w:r w:rsidRPr="009F4263">
        <w:t>Serious adverse events including transfusion related adverse events</w:t>
      </w:r>
      <w:r>
        <w:t xml:space="preserve"> as per standard definitions.</w:t>
      </w:r>
    </w:p>
    <w:p w14:paraId="57B3C01D" w14:textId="77777777" w:rsidR="009F1E77" w:rsidRPr="009F4263" w:rsidRDefault="009F1E77" w:rsidP="009F1E77">
      <w:pPr>
        <w:spacing w:after="80" w:line="276" w:lineRule="auto"/>
        <w:contextualSpacing w:val="0"/>
        <w:jc w:val="both"/>
      </w:pPr>
    </w:p>
    <w:p w14:paraId="25DE0C9A" w14:textId="77777777" w:rsidR="009F1E77" w:rsidRPr="00A92BED" w:rsidRDefault="009F1E77" w:rsidP="009F1E77">
      <w:pPr>
        <w:spacing w:after="80" w:line="276" w:lineRule="auto"/>
        <w:contextualSpacing w:val="0"/>
        <w:jc w:val="both"/>
        <w:rPr>
          <w:b/>
        </w:rPr>
      </w:pPr>
      <w:r w:rsidRPr="00A92BED">
        <w:rPr>
          <w:b/>
        </w:rPr>
        <w:t>Follow-up</w:t>
      </w:r>
    </w:p>
    <w:p w14:paraId="52963148" w14:textId="77777777" w:rsidR="009F1E77" w:rsidRPr="004613E8" w:rsidRDefault="009F1E77" w:rsidP="009F1E77">
      <w:pPr>
        <w:jc w:val="both"/>
      </w:pPr>
      <w:r w:rsidRPr="009F4263">
        <w:t xml:space="preserve">Patients </w:t>
      </w:r>
      <w:r w:rsidRPr="00B56D88">
        <w:t>will be followed up 48hrs post-procedure via a telephone call by the study coordinator.</w:t>
      </w:r>
      <w:r w:rsidRPr="009F4263">
        <w:t xml:space="preserve"> </w:t>
      </w:r>
      <w:r>
        <w:t xml:space="preserve">Information regarding adverse events will be collected. Electronic records will also be used to assist with assessment of adverse events as per standard definitions. Costs will be calculated using SA Health costing data for blood products.  </w:t>
      </w:r>
    </w:p>
    <w:p w14:paraId="66ED7FFB" w14:textId="77777777" w:rsidR="009F1E77" w:rsidRPr="009F4263" w:rsidRDefault="009F1E77" w:rsidP="009F1E77">
      <w:pPr>
        <w:spacing w:after="80" w:line="276" w:lineRule="auto"/>
        <w:contextualSpacing w:val="0"/>
        <w:jc w:val="both"/>
        <w:rPr>
          <w:b/>
        </w:rPr>
      </w:pPr>
    </w:p>
    <w:p w14:paraId="40539E72" w14:textId="77777777" w:rsidR="009F1E77" w:rsidRPr="009F4263" w:rsidRDefault="009F1E77" w:rsidP="009F1E77">
      <w:pPr>
        <w:spacing w:after="80" w:line="276" w:lineRule="auto"/>
        <w:contextualSpacing w:val="0"/>
        <w:jc w:val="both"/>
        <w:rPr>
          <w:b/>
        </w:rPr>
      </w:pPr>
      <w:r w:rsidRPr="009F4263">
        <w:rPr>
          <w:b/>
        </w:rPr>
        <w:t>Data Analysis/Storage</w:t>
      </w:r>
    </w:p>
    <w:p w14:paraId="62F24238" w14:textId="11629E4E" w:rsidR="009F1E77" w:rsidRDefault="009F1E77" w:rsidP="00DA40F0">
      <w:pPr>
        <w:spacing w:after="80" w:line="276" w:lineRule="auto"/>
        <w:contextualSpacing w:val="0"/>
        <w:jc w:val="both"/>
      </w:pPr>
      <w:r w:rsidRPr="009F4263">
        <w:t xml:space="preserve">Patient anonymity will be maintained throughout this study, and patient name or any other identifying information will not be collected. De-identified patient data will instead be </w:t>
      </w:r>
      <w:r w:rsidRPr="00DA40F0">
        <w:t xml:space="preserve">labelled with a unique study number. De-identified data will be entered into an Excel spreadsheet for analysis and reporting onto a password protected computer. Data will then be entered, collated and analysed using a Statistic Package for Social Sciences (SPSS). </w:t>
      </w:r>
    </w:p>
    <w:p w14:paraId="4257AE4B" w14:textId="77777777" w:rsidR="00CC2E2D" w:rsidRPr="00DA40F0" w:rsidRDefault="00CC2E2D" w:rsidP="00DA40F0">
      <w:pPr>
        <w:spacing w:after="80" w:line="276" w:lineRule="auto"/>
        <w:contextualSpacing w:val="0"/>
        <w:jc w:val="both"/>
      </w:pPr>
    </w:p>
    <w:p w14:paraId="46C55572" w14:textId="760E88CA" w:rsidR="00D65AB1" w:rsidRPr="00DA40F0" w:rsidRDefault="00D65AB1" w:rsidP="00CC2E2D">
      <w:pPr>
        <w:spacing w:after="80" w:line="276" w:lineRule="auto"/>
        <w:contextualSpacing w:val="0"/>
        <w:jc w:val="both"/>
      </w:pPr>
      <w:r w:rsidRPr="00DA40F0">
        <w:rPr>
          <w:bCs/>
        </w:rPr>
        <w:t>The sample size has been calculated on the basis of the prior study by De Pietri et al</w:t>
      </w:r>
      <w:r w:rsidR="006B10D9" w:rsidRPr="00DA40F0">
        <w:rPr>
          <w:bCs/>
        </w:rPr>
        <w:t xml:space="preserve"> (2016)</w:t>
      </w:r>
      <w:r w:rsidRPr="00DA40F0">
        <w:rPr>
          <w:bCs/>
        </w:rPr>
        <w:t xml:space="preserve"> that identified an 85% reduction in patients receiving blood products using a similar functional clotting assay named </w:t>
      </w:r>
      <w:r w:rsidR="006B10D9" w:rsidRPr="00DA40F0">
        <w:t>Thromboelastography</w:t>
      </w:r>
      <w:r w:rsidR="006B10D9" w:rsidRPr="00DA40F0">
        <w:rPr>
          <w:bCs/>
        </w:rPr>
        <w:t xml:space="preserve"> (</w:t>
      </w:r>
      <w:r w:rsidRPr="00DA40F0">
        <w:rPr>
          <w:bCs/>
        </w:rPr>
        <w:t>TEG</w:t>
      </w:r>
      <w:r w:rsidR="006B10D9" w:rsidRPr="00DA40F0">
        <w:rPr>
          <w:bCs/>
        </w:rPr>
        <w:t>)</w:t>
      </w:r>
      <w:r w:rsidRPr="00DA40F0">
        <w:rPr>
          <w:bCs/>
        </w:rPr>
        <w:t xml:space="preserve">.  We have conservatively assumed a 50% reduction in patients receiving bloods products together with the following assumptions; 5% alpha error and 20% beta error. This provides a minimum recruitment target of 16 patients (8 per group). Standard statistical analyses, in consultation with our  statistical investigator, Professor Richard Woodman, </w:t>
      </w:r>
      <w:r w:rsidR="00C52AE3" w:rsidRPr="00DA40F0">
        <w:t xml:space="preserve">to compare differences between </w:t>
      </w:r>
      <w:r w:rsidR="00C52AE3">
        <w:t xml:space="preserve">the </w:t>
      </w:r>
      <w:r w:rsidR="00C52AE3" w:rsidRPr="00DA40F0">
        <w:t>ROTEM and SOC groups for</w:t>
      </w:r>
      <w:r w:rsidR="00C52AE3">
        <w:t xml:space="preserve"> the</w:t>
      </w:r>
      <w:r w:rsidR="00C52AE3" w:rsidRPr="00DA40F0">
        <w:t xml:space="preserve"> p</w:t>
      </w:r>
      <w:r w:rsidR="00C52AE3">
        <w:t xml:space="preserve">rimary and secondary endpoints </w:t>
      </w:r>
      <w:r w:rsidRPr="00DA40F0">
        <w:rPr>
          <w:bCs/>
        </w:rPr>
        <w:t xml:space="preserve">will be used. Differences for endpoints between groups will be assessed using Mann-Whitney’s U test </w:t>
      </w:r>
      <w:r w:rsidR="00714A6A" w:rsidRPr="00DA40F0">
        <w:rPr>
          <w:bCs/>
        </w:rPr>
        <w:t xml:space="preserve">which </w:t>
      </w:r>
      <w:r w:rsidRPr="00DA40F0">
        <w:rPr>
          <w:bCs/>
        </w:rPr>
        <w:t>will be applied to c</w:t>
      </w:r>
      <w:r w:rsidR="00714A6A" w:rsidRPr="00DA40F0">
        <w:rPr>
          <w:bCs/>
        </w:rPr>
        <w:t xml:space="preserve">ompare nonparametric variables and </w:t>
      </w:r>
      <w:r w:rsidRPr="00DA40F0">
        <w:rPr>
          <w:bCs/>
        </w:rPr>
        <w:t xml:space="preserve">chi-square test </w:t>
      </w:r>
      <w:r w:rsidR="00714A6A" w:rsidRPr="00DA40F0">
        <w:rPr>
          <w:bCs/>
        </w:rPr>
        <w:t>will be</w:t>
      </w:r>
      <w:r w:rsidRPr="00DA40F0">
        <w:rPr>
          <w:bCs/>
        </w:rPr>
        <w:t xml:space="preserve"> performed for categorical parameters. A two-tailed t test </w:t>
      </w:r>
      <w:r w:rsidR="00714A6A" w:rsidRPr="00DA40F0">
        <w:rPr>
          <w:bCs/>
        </w:rPr>
        <w:t xml:space="preserve">will be used </w:t>
      </w:r>
      <w:r w:rsidRPr="00DA40F0">
        <w:rPr>
          <w:bCs/>
        </w:rPr>
        <w:t>for normally distributed data.</w:t>
      </w:r>
    </w:p>
    <w:p w14:paraId="02E35123" w14:textId="77777777" w:rsidR="009F1E77" w:rsidRPr="009F4263" w:rsidRDefault="009F1E77" w:rsidP="00DA40F0">
      <w:pPr>
        <w:spacing w:after="80" w:line="276" w:lineRule="auto"/>
        <w:contextualSpacing w:val="0"/>
        <w:jc w:val="both"/>
        <w:rPr>
          <w:b/>
        </w:rPr>
      </w:pPr>
    </w:p>
    <w:p w14:paraId="65AC69AE" w14:textId="77777777" w:rsidR="009F1E77" w:rsidRPr="009F4263" w:rsidRDefault="009F1E77" w:rsidP="009F1E77">
      <w:pPr>
        <w:spacing w:after="80" w:line="276" w:lineRule="auto"/>
        <w:contextualSpacing w:val="0"/>
        <w:jc w:val="both"/>
        <w:rPr>
          <w:b/>
        </w:rPr>
      </w:pPr>
      <w:r w:rsidRPr="009F4263">
        <w:rPr>
          <w:b/>
        </w:rPr>
        <w:t>Patient Recruitment</w:t>
      </w:r>
    </w:p>
    <w:p w14:paraId="225F1A5F" w14:textId="77777777" w:rsidR="009F1E77" w:rsidRPr="009F4263" w:rsidRDefault="009F1E77" w:rsidP="009F1E77">
      <w:pPr>
        <w:spacing w:after="80" w:line="276" w:lineRule="auto"/>
        <w:contextualSpacing w:val="0"/>
        <w:jc w:val="both"/>
      </w:pPr>
      <w:r w:rsidRPr="009F4263">
        <w:t xml:space="preserve">Patients undergoing elective admission for invasive procedures will be identified by </w:t>
      </w:r>
      <w:r>
        <w:t>principal site investigators</w:t>
      </w:r>
      <w:r w:rsidRPr="009F4263">
        <w:t xml:space="preserve"> at </w:t>
      </w:r>
      <w:r>
        <w:t>four</w:t>
      </w:r>
      <w:r w:rsidRPr="009F4263">
        <w:t xml:space="preserve"> sites - Flinders Medical Centre, Royal Adelaide Hospital the Lyell McEwin Hospital</w:t>
      </w:r>
      <w:r>
        <w:t>, and Sir Charles Gardiner Hospital</w:t>
      </w:r>
      <w:r w:rsidRPr="009F4263">
        <w:t xml:space="preserve">. </w:t>
      </w:r>
    </w:p>
    <w:p w14:paraId="3583770B" w14:textId="77777777" w:rsidR="009F1E77" w:rsidRPr="009F4263" w:rsidRDefault="009F1E77" w:rsidP="009F1E77">
      <w:pPr>
        <w:spacing w:after="80" w:line="276" w:lineRule="auto"/>
        <w:contextualSpacing w:val="0"/>
        <w:jc w:val="both"/>
      </w:pPr>
    </w:p>
    <w:p w14:paraId="0F7AB43F" w14:textId="77777777" w:rsidR="009F1E77" w:rsidRPr="009F4263" w:rsidRDefault="009F1E77" w:rsidP="009F1E77">
      <w:pPr>
        <w:spacing w:after="80" w:line="276" w:lineRule="auto"/>
        <w:contextualSpacing w:val="0"/>
        <w:jc w:val="both"/>
        <w:rPr>
          <w:b/>
        </w:rPr>
      </w:pPr>
      <w:r w:rsidRPr="009F4263">
        <w:rPr>
          <w:b/>
        </w:rPr>
        <w:t>Patient Consent</w:t>
      </w:r>
    </w:p>
    <w:p w14:paraId="716180CB" w14:textId="77777777" w:rsidR="009F1E77" w:rsidRPr="009F4263" w:rsidRDefault="009F1E77" w:rsidP="009F1E77">
      <w:pPr>
        <w:spacing w:line="276" w:lineRule="auto"/>
        <w:contextualSpacing w:val="0"/>
        <w:jc w:val="both"/>
      </w:pPr>
      <w:r w:rsidRPr="009F4263">
        <w:t xml:space="preserve">Specific consent will be sought from participants for the duration of the </w:t>
      </w:r>
      <w:r>
        <w:t>PROTEM trial</w:t>
      </w:r>
      <w:r w:rsidRPr="009F4263">
        <w:t>. The information sheet will include information about ROTEM and any potential adverse reactions related to venepuncture and blood products. Patients will have the option to withdraw from the trial</w:t>
      </w:r>
      <w:r>
        <w:t xml:space="preserve"> at any time</w:t>
      </w:r>
      <w:r w:rsidRPr="009F4263">
        <w:t xml:space="preserve">. </w:t>
      </w:r>
    </w:p>
    <w:p w14:paraId="4496D685" w14:textId="77777777" w:rsidR="009F1E77" w:rsidRPr="009F4263" w:rsidRDefault="009F1E77" w:rsidP="009F1E77">
      <w:pPr>
        <w:spacing w:after="80" w:line="276" w:lineRule="auto"/>
        <w:jc w:val="both"/>
      </w:pPr>
    </w:p>
    <w:p w14:paraId="69B08002" w14:textId="77777777" w:rsidR="009F1E77" w:rsidRPr="009F4263" w:rsidRDefault="009F1E77" w:rsidP="009F1E77">
      <w:pPr>
        <w:spacing w:after="80" w:line="276" w:lineRule="auto"/>
        <w:jc w:val="both"/>
        <w:rPr>
          <w:b/>
        </w:rPr>
      </w:pPr>
      <w:r w:rsidRPr="009F4263">
        <w:rPr>
          <w:b/>
        </w:rPr>
        <w:t>Sample Size</w:t>
      </w:r>
    </w:p>
    <w:p w14:paraId="332BC8CF" w14:textId="77777777" w:rsidR="009F1E77" w:rsidRPr="009F4263" w:rsidRDefault="009F1E77" w:rsidP="009F1E77">
      <w:pPr>
        <w:pStyle w:val="ListParagraph"/>
        <w:numPr>
          <w:ilvl w:val="0"/>
          <w:numId w:val="3"/>
        </w:numPr>
        <w:spacing w:after="80" w:line="276" w:lineRule="auto"/>
        <w:jc w:val="both"/>
      </w:pPr>
      <w:r w:rsidRPr="009F4263">
        <w:t>16 patients</w:t>
      </w:r>
    </w:p>
    <w:p w14:paraId="31C37F3F" w14:textId="77777777" w:rsidR="009F1E77" w:rsidRPr="009F4263" w:rsidRDefault="009F1E77" w:rsidP="009F1E77">
      <w:pPr>
        <w:pStyle w:val="ListParagraph"/>
        <w:spacing w:after="80" w:line="276" w:lineRule="auto"/>
        <w:jc w:val="both"/>
      </w:pPr>
    </w:p>
    <w:p w14:paraId="33F569C1" w14:textId="77777777" w:rsidR="009F1E77" w:rsidRPr="009F4263" w:rsidRDefault="009F1E77" w:rsidP="009F1E77">
      <w:pPr>
        <w:spacing w:after="80" w:line="276" w:lineRule="auto"/>
        <w:contextualSpacing w:val="0"/>
        <w:jc w:val="both"/>
        <w:rPr>
          <w:b/>
        </w:rPr>
      </w:pPr>
      <w:r w:rsidRPr="009F4263">
        <w:rPr>
          <w:b/>
        </w:rPr>
        <w:t>Ethical Considerations</w:t>
      </w:r>
    </w:p>
    <w:p w14:paraId="68E6F118" w14:textId="77777777" w:rsidR="009F1E77" w:rsidRPr="009F4263" w:rsidRDefault="009F1E77" w:rsidP="009F1E77">
      <w:pPr>
        <w:spacing w:after="80" w:line="276" w:lineRule="auto"/>
        <w:contextualSpacing w:val="0"/>
        <w:jc w:val="both"/>
      </w:pPr>
      <w:r w:rsidRPr="009F4263">
        <w:t>All aspects of this study will be discussed with each patient during the recruitment process. Each participant will be given written, informed consent and will be free to withdraw from the study at any time.</w:t>
      </w:r>
    </w:p>
    <w:p w14:paraId="7EBC19B4" w14:textId="77777777" w:rsidR="009F1E77" w:rsidRPr="009F4263" w:rsidRDefault="009F1E77" w:rsidP="009F1E77">
      <w:pPr>
        <w:spacing w:after="80" w:line="276" w:lineRule="auto"/>
        <w:contextualSpacing w:val="0"/>
        <w:jc w:val="both"/>
      </w:pPr>
    </w:p>
    <w:p w14:paraId="1133157D" w14:textId="77777777" w:rsidR="009F1E77" w:rsidRPr="009F4263" w:rsidRDefault="009F1E77" w:rsidP="009F1E77">
      <w:pPr>
        <w:spacing w:after="80" w:line="276" w:lineRule="auto"/>
        <w:contextualSpacing w:val="0"/>
        <w:jc w:val="both"/>
      </w:pPr>
      <w:r w:rsidRPr="009F4263">
        <w:t>The study protocol will be submitted to the Southern Adelaide Clinical Research Ethics Committee for approval.  This study will be performed in accordance with the National Statement on Ethical Conduct in Human Research 2007.  The Chairman of the Research Ethics Committee will be notified within 72 hours should any serious adverse event occur. Confidentiality will be maintained beyond study parameters.</w:t>
      </w:r>
    </w:p>
    <w:p w14:paraId="6FCC2311" w14:textId="77777777" w:rsidR="009F1E77" w:rsidRDefault="009F1E77" w:rsidP="009F1E77">
      <w:pPr>
        <w:spacing w:line="276" w:lineRule="auto"/>
        <w:jc w:val="both"/>
        <w:rPr>
          <w:b/>
        </w:rPr>
      </w:pPr>
      <w:bookmarkStart w:id="3" w:name="_Toc479769078"/>
    </w:p>
    <w:p w14:paraId="056A2808" w14:textId="77777777" w:rsidR="009F1E77" w:rsidRPr="004613E8" w:rsidRDefault="009F1E77" w:rsidP="009F1E77">
      <w:pPr>
        <w:spacing w:line="276" w:lineRule="auto"/>
        <w:jc w:val="both"/>
        <w:rPr>
          <w:b/>
          <w:u w:val="single"/>
        </w:rPr>
      </w:pPr>
      <w:r>
        <w:rPr>
          <w:b/>
          <w:u w:val="single"/>
        </w:rPr>
        <w:t>Anticipated outcomes</w:t>
      </w:r>
    </w:p>
    <w:bookmarkEnd w:id="3"/>
    <w:p w14:paraId="548E8143" w14:textId="77777777" w:rsidR="009F1E77" w:rsidRDefault="009F1E77" w:rsidP="009F1E77">
      <w:pPr>
        <w:spacing w:after="80" w:line="276" w:lineRule="auto"/>
        <w:jc w:val="both"/>
      </w:pPr>
      <w:r>
        <w:t xml:space="preserve">It is anticipated that the study will show a significant reduction in blood product usage and costs associated with the ROTEM arm, without any increase in procedure-related adverse events. It is hoped that findings from this study will be published in a high impact journal and help to stimulate further high quality studies in this area with the aim of establishing improved evidence based guidelines. </w:t>
      </w:r>
    </w:p>
    <w:p w14:paraId="7A01D6AE" w14:textId="77777777" w:rsidR="009F1E77" w:rsidRDefault="009F1E77" w:rsidP="009F1E77">
      <w:pPr>
        <w:spacing w:after="80" w:line="276" w:lineRule="auto"/>
        <w:jc w:val="both"/>
      </w:pPr>
    </w:p>
    <w:p w14:paraId="3395CE44" w14:textId="77777777" w:rsidR="009F1E77" w:rsidRPr="004613E8" w:rsidRDefault="009F1E77" w:rsidP="009F1E77">
      <w:pPr>
        <w:spacing w:after="80" w:line="276" w:lineRule="auto"/>
        <w:jc w:val="both"/>
      </w:pPr>
    </w:p>
    <w:p w14:paraId="1516E6B0" w14:textId="77777777" w:rsidR="009F1E77" w:rsidRPr="009F4263" w:rsidRDefault="009F1E77" w:rsidP="009F1E77">
      <w:pPr>
        <w:spacing w:after="80" w:line="276" w:lineRule="auto"/>
        <w:jc w:val="both"/>
        <w:rPr>
          <w:b/>
        </w:rPr>
      </w:pPr>
      <w:r w:rsidRPr="009F4263">
        <w:rPr>
          <w:b/>
        </w:rPr>
        <w:t>References</w:t>
      </w:r>
    </w:p>
    <w:p w14:paraId="2A9CBB91" w14:textId="77777777" w:rsidR="009F1E77" w:rsidRPr="000227ED" w:rsidRDefault="009F1E77" w:rsidP="009F1E77">
      <w:pPr>
        <w:widowControl w:val="0"/>
        <w:autoSpaceDE w:val="0"/>
        <w:autoSpaceDN w:val="0"/>
        <w:adjustRightInd w:val="0"/>
        <w:spacing w:line="276" w:lineRule="auto"/>
        <w:jc w:val="both"/>
        <w:rPr>
          <w:lang w:val="en-US"/>
        </w:rPr>
      </w:pPr>
    </w:p>
    <w:p w14:paraId="59D4640B" w14:textId="77777777" w:rsidR="009F1E77" w:rsidRPr="006B10D9" w:rsidRDefault="009F1E77" w:rsidP="009F1E77">
      <w:pPr>
        <w:pStyle w:val="ListParagraph"/>
        <w:numPr>
          <w:ilvl w:val="0"/>
          <w:numId w:val="5"/>
        </w:numPr>
        <w:spacing w:after="80" w:line="276" w:lineRule="auto"/>
        <w:jc w:val="both"/>
      </w:pPr>
      <w:r w:rsidRPr="004D7D5D">
        <w:rPr>
          <w:lang w:val="en-US"/>
        </w:rPr>
        <w:t xml:space="preserve">Alamo JM, Leon A, Mellado P, Bernal C, Marín LM, Cepeda C, Suárez G, Serrano J, Padillo J,and Gómez MA. 2013. Is “intra-operating room” thromboelastometry useful in </w:t>
      </w:r>
      <w:r w:rsidRPr="006B10D9">
        <w:rPr>
          <w:lang w:val="en-US"/>
        </w:rPr>
        <w:t>liver transplantation? A case-control</w:t>
      </w:r>
      <w:r w:rsidRPr="006B10D9">
        <w:t xml:space="preserve"> </w:t>
      </w:r>
      <w:r w:rsidRPr="006B10D9">
        <w:rPr>
          <w:lang w:val="en-US"/>
        </w:rPr>
        <w:t xml:space="preserve">study in 303 patients. Transplant Proc. 2013;45:3637–3639. </w:t>
      </w:r>
    </w:p>
    <w:p w14:paraId="440EE6F1" w14:textId="77777777" w:rsidR="009F1E77" w:rsidRPr="006B10D9" w:rsidRDefault="00045503" w:rsidP="009F1E77">
      <w:pPr>
        <w:pStyle w:val="ListParagraph"/>
        <w:numPr>
          <w:ilvl w:val="0"/>
          <w:numId w:val="5"/>
        </w:numPr>
        <w:spacing w:after="80" w:line="276" w:lineRule="auto"/>
        <w:jc w:val="both"/>
      </w:pPr>
      <w:r w:rsidRPr="006B10D9">
        <w:t xml:space="preserve">Deloitte Access Economics. 2013. </w:t>
      </w:r>
      <w:r w:rsidR="009F1E77" w:rsidRPr="006B10D9">
        <w:t>The economic cost and health burden of liver diseases in Au</w:t>
      </w:r>
      <w:r w:rsidRPr="006B10D9">
        <w:t xml:space="preserve">stralia. </w:t>
      </w:r>
    </w:p>
    <w:p w14:paraId="7630C078" w14:textId="592EDBF3" w:rsidR="006B10D9" w:rsidRPr="006B10D9" w:rsidRDefault="006B10D9" w:rsidP="006B10D9">
      <w:pPr>
        <w:pStyle w:val="ListParagraph"/>
        <w:widowControl w:val="0"/>
        <w:numPr>
          <w:ilvl w:val="0"/>
          <w:numId w:val="5"/>
        </w:numPr>
        <w:autoSpaceDE w:val="0"/>
        <w:autoSpaceDN w:val="0"/>
        <w:adjustRightInd w:val="0"/>
        <w:spacing w:line="276" w:lineRule="auto"/>
      </w:pPr>
      <w:r w:rsidRPr="006B10D9">
        <w:t xml:space="preserve">De Pietri L, Bianchini M, Montalti R, De Maria N, Di Maira T, Begliomini B, Gerunda GE, di Benedetto F, Garcia-Tsao G, Villa E. 2016. Thrombelastography-guided blood product use before invasive procedures in cirrhosis with severe coagulopathy: A randomized, controlled trial. Hepatology;63(2):566-73. doi: 10.1002/hep.28148. </w:t>
      </w:r>
    </w:p>
    <w:p w14:paraId="0ABE8971" w14:textId="77777777" w:rsidR="009F1E77" w:rsidRPr="009F4263" w:rsidRDefault="009F1E77" w:rsidP="009F1E77">
      <w:pPr>
        <w:pStyle w:val="ListParagraph"/>
        <w:numPr>
          <w:ilvl w:val="0"/>
          <w:numId w:val="5"/>
        </w:numPr>
        <w:spacing w:line="276" w:lineRule="auto"/>
        <w:jc w:val="both"/>
      </w:pPr>
      <w:r w:rsidRPr="006B10D9">
        <w:t>Forkin KT, Colquhoun DA, Nemergut EC, Huffmyer JL. 2018. The Coagulation Profile of End-Stage Liver Disease and Considerations for Intraoperative Management. Anesth</w:t>
      </w:r>
      <w:r w:rsidRPr="009F4263">
        <w:t xml:space="preserve"> Analg. 126(1):46-61. doi: 10.1213/ANE.0000000000002394.</w:t>
      </w:r>
    </w:p>
    <w:p w14:paraId="4AAB5804" w14:textId="77777777" w:rsidR="009F1E77" w:rsidRPr="009F4263" w:rsidRDefault="009F1E77" w:rsidP="009F1E77">
      <w:pPr>
        <w:pStyle w:val="ListParagraph"/>
        <w:widowControl w:val="0"/>
        <w:numPr>
          <w:ilvl w:val="0"/>
          <w:numId w:val="5"/>
        </w:numPr>
        <w:autoSpaceDE w:val="0"/>
        <w:autoSpaceDN w:val="0"/>
        <w:adjustRightInd w:val="0"/>
        <w:spacing w:line="276" w:lineRule="auto"/>
        <w:jc w:val="both"/>
        <w:rPr>
          <w:lang w:val="en-US"/>
        </w:rPr>
      </w:pPr>
      <w:r w:rsidRPr="009F4263">
        <w:rPr>
          <w:lang w:val="en-US"/>
        </w:rPr>
        <w:t xml:space="preserve">Hartmann M, Szalai C, Saner FH. </w:t>
      </w:r>
      <w:r w:rsidR="00045503">
        <w:rPr>
          <w:lang w:val="en-US"/>
        </w:rPr>
        <w:t xml:space="preserve">2016. </w:t>
      </w:r>
      <w:r w:rsidRPr="009F4263">
        <w:rPr>
          <w:lang w:val="en-US"/>
        </w:rPr>
        <w:t xml:space="preserve">Hemostasis in liver transplantation: Pathophysiology, monitoring, and treatment. World </w:t>
      </w:r>
      <w:r w:rsidRPr="009F4263">
        <w:t>J Gastroenterol.</w:t>
      </w:r>
      <w:r w:rsidR="00045503">
        <w:t xml:space="preserve"> </w:t>
      </w:r>
      <w:r w:rsidRPr="009F4263">
        <w:t>22:1541–1550.</w:t>
      </w:r>
    </w:p>
    <w:p w14:paraId="2A5C727D" w14:textId="77777777" w:rsidR="009F1E77" w:rsidRPr="009F4263" w:rsidRDefault="009F1E77" w:rsidP="009F1E77">
      <w:pPr>
        <w:pStyle w:val="ListParagraph"/>
        <w:numPr>
          <w:ilvl w:val="0"/>
          <w:numId w:val="5"/>
        </w:numPr>
        <w:spacing w:line="276" w:lineRule="auto"/>
        <w:jc w:val="both"/>
      </w:pPr>
      <w:r w:rsidRPr="009F4263">
        <w:t xml:space="preserve">Patel IL, Daivdson JC, Nikolic B, Salazar GM, Schwartzber MS, Walker TG, Saad WA, </w:t>
      </w:r>
      <w:r w:rsidR="00045503">
        <w:t xml:space="preserve">2012. </w:t>
      </w:r>
      <w:r w:rsidRPr="009F4263">
        <w:t>Standards of Practice Committee, with Cardiovascular and Interventional Radiological Society</w:t>
      </w:r>
      <w:r w:rsidR="00045503">
        <w:t xml:space="preserve"> of Europe (CIRSE) Endorsement</w:t>
      </w:r>
      <w:r w:rsidRPr="009F4263">
        <w:t>, Consensus guidelines for periprocedural management of coagulation status and hemostasis risk in percutaneous image-guided interventions. J Vasc Interv Radiol. 23(6):727-36. doi: 10.1016/j.jvir.2012.02.012.</w:t>
      </w:r>
    </w:p>
    <w:p w14:paraId="37A0E181" w14:textId="77777777" w:rsidR="009F1E77" w:rsidRDefault="009F1E77" w:rsidP="009F1E77">
      <w:pPr>
        <w:pStyle w:val="ListParagraph"/>
        <w:numPr>
          <w:ilvl w:val="0"/>
          <w:numId w:val="5"/>
        </w:numPr>
        <w:spacing w:line="276" w:lineRule="auto"/>
        <w:jc w:val="both"/>
      </w:pPr>
      <w:r w:rsidRPr="009F4263">
        <w:t>Rocha LL, Pessoa CM, Neto AS, do Prado RR, Silva E, de Almeida MD, Correa TD, P</w:t>
      </w:r>
      <w:r w:rsidR="00045503">
        <w:t>OCKET Trial Investigators. 2017</w:t>
      </w:r>
      <w:r w:rsidRPr="009F4263">
        <w:t xml:space="preserve">. Thromboelastometry versus standard coagulation tests versus restrictive protocol to guide blood transfusion prior to central venous catheterization in cirrhosis: study protocol for a randomized controlled trial. </w:t>
      </w:r>
      <w:r w:rsidRPr="009F4263">
        <w:rPr>
          <w:i/>
          <w:iCs/>
        </w:rPr>
        <w:t>Trials</w:t>
      </w:r>
      <w:r w:rsidRPr="009F4263">
        <w:t xml:space="preserve">, </w:t>
      </w:r>
      <w:r w:rsidRPr="009F4263">
        <w:rPr>
          <w:i/>
          <w:iCs/>
        </w:rPr>
        <w:t>18</w:t>
      </w:r>
      <w:r w:rsidRPr="009F4263">
        <w:t>(1), 85. doi:10.1186/s13063-017-1835-52017.</w:t>
      </w:r>
    </w:p>
    <w:p w14:paraId="31F7DF44" w14:textId="77777777" w:rsidR="009F1E77" w:rsidRPr="004D7D5D" w:rsidRDefault="009F1E77" w:rsidP="009F1E77">
      <w:pPr>
        <w:pStyle w:val="ListParagraph"/>
        <w:numPr>
          <w:ilvl w:val="0"/>
          <w:numId w:val="5"/>
        </w:numPr>
        <w:spacing w:line="276" w:lineRule="auto"/>
        <w:jc w:val="both"/>
      </w:pPr>
      <w:r w:rsidRPr="004D7D5D">
        <w:rPr>
          <w:lang w:val="en-US"/>
        </w:rPr>
        <w:t>Venon WD, Ponzo P, Sacco M, Mengozzi G, Raso S, Valpreda A, Rizzetto</w:t>
      </w:r>
      <w:r w:rsidR="00045503">
        <w:rPr>
          <w:lang w:val="en-US"/>
        </w:rPr>
        <w:t xml:space="preserve"> M and Marzano A. 2015.</w:t>
      </w:r>
      <w:r w:rsidRPr="004D7D5D">
        <w:rPr>
          <w:lang w:val="en-US"/>
        </w:rPr>
        <w:t xml:space="preserve"> Usefulness of thromboelastometry in predicting the risk of bleeding in cirrhotics who undergo invasive procedures, Eur J Gastroenterol Hepatol 27:1313–1319</w:t>
      </w:r>
    </w:p>
    <w:p w14:paraId="0D3CFF89" w14:textId="77777777" w:rsidR="009F1E77" w:rsidRDefault="009F1E77" w:rsidP="009F1E77">
      <w:bookmarkStart w:id="4" w:name="GoBack"/>
      <w:bookmarkEnd w:id="4"/>
    </w:p>
    <w:p w14:paraId="7823D759" w14:textId="77777777" w:rsidR="00324DF1" w:rsidRDefault="00324DF1"/>
    <w:sectPr w:rsidR="00324DF1" w:rsidSect="00C333CA">
      <w:headerReference w:type="default" r:id="rId9"/>
      <w:footerReference w:type="default" r:id="rId10"/>
      <w:pgSz w:w="11906" w:h="16838"/>
      <w:pgMar w:top="1247"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61BB9" w14:textId="77777777" w:rsidR="008876DC" w:rsidRDefault="008876DC">
      <w:r>
        <w:separator/>
      </w:r>
    </w:p>
  </w:endnote>
  <w:endnote w:type="continuationSeparator" w:id="0">
    <w:p w14:paraId="24E18698" w14:textId="77777777" w:rsidR="008876DC" w:rsidRDefault="0088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E8CEE" w14:textId="77777777" w:rsidR="008876DC" w:rsidRPr="002C4676" w:rsidRDefault="008876DC" w:rsidP="00C333CA">
    <w:pPr>
      <w:pStyle w:val="Footer"/>
      <w:rPr>
        <w:sz w:val="22"/>
        <w:szCs w:val="22"/>
      </w:rPr>
    </w:pPr>
    <w:r w:rsidRPr="002C4676">
      <w:rPr>
        <w:sz w:val="22"/>
        <w:szCs w:val="22"/>
      </w:rPr>
      <w:t>__________________________________________________</w:t>
    </w:r>
    <w:r>
      <w:rPr>
        <w:sz w:val="22"/>
        <w:szCs w:val="22"/>
      </w:rPr>
      <w:t>____________________________</w:t>
    </w:r>
  </w:p>
  <w:p w14:paraId="14213A8A" w14:textId="77777777" w:rsidR="008876DC" w:rsidRPr="00897310" w:rsidRDefault="008876DC" w:rsidP="00C333CA">
    <w:pPr>
      <w:pStyle w:val="Footer"/>
      <w:tabs>
        <w:tab w:val="clear" w:pos="9026"/>
        <w:tab w:val="right" w:pos="9498"/>
      </w:tabs>
      <w:rPr>
        <w:sz w:val="20"/>
        <w:szCs w:val="20"/>
      </w:rPr>
    </w:pPr>
    <w:r>
      <w:rPr>
        <w:sz w:val="20"/>
        <w:szCs w:val="20"/>
      </w:rPr>
      <w:t>PROTEM</w:t>
    </w:r>
    <w:r w:rsidRPr="00897310">
      <w:rPr>
        <w:sz w:val="20"/>
        <w:szCs w:val="20"/>
      </w:rPr>
      <w:t xml:space="preserve"> Protocol V1.0, dated </w:t>
    </w:r>
    <w:r>
      <w:rPr>
        <w:sz w:val="20"/>
        <w:szCs w:val="20"/>
      </w:rPr>
      <w:t>6 July 2019</w:t>
    </w:r>
    <w:r w:rsidRPr="00897310">
      <w:rPr>
        <w:sz w:val="20"/>
        <w:szCs w:val="20"/>
      </w:rPr>
      <w:tab/>
      <w:t xml:space="preserve"> </w:t>
    </w:r>
    <w:sdt>
      <w:sdtPr>
        <w:rPr>
          <w:sz w:val="20"/>
          <w:szCs w:val="20"/>
        </w:rPr>
        <w:id w:val="860082579"/>
        <w:docPartObj>
          <w:docPartGallery w:val="Page Numbers (Top of Page)"/>
          <w:docPartUnique/>
        </w:docPartObj>
      </w:sdtPr>
      <w:sdtEndPr/>
      <w:sdtContent>
        <w:r w:rsidRPr="00897310">
          <w:rPr>
            <w:sz w:val="20"/>
            <w:szCs w:val="20"/>
          </w:rPr>
          <w:tab/>
          <w:t xml:space="preserve">Page </w:t>
        </w:r>
        <w:r w:rsidRPr="00897310">
          <w:rPr>
            <w:b/>
            <w:bCs/>
            <w:sz w:val="20"/>
            <w:szCs w:val="20"/>
          </w:rPr>
          <w:fldChar w:fldCharType="begin"/>
        </w:r>
        <w:r w:rsidRPr="00897310">
          <w:rPr>
            <w:b/>
            <w:bCs/>
            <w:sz w:val="20"/>
            <w:szCs w:val="20"/>
          </w:rPr>
          <w:instrText xml:space="preserve"> PAGE </w:instrText>
        </w:r>
        <w:r w:rsidRPr="00897310">
          <w:rPr>
            <w:b/>
            <w:bCs/>
            <w:sz w:val="20"/>
            <w:szCs w:val="20"/>
          </w:rPr>
          <w:fldChar w:fldCharType="separate"/>
        </w:r>
        <w:r w:rsidR="00E27E44">
          <w:rPr>
            <w:b/>
            <w:bCs/>
            <w:noProof/>
            <w:sz w:val="20"/>
            <w:szCs w:val="20"/>
          </w:rPr>
          <w:t>8</w:t>
        </w:r>
        <w:r w:rsidRPr="00897310">
          <w:rPr>
            <w:b/>
            <w:bCs/>
            <w:sz w:val="20"/>
            <w:szCs w:val="20"/>
          </w:rPr>
          <w:fldChar w:fldCharType="end"/>
        </w:r>
        <w:r w:rsidRPr="00897310">
          <w:rPr>
            <w:sz w:val="20"/>
            <w:szCs w:val="20"/>
          </w:rPr>
          <w:t xml:space="preserve"> of </w:t>
        </w:r>
        <w:r w:rsidRPr="00897310">
          <w:rPr>
            <w:b/>
            <w:bCs/>
            <w:sz w:val="20"/>
            <w:szCs w:val="20"/>
          </w:rPr>
          <w:fldChar w:fldCharType="begin"/>
        </w:r>
        <w:r w:rsidRPr="00897310">
          <w:rPr>
            <w:b/>
            <w:bCs/>
            <w:sz w:val="20"/>
            <w:szCs w:val="20"/>
          </w:rPr>
          <w:instrText xml:space="preserve"> NUMPAGES  </w:instrText>
        </w:r>
        <w:r w:rsidRPr="00897310">
          <w:rPr>
            <w:b/>
            <w:bCs/>
            <w:sz w:val="20"/>
            <w:szCs w:val="20"/>
          </w:rPr>
          <w:fldChar w:fldCharType="separate"/>
        </w:r>
        <w:r w:rsidR="00E27E44">
          <w:rPr>
            <w:b/>
            <w:bCs/>
            <w:noProof/>
            <w:sz w:val="20"/>
            <w:szCs w:val="20"/>
          </w:rPr>
          <w:t>9</w:t>
        </w:r>
        <w:r w:rsidRPr="00897310">
          <w:rPr>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60811" w14:textId="77777777" w:rsidR="008876DC" w:rsidRDefault="008876DC">
      <w:r>
        <w:separator/>
      </w:r>
    </w:p>
  </w:footnote>
  <w:footnote w:type="continuationSeparator" w:id="0">
    <w:p w14:paraId="49B2B3A7" w14:textId="77777777" w:rsidR="008876DC" w:rsidRDefault="0088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786F6" w14:textId="77777777" w:rsidR="008876DC" w:rsidRDefault="008876DC" w:rsidP="00C333CA">
    <w:pPr>
      <w:pStyle w:val="Header"/>
      <w:tabs>
        <w:tab w:val="clear" w:pos="9026"/>
        <w:tab w:val="right" w:pos="9639"/>
      </w:tabs>
    </w:pPr>
    <w:r>
      <w:rPr>
        <w:noProof/>
        <w:lang w:eastAsia="en-AU"/>
      </w:rPr>
      <w:drawing>
        <wp:inline distT="0" distB="0" distL="0" distR="0" wp14:anchorId="4B495EE9" wp14:editId="58CAE696">
          <wp:extent cx="2078966" cy="48712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145" cy="486930"/>
                  </a:xfrm>
                  <a:prstGeom prst="rect">
                    <a:avLst/>
                  </a:prstGeom>
                  <a:noFill/>
                </pic:spPr>
              </pic:pic>
            </a:graphicData>
          </a:graphic>
        </wp:inline>
      </w:drawing>
    </w:r>
    <w:r>
      <w:tab/>
    </w:r>
    <w:r>
      <w:tab/>
    </w:r>
    <w:r>
      <w:rPr>
        <w:noProof/>
        <w:lang w:eastAsia="en-AU"/>
      </w:rPr>
      <w:drawing>
        <wp:inline distT="0" distB="0" distL="0" distR="0" wp14:anchorId="7AFCEF71" wp14:editId="547AB1EB">
          <wp:extent cx="1149985" cy="624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985" cy="6248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2D26"/>
    <w:multiLevelType w:val="hybridMultilevel"/>
    <w:tmpl w:val="9AA08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BF77F1"/>
    <w:multiLevelType w:val="hybridMultilevel"/>
    <w:tmpl w:val="56F0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EA6780"/>
    <w:multiLevelType w:val="hybridMultilevel"/>
    <w:tmpl w:val="267A8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394729"/>
    <w:multiLevelType w:val="hybridMultilevel"/>
    <w:tmpl w:val="792E5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2F2E7F"/>
    <w:multiLevelType w:val="hybridMultilevel"/>
    <w:tmpl w:val="FEE4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858BC"/>
    <w:multiLevelType w:val="hybridMultilevel"/>
    <w:tmpl w:val="BD40B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D432F7"/>
    <w:multiLevelType w:val="hybridMultilevel"/>
    <w:tmpl w:val="C3E83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CA61FD"/>
    <w:multiLevelType w:val="hybridMultilevel"/>
    <w:tmpl w:val="C554A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7E6EB1"/>
    <w:multiLevelType w:val="hybridMultilevel"/>
    <w:tmpl w:val="9ECC8E6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8"/>
  </w:num>
  <w:num w:numId="5">
    <w:abstractNumId w:val="4"/>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E77"/>
    <w:rsid w:val="00045503"/>
    <w:rsid w:val="0012605B"/>
    <w:rsid w:val="00187895"/>
    <w:rsid w:val="001976A7"/>
    <w:rsid w:val="00212D19"/>
    <w:rsid w:val="002B0296"/>
    <w:rsid w:val="00304BC1"/>
    <w:rsid w:val="00324DF1"/>
    <w:rsid w:val="006B10D9"/>
    <w:rsid w:val="00714A6A"/>
    <w:rsid w:val="008876DC"/>
    <w:rsid w:val="009736B3"/>
    <w:rsid w:val="009F1E77"/>
    <w:rsid w:val="00A92BED"/>
    <w:rsid w:val="00BA1862"/>
    <w:rsid w:val="00C01CBD"/>
    <w:rsid w:val="00C333CA"/>
    <w:rsid w:val="00C52AE3"/>
    <w:rsid w:val="00CB0FD9"/>
    <w:rsid w:val="00CC2E2D"/>
    <w:rsid w:val="00CD78C1"/>
    <w:rsid w:val="00D51895"/>
    <w:rsid w:val="00D65AB1"/>
    <w:rsid w:val="00DA40F0"/>
    <w:rsid w:val="00E27E44"/>
    <w:rsid w:val="00FB2C24"/>
    <w:rsid w:val="00FF0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CC2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77"/>
    <w:pPr>
      <w:contextualSpacing/>
    </w:pPr>
    <w:rPr>
      <w:rFonts w:ascii="Helvetica" w:eastAsia="Times New Roman" w:hAnsi="Helvetica" w:cs="Times New Roman"/>
    </w:rPr>
  </w:style>
  <w:style w:type="paragraph" w:styleId="Heading1">
    <w:name w:val="heading 1"/>
    <w:basedOn w:val="Normal"/>
    <w:next w:val="Normal"/>
    <w:link w:val="Heading1Char"/>
    <w:qFormat/>
    <w:rsid w:val="009F1E77"/>
    <w:pPr>
      <w:keepNext/>
      <w:spacing w:before="360" w:after="120"/>
      <w:outlineLvl w:val="0"/>
    </w:pPr>
    <w:rPr>
      <w:rFonts w:cs="Arial"/>
      <w:b/>
      <w:bCs/>
      <w:kern w:val="32"/>
      <w:sz w:val="28"/>
      <w:szCs w:val="28"/>
    </w:rPr>
  </w:style>
  <w:style w:type="paragraph" w:styleId="Heading3">
    <w:name w:val="heading 3"/>
    <w:basedOn w:val="Normal"/>
    <w:next w:val="Normal"/>
    <w:link w:val="Heading3Char"/>
    <w:uiPriority w:val="9"/>
    <w:unhideWhenUsed/>
    <w:qFormat/>
    <w:rsid w:val="006B10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E77"/>
    <w:rPr>
      <w:rFonts w:ascii="Helvetica" w:eastAsia="Times New Roman" w:hAnsi="Helvetica" w:cs="Arial"/>
      <w:b/>
      <w:bCs/>
      <w:kern w:val="32"/>
      <w:sz w:val="28"/>
      <w:szCs w:val="28"/>
    </w:rPr>
  </w:style>
  <w:style w:type="paragraph" w:styleId="Header">
    <w:name w:val="header"/>
    <w:basedOn w:val="Normal"/>
    <w:link w:val="HeaderChar"/>
    <w:uiPriority w:val="99"/>
    <w:rsid w:val="009F1E77"/>
    <w:pPr>
      <w:tabs>
        <w:tab w:val="center" w:pos="4513"/>
        <w:tab w:val="right" w:pos="9026"/>
      </w:tabs>
    </w:pPr>
  </w:style>
  <w:style w:type="character" w:customStyle="1" w:styleId="HeaderChar">
    <w:name w:val="Header Char"/>
    <w:basedOn w:val="DefaultParagraphFont"/>
    <w:link w:val="Header"/>
    <w:uiPriority w:val="99"/>
    <w:rsid w:val="009F1E77"/>
    <w:rPr>
      <w:rFonts w:ascii="Helvetica" w:eastAsia="Times New Roman" w:hAnsi="Helvetica" w:cs="Times New Roman"/>
    </w:rPr>
  </w:style>
  <w:style w:type="paragraph" w:styleId="Footer">
    <w:name w:val="footer"/>
    <w:basedOn w:val="Normal"/>
    <w:link w:val="FooterChar"/>
    <w:uiPriority w:val="99"/>
    <w:rsid w:val="009F1E77"/>
    <w:pPr>
      <w:tabs>
        <w:tab w:val="center" w:pos="4513"/>
        <w:tab w:val="right" w:pos="9026"/>
      </w:tabs>
    </w:pPr>
  </w:style>
  <w:style w:type="character" w:customStyle="1" w:styleId="FooterChar">
    <w:name w:val="Footer Char"/>
    <w:basedOn w:val="DefaultParagraphFont"/>
    <w:link w:val="Footer"/>
    <w:uiPriority w:val="99"/>
    <w:rsid w:val="009F1E77"/>
    <w:rPr>
      <w:rFonts w:ascii="Helvetica" w:eastAsia="Times New Roman" w:hAnsi="Helvetica" w:cs="Times New Roman"/>
    </w:rPr>
  </w:style>
  <w:style w:type="character" w:styleId="CommentReference">
    <w:name w:val="annotation reference"/>
    <w:rsid w:val="009F1E77"/>
    <w:rPr>
      <w:sz w:val="16"/>
      <w:szCs w:val="16"/>
    </w:rPr>
  </w:style>
  <w:style w:type="paragraph" w:styleId="CommentText">
    <w:name w:val="annotation text"/>
    <w:basedOn w:val="Normal"/>
    <w:link w:val="CommentTextChar"/>
    <w:rsid w:val="009F1E77"/>
    <w:rPr>
      <w:sz w:val="20"/>
      <w:szCs w:val="20"/>
    </w:rPr>
  </w:style>
  <w:style w:type="character" w:customStyle="1" w:styleId="CommentTextChar">
    <w:name w:val="Comment Text Char"/>
    <w:basedOn w:val="DefaultParagraphFont"/>
    <w:link w:val="CommentText"/>
    <w:rsid w:val="009F1E77"/>
    <w:rPr>
      <w:rFonts w:ascii="Helvetica" w:eastAsia="Times New Roman" w:hAnsi="Helvetica" w:cs="Times New Roman"/>
      <w:sz w:val="20"/>
      <w:szCs w:val="20"/>
    </w:rPr>
  </w:style>
  <w:style w:type="paragraph" w:styleId="ListParagraph">
    <w:name w:val="List Paragraph"/>
    <w:basedOn w:val="Normal"/>
    <w:uiPriority w:val="34"/>
    <w:qFormat/>
    <w:rsid w:val="009F1E77"/>
    <w:pPr>
      <w:ind w:left="720"/>
    </w:pPr>
  </w:style>
  <w:style w:type="character" w:customStyle="1" w:styleId="rpc41">
    <w:name w:val="_rpc_41"/>
    <w:basedOn w:val="DefaultParagraphFont"/>
    <w:rsid w:val="009F1E77"/>
  </w:style>
  <w:style w:type="character" w:customStyle="1" w:styleId="e24kjd">
    <w:name w:val="e24kjd"/>
    <w:basedOn w:val="DefaultParagraphFont"/>
    <w:rsid w:val="009F1E77"/>
  </w:style>
  <w:style w:type="paragraph" w:styleId="BalloonText">
    <w:name w:val="Balloon Text"/>
    <w:basedOn w:val="Normal"/>
    <w:link w:val="BalloonTextChar"/>
    <w:uiPriority w:val="99"/>
    <w:semiHidden/>
    <w:unhideWhenUsed/>
    <w:rsid w:val="009F1E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1E77"/>
    <w:rPr>
      <w:rFonts w:ascii="Lucida Grande" w:eastAsia="Times New Roman" w:hAnsi="Lucida Grande" w:cs="Lucida Grande"/>
      <w:sz w:val="18"/>
      <w:szCs w:val="18"/>
    </w:rPr>
  </w:style>
  <w:style w:type="character" w:customStyle="1" w:styleId="Heading3Char">
    <w:name w:val="Heading 3 Char"/>
    <w:basedOn w:val="DefaultParagraphFont"/>
    <w:link w:val="Heading3"/>
    <w:uiPriority w:val="9"/>
    <w:rsid w:val="006B10D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77"/>
    <w:pPr>
      <w:contextualSpacing/>
    </w:pPr>
    <w:rPr>
      <w:rFonts w:ascii="Helvetica" w:eastAsia="Times New Roman" w:hAnsi="Helvetica" w:cs="Times New Roman"/>
    </w:rPr>
  </w:style>
  <w:style w:type="paragraph" w:styleId="Heading1">
    <w:name w:val="heading 1"/>
    <w:basedOn w:val="Normal"/>
    <w:next w:val="Normal"/>
    <w:link w:val="Heading1Char"/>
    <w:qFormat/>
    <w:rsid w:val="009F1E77"/>
    <w:pPr>
      <w:keepNext/>
      <w:spacing w:before="360" w:after="120"/>
      <w:outlineLvl w:val="0"/>
    </w:pPr>
    <w:rPr>
      <w:rFonts w:cs="Arial"/>
      <w:b/>
      <w:bCs/>
      <w:kern w:val="32"/>
      <w:sz w:val="28"/>
      <w:szCs w:val="28"/>
    </w:rPr>
  </w:style>
  <w:style w:type="paragraph" w:styleId="Heading3">
    <w:name w:val="heading 3"/>
    <w:basedOn w:val="Normal"/>
    <w:next w:val="Normal"/>
    <w:link w:val="Heading3Char"/>
    <w:uiPriority w:val="9"/>
    <w:unhideWhenUsed/>
    <w:qFormat/>
    <w:rsid w:val="006B10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E77"/>
    <w:rPr>
      <w:rFonts w:ascii="Helvetica" w:eastAsia="Times New Roman" w:hAnsi="Helvetica" w:cs="Arial"/>
      <w:b/>
      <w:bCs/>
      <w:kern w:val="32"/>
      <w:sz w:val="28"/>
      <w:szCs w:val="28"/>
    </w:rPr>
  </w:style>
  <w:style w:type="paragraph" w:styleId="Header">
    <w:name w:val="header"/>
    <w:basedOn w:val="Normal"/>
    <w:link w:val="HeaderChar"/>
    <w:uiPriority w:val="99"/>
    <w:rsid w:val="009F1E77"/>
    <w:pPr>
      <w:tabs>
        <w:tab w:val="center" w:pos="4513"/>
        <w:tab w:val="right" w:pos="9026"/>
      </w:tabs>
    </w:pPr>
  </w:style>
  <w:style w:type="character" w:customStyle="1" w:styleId="HeaderChar">
    <w:name w:val="Header Char"/>
    <w:basedOn w:val="DefaultParagraphFont"/>
    <w:link w:val="Header"/>
    <w:uiPriority w:val="99"/>
    <w:rsid w:val="009F1E77"/>
    <w:rPr>
      <w:rFonts w:ascii="Helvetica" w:eastAsia="Times New Roman" w:hAnsi="Helvetica" w:cs="Times New Roman"/>
    </w:rPr>
  </w:style>
  <w:style w:type="paragraph" w:styleId="Footer">
    <w:name w:val="footer"/>
    <w:basedOn w:val="Normal"/>
    <w:link w:val="FooterChar"/>
    <w:uiPriority w:val="99"/>
    <w:rsid w:val="009F1E77"/>
    <w:pPr>
      <w:tabs>
        <w:tab w:val="center" w:pos="4513"/>
        <w:tab w:val="right" w:pos="9026"/>
      </w:tabs>
    </w:pPr>
  </w:style>
  <w:style w:type="character" w:customStyle="1" w:styleId="FooterChar">
    <w:name w:val="Footer Char"/>
    <w:basedOn w:val="DefaultParagraphFont"/>
    <w:link w:val="Footer"/>
    <w:uiPriority w:val="99"/>
    <w:rsid w:val="009F1E77"/>
    <w:rPr>
      <w:rFonts w:ascii="Helvetica" w:eastAsia="Times New Roman" w:hAnsi="Helvetica" w:cs="Times New Roman"/>
    </w:rPr>
  </w:style>
  <w:style w:type="character" w:styleId="CommentReference">
    <w:name w:val="annotation reference"/>
    <w:rsid w:val="009F1E77"/>
    <w:rPr>
      <w:sz w:val="16"/>
      <w:szCs w:val="16"/>
    </w:rPr>
  </w:style>
  <w:style w:type="paragraph" w:styleId="CommentText">
    <w:name w:val="annotation text"/>
    <w:basedOn w:val="Normal"/>
    <w:link w:val="CommentTextChar"/>
    <w:rsid w:val="009F1E77"/>
    <w:rPr>
      <w:sz w:val="20"/>
      <w:szCs w:val="20"/>
    </w:rPr>
  </w:style>
  <w:style w:type="character" w:customStyle="1" w:styleId="CommentTextChar">
    <w:name w:val="Comment Text Char"/>
    <w:basedOn w:val="DefaultParagraphFont"/>
    <w:link w:val="CommentText"/>
    <w:rsid w:val="009F1E77"/>
    <w:rPr>
      <w:rFonts w:ascii="Helvetica" w:eastAsia="Times New Roman" w:hAnsi="Helvetica" w:cs="Times New Roman"/>
      <w:sz w:val="20"/>
      <w:szCs w:val="20"/>
    </w:rPr>
  </w:style>
  <w:style w:type="paragraph" w:styleId="ListParagraph">
    <w:name w:val="List Paragraph"/>
    <w:basedOn w:val="Normal"/>
    <w:uiPriority w:val="34"/>
    <w:qFormat/>
    <w:rsid w:val="009F1E77"/>
    <w:pPr>
      <w:ind w:left="720"/>
    </w:pPr>
  </w:style>
  <w:style w:type="character" w:customStyle="1" w:styleId="rpc41">
    <w:name w:val="_rpc_41"/>
    <w:basedOn w:val="DefaultParagraphFont"/>
    <w:rsid w:val="009F1E77"/>
  </w:style>
  <w:style w:type="character" w:customStyle="1" w:styleId="e24kjd">
    <w:name w:val="e24kjd"/>
    <w:basedOn w:val="DefaultParagraphFont"/>
    <w:rsid w:val="009F1E77"/>
  </w:style>
  <w:style w:type="paragraph" w:styleId="BalloonText">
    <w:name w:val="Balloon Text"/>
    <w:basedOn w:val="Normal"/>
    <w:link w:val="BalloonTextChar"/>
    <w:uiPriority w:val="99"/>
    <w:semiHidden/>
    <w:unhideWhenUsed/>
    <w:rsid w:val="009F1E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1E77"/>
    <w:rPr>
      <w:rFonts w:ascii="Lucida Grande" w:eastAsia="Times New Roman" w:hAnsi="Lucida Grande" w:cs="Lucida Grande"/>
      <w:sz w:val="18"/>
      <w:szCs w:val="18"/>
    </w:rPr>
  </w:style>
  <w:style w:type="character" w:customStyle="1" w:styleId="Heading3Char">
    <w:name w:val="Heading 3 Char"/>
    <w:basedOn w:val="DefaultParagraphFont"/>
    <w:link w:val="Heading3"/>
    <w:uiPriority w:val="9"/>
    <w:rsid w:val="006B10D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3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2359</Words>
  <Characters>13450</Characters>
  <Application>Microsoft Office Word</Application>
  <DocSecurity>4</DocSecurity>
  <Lines>112</Lines>
  <Paragraphs>31</Paragraphs>
  <ScaleCrop>false</ScaleCrop>
  <Company>SALHN</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Yasmina Tashkent</dc:creator>
  <cp:lastModifiedBy>sy</cp:lastModifiedBy>
  <cp:revision>2</cp:revision>
  <dcterms:created xsi:type="dcterms:W3CDTF">2019-08-02T00:17:00Z</dcterms:created>
  <dcterms:modified xsi:type="dcterms:W3CDTF">2019-08-02T00:17:00Z</dcterms:modified>
</cp:coreProperties>
</file>