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34" w:type="dxa"/>
        <w:tblLayout w:type="fixed"/>
        <w:tblLook w:val="0000" w:firstRow="0" w:lastRow="0" w:firstColumn="0" w:lastColumn="0" w:noHBand="0" w:noVBand="0"/>
      </w:tblPr>
      <w:tblGrid>
        <w:gridCol w:w="10207"/>
      </w:tblGrid>
      <w:tr w:rsidR="000865B2" w:rsidTr="004530DC">
        <w:tc>
          <w:tcPr>
            <w:tcW w:w="9357" w:type="dxa"/>
            <w:tcBorders>
              <w:top w:val="single" w:sz="6" w:space="0" w:color="auto"/>
              <w:left w:val="single" w:sz="6" w:space="0" w:color="auto"/>
              <w:bottom w:val="single" w:sz="6" w:space="0" w:color="auto"/>
              <w:right w:val="single" w:sz="6" w:space="0" w:color="auto"/>
            </w:tcBorders>
          </w:tcPr>
          <w:p w:rsidR="000865B2" w:rsidRDefault="000865B2" w:rsidP="004530DC">
            <w:pPr>
              <w:rPr>
                <w:b/>
                <w:sz w:val="28"/>
                <w:szCs w:val="28"/>
              </w:rPr>
            </w:pPr>
            <w:r w:rsidRPr="002A5989">
              <w:rPr>
                <w:b/>
                <w:sz w:val="28"/>
                <w:szCs w:val="28"/>
              </w:rPr>
              <w:t>Research design</w:t>
            </w:r>
          </w:p>
          <w:p w:rsidR="000865B2" w:rsidRPr="001C77F5" w:rsidRDefault="000865B2" w:rsidP="004530DC">
            <w:pPr>
              <w:pStyle w:val="Heading4"/>
              <w:rPr>
                <w:sz w:val="24"/>
                <w:szCs w:val="24"/>
              </w:rPr>
            </w:pPr>
            <w:r w:rsidRPr="001C77F5">
              <w:rPr>
                <w:sz w:val="24"/>
                <w:szCs w:val="24"/>
              </w:rPr>
              <w:t>Recruitment for Study Population</w:t>
            </w:r>
          </w:p>
          <w:p w:rsidR="000865B2" w:rsidRPr="00D75F41" w:rsidRDefault="000865B2" w:rsidP="004530DC">
            <w:pPr>
              <w:rPr>
                <w:lang w:val="en-NZ"/>
              </w:rPr>
            </w:pPr>
            <w:r>
              <w:t xml:space="preserve">To test our hypothesis, up to </w:t>
            </w:r>
            <w:r w:rsidRPr="00D75F41">
              <w:t>6</w:t>
            </w:r>
            <w:r w:rsidRPr="00D75F41">
              <w:rPr>
                <w:lang w:val="en-NZ"/>
              </w:rPr>
              <w:t xml:space="preserve">00 healthy adult </w:t>
            </w:r>
            <w:r>
              <w:rPr>
                <w:lang w:val="en-NZ"/>
              </w:rPr>
              <w:t xml:space="preserve">Caucasian </w:t>
            </w:r>
            <w:r w:rsidRPr="00D75F41">
              <w:rPr>
                <w:lang w:val="en-NZ"/>
              </w:rPr>
              <w:t>male</w:t>
            </w:r>
            <w:r w:rsidRPr="00D75F41">
              <w:t xml:space="preserve">s will be recruited from the general population using advertisements in national and local newspapers.  </w:t>
            </w:r>
            <w:r>
              <w:t xml:space="preserve">We note that we are specifying a single racial group to reduce haplotype diversity </w:t>
            </w:r>
            <w:r>
              <w:fldChar w:fldCharType="begin"/>
            </w:r>
            <w:r>
              <w:instrText xml:space="preserve"> ADDIN EN.CITE &lt;EndNote&gt;&lt;Cite&gt;&lt;Author&gt;HapMap_International_Consortium&lt;/Author&gt;&lt;Year&gt;2005&lt;/Year&gt;&lt;RecNum&gt;522&lt;/RecNum&gt;&lt;MDL&gt;&lt;REFERENCE_TYPE&gt;0&lt;/REFERENCE_TYPE&gt;&lt;REFNUM&gt;522&lt;/REFNUM&gt;&lt;AUTHORS&gt;&lt;AUTHOR&gt;HapMap_International_Consortium&lt;/AUTHOR&gt;&lt;/AUTHORS&gt;&lt;YEAR&gt;2005&lt;/YEAR&gt;&lt;TITLE&gt;A haplotype map of the human genome&lt;/TITLE&gt;&lt;SECONDARY_TITLE&gt;Nature Genetics&lt;/SECONDARY_TITLE&gt;&lt;VOLUME&gt;437&lt;/VOLUME&gt;&lt;NUMBER&gt;27 October&lt;/NUMBER&gt;&lt;PAGES&gt;1299-1320&lt;/PAGES&gt;&lt;/MDL&gt;&lt;/Cite&gt;&lt;/EndNote&gt;</w:instrText>
            </w:r>
            <w:r>
              <w:fldChar w:fldCharType="separate"/>
            </w:r>
            <w:r>
              <w:t>[34]</w:t>
            </w:r>
            <w:r>
              <w:fldChar w:fldCharType="end"/>
            </w:r>
            <w:r>
              <w:t>.</w:t>
            </w:r>
          </w:p>
          <w:p w:rsidR="000865B2" w:rsidRPr="00B843BB" w:rsidRDefault="000865B2" w:rsidP="004530DC">
            <w:pPr>
              <w:spacing w:before="120"/>
              <w:rPr>
                <w:lang w:val="en-NZ"/>
              </w:rPr>
            </w:pPr>
            <w:r w:rsidRPr="00D75F41">
              <w:rPr>
                <w:lang w:val="en-NZ"/>
              </w:rPr>
              <w:t>Individuals will be eligible for this trial if they are:</w:t>
            </w:r>
          </w:p>
          <w:p w:rsidR="000865B2" w:rsidRPr="00B843BB" w:rsidRDefault="000865B2" w:rsidP="000865B2">
            <w:pPr>
              <w:widowControl w:val="0"/>
              <w:numPr>
                <w:ilvl w:val="0"/>
                <w:numId w:val="1"/>
              </w:numPr>
              <w:tabs>
                <w:tab w:val="left" w:pos="-1440"/>
                <w:tab w:val="left" w:pos="-720"/>
                <w:tab w:val="left" w:pos="0"/>
                <w:tab w:val="left" w:pos="348"/>
                <w:tab w:val="left" w:pos="1440"/>
              </w:tabs>
              <w:ind w:right="348"/>
              <w:jc w:val="both"/>
            </w:pPr>
            <w:r>
              <w:rPr>
                <w:lang w:val="en-NZ"/>
              </w:rPr>
              <w:t>Caucasian male</w:t>
            </w:r>
          </w:p>
          <w:p w:rsidR="000865B2" w:rsidRPr="00D75F41" w:rsidRDefault="000865B2" w:rsidP="000865B2">
            <w:pPr>
              <w:widowControl w:val="0"/>
              <w:numPr>
                <w:ilvl w:val="0"/>
                <w:numId w:val="1"/>
              </w:numPr>
              <w:tabs>
                <w:tab w:val="left" w:pos="-1440"/>
                <w:tab w:val="left" w:pos="-720"/>
                <w:tab w:val="left" w:pos="0"/>
                <w:tab w:val="left" w:pos="348"/>
                <w:tab w:val="left" w:pos="1440"/>
              </w:tabs>
              <w:ind w:right="348"/>
              <w:jc w:val="both"/>
            </w:pPr>
            <w:r w:rsidRPr="00D75F41">
              <w:t xml:space="preserve">Aged between </w:t>
            </w:r>
            <w:r w:rsidR="00B0534E">
              <w:t xml:space="preserve">original 45-65, subsequent </w:t>
            </w:r>
            <w:bookmarkStart w:id="0" w:name="_GoBack"/>
            <w:bookmarkEnd w:id="0"/>
            <w:r w:rsidR="009E6F18">
              <w:t>20-80 years</w:t>
            </w:r>
          </w:p>
          <w:p w:rsidR="000865B2" w:rsidRPr="00D75F41" w:rsidRDefault="000865B2" w:rsidP="000865B2">
            <w:pPr>
              <w:widowControl w:val="0"/>
              <w:numPr>
                <w:ilvl w:val="0"/>
                <w:numId w:val="1"/>
              </w:numPr>
              <w:tabs>
                <w:tab w:val="left" w:pos="-1440"/>
                <w:tab w:val="left" w:pos="-720"/>
                <w:tab w:val="left" w:pos="0"/>
                <w:tab w:val="left" w:pos="348"/>
                <w:tab w:val="left" w:pos="1440"/>
              </w:tabs>
              <w:ind w:right="348"/>
              <w:jc w:val="both"/>
            </w:pPr>
            <w:r w:rsidRPr="00D75F41">
              <w:t>Have no history of treatment for cancer in the previous 5 years, excluding non-melanoma skin cancers.</w:t>
            </w:r>
          </w:p>
          <w:p w:rsidR="000865B2" w:rsidRPr="00D75F41" w:rsidRDefault="000865B2" w:rsidP="000865B2">
            <w:pPr>
              <w:widowControl w:val="0"/>
              <w:numPr>
                <w:ilvl w:val="0"/>
                <w:numId w:val="1"/>
              </w:numPr>
              <w:tabs>
                <w:tab w:val="left" w:pos="-1440"/>
                <w:tab w:val="left" w:pos="-720"/>
                <w:tab w:val="left" w:pos="0"/>
                <w:tab w:val="left" w:pos="348"/>
                <w:tab w:val="left" w:pos="1440"/>
              </w:tabs>
              <w:ind w:right="348"/>
              <w:jc w:val="both"/>
            </w:pPr>
            <w:r w:rsidRPr="00D75F41">
              <w:t xml:space="preserve">Are </w:t>
            </w:r>
            <w:r>
              <w:t>not taking any</w:t>
            </w:r>
            <w:r w:rsidRPr="00D75F41">
              <w:t xml:space="preserve"> dietary supplement. </w:t>
            </w:r>
          </w:p>
          <w:p w:rsidR="000865B2" w:rsidRPr="00D75F41" w:rsidRDefault="000865B2" w:rsidP="000865B2">
            <w:pPr>
              <w:widowControl w:val="0"/>
              <w:numPr>
                <w:ilvl w:val="0"/>
                <w:numId w:val="1"/>
              </w:numPr>
              <w:tabs>
                <w:tab w:val="left" w:pos="-1440"/>
                <w:tab w:val="left" w:pos="-720"/>
                <w:tab w:val="left" w:pos="0"/>
                <w:tab w:val="left" w:pos="348"/>
                <w:tab w:val="left" w:pos="1440"/>
              </w:tabs>
              <w:ind w:right="348"/>
              <w:jc w:val="both"/>
            </w:pPr>
            <w:r w:rsidRPr="00D75F41">
              <w:t>Able to attend local study centre for evaluation</w:t>
            </w:r>
          </w:p>
          <w:p w:rsidR="000865B2" w:rsidRPr="006D5708" w:rsidRDefault="000865B2" w:rsidP="004530DC">
            <w:r>
              <w:rPr>
                <w:lang w:val="en-NZ"/>
              </w:rPr>
              <w:t xml:space="preserve">We will require that individuals complete a validated food frequency questionnaire </w:t>
            </w:r>
            <w:r>
              <w:rPr>
                <w:lang w:val="en-NZ"/>
              </w:rPr>
              <w:fldChar w:fldCharType="begin"/>
            </w:r>
            <w:r>
              <w:rPr>
                <w:lang w:val="en-NZ"/>
              </w:rPr>
              <w:instrText xml:space="preserve"> ADDIN EN.CITE &lt;EndNote&gt;&lt;Cite&gt;&lt;Author&gt;Norrish&lt;/Author&gt;&lt;Year&gt;1999&lt;/Year&gt;&lt;RecNum&gt;510&lt;/RecNum&gt;&lt;MDL&gt;&lt;REFERENCE_TYPE&gt;0&lt;/REFERENCE_TYPE&gt;&lt;REFNUM&gt;510&lt;/REFNUM&gt;&lt;AUTHORS&gt;&lt;AUTHOR&gt;A.E. Norrish&lt;/AUTHOR&gt;&lt;AUTHOR&gt;L.R. Ferguson&lt;/AUTHOR&gt;&lt;AUTHOR&gt;M.G.  Knize&lt;/AUTHOR&gt;&lt;AUTHOR&gt;J.S.  Felton&lt;/AUTHOR&gt;&lt;AUTHOR&gt;S.J. Sharpe&lt;/AUTHOR&gt;&lt;AUTHOR&gt;R.T. Jackson&lt;/AUTHOR&gt;&lt;/AUTHORS&gt;&lt;YEAR&gt;1999&lt;/YEAR&gt;&lt;TITLE&gt;Heterocyclic amine content of cooked meat and risk of prostate cancer.&lt;/TITLE&gt;&lt;SECONDARY_TITLE&gt;Journal of the National Cancer Institute&lt;/SECONDARY_TITLE&gt;&lt;VOLUME&gt;91&lt;/VOLUME&gt;&lt;NUMBER&gt;23&lt;/NUMBER&gt;&lt;PAGES&gt;2038-2044&lt;/PAGES&gt;&lt;/MDL&gt;&lt;/Cite&gt;&lt;/EndNote&gt;</w:instrText>
            </w:r>
            <w:r>
              <w:rPr>
                <w:lang w:val="en-NZ"/>
              </w:rPr>
              <w:fldChar w:fldCharType="separate"/>
            </w:r>
            <w:r>
              <w:rPr>
                <w:lang w:val="en-NZ"/>
              </w:rPr>
              <w:t>[46]</w:t>
            </w:r>
            <w:r>
              <w:rPr>
                <w:lang w:val="en-NZ"/>
              </w:rPr>
              <w:fldChar w:fldCharType="end"/>
            </w:r>
            <w:r>
              <w:rPr>
                <w:lang w:val="en-NZ"/>
              </w:rPr>
              <w:t>, and provide li</w:t>
            </w:r>
            <w:r w:rsidRPr="005D6C0F">
              <w:rPr>
                <w:lang w:val="en-NZ"/>
              </w:rPr>
              <w:t>mited family baseline demographic and medical history. A blood sampl</w:t>
            </w:r>
            <w:r w:rsidRPr="006D5708">
              <w:rPr>
                <w:lang w:val="en-NZ"/>
              </w:rPr>
              <w:t>e will be requested in order to measure</w:t>
            </w:r>
            <w:r w:rsidRPr="006D5708">
              <w:t xml:space="preserve"> SNPs in 6 genes, as identified above.  Individuals will continue being recruited until we have the minimum number per genotype group. </w:t>
            </w:r>
          </w:p>
          <w:p w:rsidR="000865B2" w:rsidRPr="001C77F5" w:rsidRDefault="000865B2" w:rsidP="004530DC">
            <w:pPr>
              <w:autoSpaceDE w:val="0"/>
              <w:autoSpaceDN w:val="0"/>
              <w:adjustRightInd w:val="0"/>
              <w:rPr>
                <w:lang w:val="en-NZ"/>
              </w:rPr>
            </w:pPr>
            <w:r w:rsidRPr="006D5708">
              <w:tab/>
            </w:r>
            <w:r w:rsidRPr="006D5708">
              <w:rPr>
                <w:lang w:val="en-NZ"/>
              </w:rPr>
              <w:t xml:space="preserve">In order to estimate the required sample size for this study, a simple parametric t-test approach is assumed.  Although more sophisticated statistical methods will be applied to the data, this simple assumption provides a reasonable platform for the calculation of power.  Performing a paired sample t-test (samples taken before and after </w:t>
            </w:r>
            <w:r>
              <w:rPr>
                <w:lang w:val="en-NZ"/>
              </w:rPr>
              <w:t>Se</w:t>
            </w:r>
            <w:r w:rsidRPr="006D5708">
              <w:rPr>
                <w:lang w:val="en-NZ"/>
              </w:rPr>
              <w:t xml:space="preserve"> supplementation) for each SNP genotype, for each of the six genes requires 18 hypothesis tests.  Power calculations are based on use of the Bonferroni adjustment to account for multiple testing, under the assumption of test independence.  Although the tests are likely to be dependent, treating them as independent will result in a conservative estimate of sample size requirements, making it likely that power is underestimated here.  Based on the data of Gill et al</w:t>
            </w:r>
            <w:r>
              <w:rPr>
                <w:lang w:val="en-NZ"/>
              </w:rPr>
              <w:t xml:space="preserve">. </w:t>
            </w:r>
            <w:r>
              <w:rPr>
                <w:lang w:val="en-NZ"/>
              </w:rPr>
              <w:fldChar w:fldCharType="begin"/>
            </w:r>
            <w:r>
              <w:rPr>
                <w:lang w:val="en-NZ"/>
              </w:rPr>
              <w:instrText xml:space="preserve"> ADDIN EN.CITE &lt;EndNote&gt;&lt;Cite&gt;&lt;Author&gt;Gill&lt;/Author&gt;&lt;Year&gt;2004&lt;/Year&gt;&lt;RecNum&gt;487&lt;/RecNum&gt;&lt;MDL&gt;&lt;REFERENCE_TYPE&gt;0&lt;/REFERENCE_TYPE&gt;&lt;REFNUM&gt;487&lt;/REFNUM&gt;&lt;AUTHORS&gt;&lt;AUTHOR&gt;C.I.R.  Gill &lt;/AUTHOR&gt;&lt;AUTHOR&gt;S. Haldar &lt;/AUTHOR&gt;&lt;AUTHOR&gt;S. Porter &lt;/AUTHOR&gt;&lt;AUTHOR&gt;S.  Matthews &lt;/AUTHOR&gt;&lt;AUTHOR&gt;S. Sullivan &lt;/AUTHOR&gt;&lt;AUTHOR&gt;J. Coulter &lt;/AUTHOR&gt;&lt;AUTHOR&gt;H. McGlynn &lt;/AUTHOR&gt;&lt;AUTHOR&gt;I. Rowland&lt;/AUTHOR&gt;&lt;/AUTHORS&gt;&lt;YEAR&gt;2004&lt;/YEAR&gt;&lt;TITLE&gt;The effect of cruciferous and leguminous sprouts on genotoxicity, in vitro and in vivo.&lt;/TITLE&gt;&lt;SECONDARY_TITLE&gt;Cancer epidemiology, biomarkers &amp;amp; prevention&lt;/SECONDARY_TITLE&gt;&lt;VOLUME&gt;13&lt;/VOLUME&gt;&lt;NUMBER&gt;7&lt;/NUMBER&gt;&lt;PAGES&gt;1199-205&lt;/PAGES&gt;&lt;/MDL&gt;&lt;/Cite&gt;&lt;/EndNote&gt;</w:instrText>
            </w:r>
            <w:r>
              <w:rPr>
                <w:lang w:val="en-NZ"/>
              </w:rPr>
              <w:fldChar w:fldCharType="separate"/>
            </w:r>
            <w:r>
              <w:rPr>
                <w:lang w:val="en-NZ"/>
              </w:rPr>
              <w:t>[47]</w:t>
            </w:r>
            <w:r>
              <w:rPr>
                <w:lang w:val="en-NZ"/>
              </w:rPr>
              <w:fldChar w:fldCharType="end"/>
            </w:r>
            <w:r w:rsidRPr="006D5708">
              <w:rPr>
                <w:lang w:val="en-NZ"/>
              </w:rPr>
              <w:t>, a sample standard deviation of 10 is assumed for the power calculations.  For a two-sided paired sample t-test using an alpha level of 0.05/18=0.00278 (Bonferroni correction), 23 samples are required to detect a change in response of 10 (25%) with a power of greater than 90%.  Assuming a 15% drop-out rate, this level of power can be achieved with 27 patients per SNP genotype.  SNP genotype frequencies in the preliminary data indicate that the rarest genotype (homozygous LL in GPX1) occurs in approximately 0.047 of the population.  To achieve an expected sample size of 27 for this genotype requires a patient population of 27/0.047=574, which is slightly less than the proposed sample size of 600.  Thus, based on the available data, a sample of 600 patients is expected to provide at least 90% power to detect a 25% change in response in any of the 18 SNP genotypes under investigation, with less than a 5% chance of any false positives across any of the 18 tests.</w:t>
            </w:r>
          </w:p>
          <w:p w:rsidR="000865B2" w:rsidRPr="001C77F5" w:rsidRDefault="000865B2" w:rsidP="004530DC">
            <w:pPr>
              <w:pStyle w:val="Heading4"/>
              <w:rPr>
                <w:b w:val="0"/>
                <w:sz w:val="24"/>
                <w:szCs w:val="24"/>
              </w:rPr>
            </w:pPr>
            <w:r w:rsidRPr="001C77F5">
              <w:rPr>
                <w:sz w:val="24"/>
                <w:szCs w:val="24"/>
              </w:rPr>
              <w:t>Initial Cohort Assessment</w:t>
            </w:r>
          </w:p>
          <w:p w:rsidR="000865B2" w:rsidRDefault="000865B2" w:rsidP="004530DC">
            <w:r w:rsidRPr="005D6C0F">
              <w:rPr>
                <w:bCs/>
              </w:rPr>
              <w:t xml:space="preserve">Initially following recruitment and </w:t>
            </w:r>
            <w:r w:rsidRPr="005D6C0F">
              <w:t xml:space="preserve">prior to Se intervention, one 10 ml blood sample will be collected and immediately either frozen or processed immediately for DNA extraction and SNP analysis. </w:t>
            </w:r>
            <w:r>
              <w:t xml:space="preserve"> </w:t>
            </w:r>
            <w:r w:rsidRPr="005D6C0F">
              <w:t>Either TaqMan</w:t>
            </w:r>
            <w:r w:rsidRPr="005D6C0F">
              <w:rPr>
                <w:vertAlign w:val="superscript"/>
              </w:rPr>
              <w:t>R</w:t>
            </w:r>
            <w:r w:rsidRPr="005D6C0F">
              <w:t xml:space="preserve"> or restriction fragment length polymorphism (RFLP) methods will used to estimate frequencies of known polymorphisms in genes for the 6 key selen</w:t>
            </w:r>
            <w:r>
              <w:t xml:space="preserve">oproteins identified in table 1 </w:t>
            </w:r>
            <w:r>
              <w:fldChar w:fldCharType="begin"/>
            </w:r>
            <w:r>
              <w:instrText xml:space="preserve"> ADDIN EN.CITE &lt;EndNote&gt;&lt;Cite&gt;&lt;Author&gt;Al-Taie&lt;/Author&gt;&lt;Year&gt;2002&lt;/Year&gt;&lt;RecNum&gt;521&lt;/RecNum&gt;&lt;MDL&gt;&lt;REFERENCE_TYPE&gt;0&lt;/REFERENCE_TYPE&gt;&lt;REFNUM&gt;521&lt;/REFNUM&gt;&lt;AUTHORS&gt;&lt;AUTHOR&gt;O.H. Al-Taie&lt;/AUTHOR&gt;&lt;AUTHOR&gt;J. Seufert&lt;/AUTHOR&gt;&lt;AUTHOR&gt;H. Mork&lt;/AUTHOR&gt;&lt;AUTHOR&gt;H. Treis&lt;/AUTHOR&gt;&lt;AUTHOR&gt;B. Mentrup&lt;/AUTHOR&gt;&lt;AUTHOR&gt;A. Thalheimer&lt;/AUTHOR&gt;&lt;AUTHOR&gt;P. Starostik&lt;/AUTHOR&gt;&lt;AUTHOR&gt;J. Abel,&lt;/AUTHOR&gt;&lt;AUTHOR&gt;M.  Scheurlen&lt;/AUTHOR&gt;&lt;AUTHOR&gt;J. Koehrle&lt;/AUTHOR&gt;&lt;AUTHOR&gt;F. Jakob&lt;/AUTHOR&gt;&lt;/AUTHORS&gt;&lt;YEAR&gt;2002&lt;/YEAR&gt;&lt;TITLE&gt;A complex DNA-repeat structure within the Selenoprotein P promoter contains a functionally relevant polymorphism and is genetically unstable under conditions of mismatch repair deficiency&lt;/TITLE&gt;&lt;SECONDARY_TITLE&gt;European Journal of Human Genetics&lt;/SECONDARY_TITLE&gt;&lt;VOLUME&gt;10&lt;/VOLUME&gt;&lt;NUMBER&gt;9&lt;/NUMBER&gt;&lt;PAGES&gt;499-504&lt;/PAGES&gt;&lt;/MDL&gt;&lt;/Cite&gt;&lt;Cite&gt;&lt;Author&gt;Hu&lt;/Author&gt;&lt;Year&gt;2004&lt;/Year&gt;&lt;RecNum&gt;518&lt;/RecNum&gt;&lt;MDL&gt;&lt;REFERENCE_TYPE&gt;0&lt;/REFERENCE_TYPE&gt;&lt;REFNUM&gt;518&lt;/REFNUM&gt;&lt;AUTHORS&gt;&lt;AUTHOR&gt;Y.J. Hu&lt;/AUTHOR&gt;&lt;AUTHOR&gt;M.E. Dolan&lt;/AUTHOR&gt;&lt;AUTHOR&gt;R. Bae&lt;/AUTHOR&gt;&lt;AUTHOR&gt;H. Yee&lt;/AUTHOR&gt;&lt;AUTHOR&gt;M. Roy&lt;/AUTHOR&gt;&lt;AUTHOR&gt;R. Glickman&lt;/AUTHOR&gt;&lt;AUTHOR&gt;L. Kiremidjian-Schumacher&lt;/AUTHOR&gt;&lt;AUTHOR&gt;A.M.  Diamond&lt;/AUTHOR&gt;&lt;/AUTHORS&gt;&lt;YEAR&gt;2004&lt;/YEAR&gt;&lt;TITLE&gt;Allelic loss at the GPx-1 locus in cancer of the head and neck.&lt;/TITLE&gt;&lt;SECONDARY_TITLE&gt; Biological trace element research&lt;/SECONDARY_TITLE&gt;&lt;VOLUME&gt;101&lt;/VOLUME&gt;&lt;NUMBER&gt;2&lt;/NUMBER&gt;&lt;PAGES&gt;97-106&lt;/PAGES&gt;&lt;/MDL&gt;&lt;/Cite&gt;&lt;Cite&gt;&lt;Author&gt;Ratnasinghe&lt;/Author&gt;&lt;Year&gt;2000&lt;/Year&gt;&lt;RecNum&gt;258&lt;/RecNum&gt;&lt;MDL&gt;&lt;REFERENCE_TYPE&gt;0&lt;/REFERENCE_TYPE&gt;&lt;REFNUM&gt;258&lt;/REFNUM&gt;&lt;AUTHORS&gt;&lt;AUTHOR&gt;Ratnasinghe, Duminda&lt;/AUTHOR&gt;&lt;AUTHOR&gt;Tangrea, Joseph A.&lt;/AUTHOR&gt;&lt;AUTHOR&gt;Andersen, Mark R.&lt;/AUTHOR&gt;&lt;AUTHOR&gt;Barrett, Michael J.&lt;/AUTHOR&gt;&lt;AUTHOR&gt;Virtamo, Jarmo&lt;/AUTHOR&gt;&lt;AUTHOR&gt;Taylor, Philip R.&lt;/AUTHOR&gt;&lt;AUTHOR&gt;Albanes, Demetrius&lt;/AUTHOR&gt;&lt;/AUTHORS&gt;&lt;TITLE&gt;Glutathione Peroxidase Codon 198 Polymorphism Variant Increases Lung Cancer Risk&lt;/TITLE&gt;&lt;YEAR&gt;2000&lt;/YEAR&gt;&lt;ALTERNATE_TITLE&gt;Cancer Res&lt;/ALTERNATE_TITLE&gt;&lt;SECONDARY_TITLE&gt;Cancer Res&lt;/SECONDARY_TITLE&gt;&lt;PAGES&gt;6381-6383&lt;/PAGES&gt;&lt;VOLUME&gt;60&lt;/VOLUME&gt;&lt;NUMBER&gt;22&lt;/NUMBER&gt;&lt;URL&gt;http://cancerres.aacrjournals.org/cgi/content/abstract/60/22/6381&lt;/URL&gt;&lt;DATE&gt;November 1, 2000&lt;/DATE&gt;&lt;/MDL&gt;&lt;/Cite&gt;&lt;Cite&gt;&lt;Author&gt;Karunasinghe&lt;/Author&gt;&lt;Year&gt;2006&lt;/Year&gt;&lt;RecNum&gt;499&lt;/RecNum&gt;&lt;MDL&gt;&lt;REFERENCE_TYPE&gt;3&lt;/REFERENCE_TYPE&gt;&lt;REFNUM&gt;499&lt;/REFNUM&gt;&lt;AUTHORS&gt;&lt;AUTHOR&gt;N. Karunasinghe&lt;/AUTHOR&gt;&lt;AUTHOR&gt;L.R. Ferguson&lt;/AUTHOR&gt;&lt;AUTHOR&gt;J.  Masters&lt;/AUTHOR&gt;&lt;AUTHOR&gt;S. Ko&lt;/AUTHOR&gt;&lt;AUTHOR&gt;J. Tuckey &lt;/AUTHOR&gt;&lt;AUTHOR&gt;J. Ryan&lt;/AUTHOR&gt;&lt;/AUTHORS&gt;&lt;YEAR&gt;2006&lt;/YEAR&gt;&lt;TITLE&gt;A preliminary study of gene polymorphisms and response to selenium in a high risk group for prostate cancer.&lt;/TITLE&gt;&lt;SECONDARY_TITLE&gt;Australian Urological Foundation Annual Symposium&lt;/SECONDARY_TITLE&gt;&lt;PLACE_PUBLISHED&gt;Brisbane, Australia&lt;/PLACE_PUBLISHED&gt;&lt;/MDL&gt;&lt;/Cite&gt;&lt;Cite&gt;&lt;Author&gt;Curran&lt;/Author&gt;&lt;Year&gt;2005&lt;/Year&gt;&lt;RecNum&gt;32&lt;/RecNum&gt;&lt;MDL&gt;&lt;REFERENCE_TYPE&gt;0&lt;/REFERENCE_TYPE&gt;&lt;REFNUM&gt;32&lt;/REFNUM&gt;&lt;AUTHORS&gt;&lt;AUTHOR&gt;J.E. Curran  &lt;/AUTHOR&gt;&lt;AUTHOR&gt;J.B.M. Jowett &lt;/AUTHOR&gt;&lt;AUTHOR&gt;K.S. Elliot &lt;/AUTHOR&gt;&lt;AUTHOR&gt;Y. Gao &lt;/AUTHOR&gt;&lt;AUTHOR&gt;K. Glaschenko &lt;/AUTHOR&gt;&lt;AUTHOR&gt;J. Wang &lt;/AUTHOR&gt;&lt;AUTHOR&gt;D.M.A. Azim &lt;/AUTHOR&gt;&lt;AUTHOR&gt;G. Cai &lt;/AUTHOR&gt;&lt;AUTHOR&gt;M.C. Mahaney&lt;/AUTHOR&gt;&lt;AUTHOR&gt;A.G. Comuzzie &lt;/AUTHOR&gt;&lt;AUTHOR&gt;T.D. Dyer &lt;/AUTHOR&gt;&lt;AUTHOR&gt;K.R. Walder &lt;/AUTHOR&gt;&lt;AUTHOR&gt;P. Zimmet &lt;/AUTHOR&gt;&lt;AUTHOR&gt;W. MacCluer &lt;/AUTHOR&gt;&lt;AUTHOR&gt;G.R. Collier &lt;/AUTHOR&gt;&lt;AUTHOR&gt;A.H. Kissebah &lt;/AUTHOR&gt;&lt;AUTHOR&gt;J. Blangero&lt;/AUTHOR&gt;&lt;/AUTHORS&gt;&lt;YEAR&gt;2005&lt;/YEAR&gt;&lt;TITLE&gt;Genetic variation in selenoprotein S influences inflammatory response&lt;/TITLE&gt;&lt;SECONDARY_TITLE&gt;Nature Genetics&lt;/SECONDARY_TITLE&gt;&lt;VOLUME&gt;37&lt;/VOLUME&gt;&lt;PAGES&gt;1234-1241&lt;/PAGES&gt;&lt;/MDL&gt;&lt;/Cite&gt;&lt;Cite&gt;&lt;Author&gt;Kumaraswamy&lt;/Author&gt;&lt;Year&gt;2000&lt;/Year&gt;&lt;RecNum&gt;480&lt;/RecNum&gt;&lt;MDL&gt;&lt;REFERENCE_TYPE&gt;0&lt;/REFERENCE_TYPE&gt;&lt;REFNUM&gt;480&lt;/REFNUM&gt;&lt;AUTHORS&gt;&lt;AUTHOR&gt;E. Kumaraswamy&lt;/AUTHOR&gt;&lt;AUTHOR&gt;A. Malykh&lt;/AUTHOR&gt;&lt;AUTHOR&gt;K. V. Korotkov&lt;/AUTHOR&gt;&lt;AUTHOR&gt;S.  Kozyavkin&lt;/AUTHOR&gt;&lt;AUTHOR&gt;Y. Hu&lt;/AUTHOR&gt;&lt;AUTHOR&gt;S.Y. Kwon&lt;/AUTHOR&gt;&lt;AUTHOR&gt;M.E. Moustafa&lt;/AUTHOR&gt;&lt;AUTHOR&gt;B.A. Carlson&lt;/AUTHOR&gt;&lt;AUTHOR&gt;M.J.  Berry&lt;/AUTHOR&gt;&lt;AUTHOR&gt;B.J.  Lee&lt;/AUTHOR&gt;&lt;AUTHOR&gt;D.L.  Hatfield&lt;/AUTHOR&gt;&lt;AUTHOR&gt;A.M.  Diamond&lt;/AUTHOR&gt;&lt;AUTHOR&gt;V.N. Gladyshev&lt;/AUTHOR&gt;&lt;/AUTHORS&gt;&lt;YEAR&gt;2000&lt;/YEAR&gt;&lt;TITLE&gt;Structure-expression relationships of the 15-kDa selenoprotein gene. Possible role of the protein in cancer etiology.&lt;/TITLE&gt;&lt;SECONDARY_TITLE&gt;Journal of Biological Chemistry&lt;/SECONDARY_TITLE&gt;&lt;VOLUME&gt;275&lt;/VOLUME&gt;&lt;NUMBER&gt;45&lt;/NUMBER&gt;&lt;PAGES&gt;35540-35547&lt;/PAGES&gt;&lt;/MDL&gt;&lt;/Cite&gt;&lt;Cite&gt;&lt;Author&gt;Hu&lt;/Author&gt;&lt;Year&gt;2001&lt;/Year&gt;&lt;RecNum&gt;481&lt;/RecNum&gt;&lt;MDL&gt;&lt;REFERENCE_TYPE&gt;0&lt;/REFERENCE_TYPE&gt;&lt;REFNUM&gt;481&lt;/REFNUM&gt;&lt;AUTHORS&gt;&lt;AUTHOR&gt;Y.J. Hu&lt;/AUTHOR&gt;&lt;AUTHOR&gt;K.V.  Korotkov&lt;/AUTHOR&gt;&lt;AUTHOR&gt;R. Mehta&lt;/AUTHOR&gt;&lt;AUTHOR&gt;D.L. Hatfield,&lt;/AUTHOR&gt;&lt;AUTHOR&gt;C.N. Rotimi&lt;/AUTHOR&gt;&lt;AUTHOR&gt;A. Luke&lt;/AUTHOR&gt;&lt;AUTHOR&gt;T.E. Prewitt&lt;/AUTHOR&gt;&lt;AUTHOR&gt;R.S. Cooper&lt;/AUTHOR&gt;&lt;AUTHOR&gt;W. Stock&lt;/AUTHOR&gt;&lt;AUTHOR&gt;E.E. Vokes&lt;/AUTHOR&gt;&lt;AUTHOR&gt;M.E. Dolan&lt;/AUTHOR&gt;&lt;AUTHOR&gt;V.N. Gladyshev&lt;/AUTHOR&gt;&lt;AUTHOR&gt;A.M. Diamond&lt;/AUTHOR&gt;&lt;/AUTHORS&gt;&lt;YEAR&gt;2001&lt;/YEAR&gt;&lt;TITLE&gt; Distribution and functional consequences of nucleotide polymorphisms in the 3&amp;apos;-untranslated region of the human Sep15 gene.&lt;/TITLE&gt;&lt;SECONDARY_TITLE&gt;Cancer Research&lt;/SECONDARY_TITLE&gt;&lt;VOLUME&gt;61&lt;/VOLUME&gt;&lt;NUMBER&gt;5&lt;/NUMBER&gt;&lt;PAGES&gt;2307-2310&lt;/PAGES&gt;&lt;/MDL&gt;&lt;/Cite&gt;&lt;Cite&gt;&lt;Author&gt;Kim&lt;/Author&gt;&lt;Year&gt;1997&lt;/Year&gt;&lt;RecNum&gt;517&lt;/RecNum&gt;&lt;MDL&gt;&lt;REFERENCE_TYPE&gt;0&lt;/REFERENCE_TYPE&gt;&lt;REFNUM&gt;517&lt;/REFNUM&gt;&lt;AUTHORS&gt;&lt;AUTHOR&gt;I.Y. Kim &lt;/AUTHOR&gt;&lt;AUTHOR&gt;M.J. Guimaraes &lt;/AUTHOR&gt;&lt;AUTHOR&gt;A. Zlotnik &lt;/AUTHOR&gt;&lt;AUTHOR&gt;J.F. Bazan &lt;/AUTHOR&gt;&lt;AUTHOR&gt;T.C. Stadtman&lt;/AUTHOR&gt;&lt;/AUTHORS&gt;&lt;YEAR&gt;1997&lt;/YEAR&gt;&lt;TITLE&gt;Fetal mouse selenophosphate synthetase 2 (SPS2): characterization of the cysteine mutant form overproduced in a baculovirus-insect cell system.&lt;/TITLE&gt;&lt;SECONDARY_TITLE&gt;Proceedings of the National Academy of Sciences of the United States of America&lt;/SECONDARY_TITLE&gt;&lt;VOLUME&gt;94&lt;/VOLUME&gt;&lt;NUMBER&gt;2&lt;/NUMBER&gt;&lt;PAGES&gt;418-21&lt;/PAGES&gt;&lt;/MDL&gt;&lt;/Cite&gt;&lt;Cite&gt;&lt;Author&gt;Meplan&lt;/Author&gt;&lt;Year&gt;In press&lt;/Year&gt;&lt;RecNum&gt;516&lt;/RecNum&gt;&lt;MDL&gt;&lt;REFERENCE_TYPE&gt;7&lt;/REFERENCE_TYPE&gt;&lt;REFNUM&gt;516&lt;/REFNUM&gt;&lt;AUTHORS&gt;&lt;AUTHOR&gt;C. Meplan&lt;/AUTHOR&gt;&lt;AUTHOR&gt;V. Pagmantidis &lt;/AUTHOR&gt;&lt;AUTHOR&gt;J.E. Hesketh&lt;/AUTHOR&gt;&lt;/AUTHORS&gt;&lt;YEAR&gt;In press&lt;/YEAR&gt;&lt;TITLE&gt;Advances in Selenoprotein expression: patterns and individual variations&lt;/TITLE&gt;&lt;SECONDARY_AUTHORS&gt;&lt;SECONDARY_AUTHOR&gt;Brigelius-Flohe &lt;/SECONDARY_AUTHOR&gt;&lt;SECONDARY_AUTHOR&gt;Joost&lt;/SECONDARY_AUTHOR&gt;&lt;/SECONDARY_AUTHORS&gt;&lt;SECONDARY_TITLE&gt;Nutritional Genomics&lt;/SECONDARY_TITLE&gt;&lt;PLACE_PUBLISHED&gt;Weinheim&lt;/PLACE_PUBLISHED&gt;&lt;PUBLISHER&gt;Wiley-VCH&lt;/PUBLISHER&gt;&lt;/MDL&gt;&lt;/Cite&gt;&lt;Cite&gt;&lt;Author&gt;Karunasinghe&lt;/Author&gt;&lt;Year&gt;2006&lt;/Year&gt;&lt;RecNum&gt;499&lt;/RecNum&gt;&lt;MDL&gt;&lt;REFERENCE_TYPE&gt;3&lt;/REFERENCE_TYPE&gt;&lt;REFNUM&gt;499&lt;/REFNUM&gt;&lt;AUTHORS&gt;&lt;AUTHOR&gt;N. Karunasinghe&lt;/AUTHOR&gt;&lt;AUTHOR&gt;L.R. Ferguson&lt;/AUTHOR&gt;&lt;AUTHOR&gt;J.  Masters&lt;/AUTHOR&gt;&lt;AUTHOR&gt;S. Ko&lt;/AUTHOR&gt;&lt;AUTHOR&gt;J. Tuckey &lt;/AUTHOR&gt;&lt;AUTHOR&gt;J. Ryan&lt;/AUTHOR&gt;&lt;/AUTHORS&gt;&lt;YEAR&gt;2006&lt;/YEAR&gt;&lt;TITLE&gt;A preliminary study of gene polymorphisms and response to selenium in a high risk group for prostate cancer.&lt;/TITLE&gt;&lt;SECONDARY_TITLE&gt;Australian Urological Foundation Annual Symposium&lt;/SECONDARY_TITLE&gt;&lt;PLACE_PUBLISHED&gt;Brisbane, Australia&lt;/PLACE_PUBLISHED&gt;&lt;/MDL&gt;&lt;/Cite&gt;&lt;/EndNote&gt;</w:instrText>
            </w:r>
            <w:r>
              <w:fldChar w:fldCharType="separate"/>
            </w:r>
            <w:r>
              <w:t>[16, 31, 35, 37, 38, 40, 41, 43, 45]</w:t>
            </w:r>
            <w:r>
              <w:fldChar w:fldCharType="end"/>
            </w:r>
            <w:r>
              <w:t xml:space="preserve">.  </w:t>
            </w:r>
          </w:p>
          <w:p w:rsidR="000865B2" w:rsidRPr="001C77F5" w:rsidRDefault="000865B2" w:rsidP="004530DC"/>
          <w:p w:rsidR="000865B2" w:rsidRPr="001C77F5" w:rsidRDefault="000865B2" w:rsidP="004530DC">
            <w:pPr>
              <w:rPr>
                <w:b/>
              </w:rPr>
            </w:pPr>
            <w:r w:rsidRPr="001C77F5">
              <w:rPr>
                <w:b/>
              </w:rPr>
              <w:t>Second cohort assessment</w:t>
            </w:r>
          </w:p>
          <w:p w:rsidR="000865B2" w:rsidRDefault="000865B2" w:rsidP="004530DC">
            <w:r w:rsidRPr="001C77F5">
              <w:t xml:space="preserve">Once we are certain we have the required numbers in each genotype group, we will again invite the subjects into the Nutrition Unit.  We will request a set of 4x10 ml blood samples, as well as providing </w:t>
            </w:r>
            <w:r>
              <w:t>Se</w:t>
            </w:r>
            <w:r w:rsidRPr="001C77F5">
              <w:t xml:space="preserve"> tablets for intervention (see below).  One blood sample will be immediately frozen for safe keeping.  A second will be immediately processed for estimation of DNA strand breaks (COMET assay) and subsequent enzyme assays, while the third will be processed to provide a serum sample, which will be stored for Se and cytokines analysis.  The fourth sample will be collected for RNA and protein expression profiling. </w:t>
            </w:r>
          </w:p>
          <w:p w:rsidR="000865B2" w:rsidRPr="001C77F5" w:rsidRDefault="000865B2" w:rsidP="004530DC">
            <w:pPr>
              <w:rPr>
                <w:b/>
              </w:rPr>
            </w:pPr>
          </w:p>
          <w:p w:rsidR="000865B2" w:rsidRPr="001C77F5" w:rsidRDefault="000865B2" w:rsidP="004530DC">
            <w:pPr>
              <w:pStyle w:val="Heading4"/>
              <w:rPr>
                <w:i/>
                <w:sz w:val="24"/>
                <w:szCs w:val="24"/>
              </w:rPr>
            </w:pPr>
            <w:r w:rsidRPr="001C77F5">
              <w:rPr>
                <w:i/>
                <w:sz w:val="24"/>
                <w:szCs w:val="24"/>
              </w:rPr>
              <w:t>The primary assays that will be performed on all this second group of samples are described below:</w:t>
            </w:r>
          </w:p>
          <w:p w:rsidR="000865B2" w:rsidRPr="001C77F5" w:rsidRDefault="000865B2" w:rsidP="004530DC">
            <w:pPr>
              <w:rPr>
                <w:b/>
              </w:rPr>
            </w:pPr>
          </w:p>
          <w:p w:rsidR="000865B2" w:rsidRPr="00F13E51" w:rsidRDefault="000865B2" w:rsidP="004530DC">
            <w:pPr>
              <w:jc w:val="both"/>
            </w:pPr>
            <w:r w:rsidRPr="001C77F5">
              <w:rPr>
                <w:b/>
                <w:i/>
                <w:lang w:val="en-NZ"/>
              </w:rPr>
              <w:t xml:space="preserve">Serum </w:t>
            </w:r>
            <w:r>
              <w:rPr>
                <w:b/>
                <w:i/>
                <w:lang w:val="en-NZ"/>
              </w:rPr>
              <w:t>Se</w:t>
            </w:r>
            <w:r w:rsidRPr="001C77F5">
              <w:rPr>
                <w:lang w:val="en-NZ"/>
              </w:rPr>
              <w:t xml:space="preserve"> will be measured for all samples</w:t>
            </w:r>
            <w:r>
              <w:rPr>
                <w:lang w:val="en-NZ"/>
              </w:rPr>
              <w:t xml:space="preserve"> </w:t>
            </w:r>
            <w:r w:rsidRPr="00904B55">
              <w:t>using hydride generation atomic absorption spectrometry  (Instrumentation Laboratories, Model 951 dual channel AAS equipped with a single slot burner head) using prot</w:t>
            </w:r>
            <w:r>
              <w:t>ocols of Hershey &amp;</w:t>
            </w:r>
            <w:r w:rsidRPr="00904B55">
              <w:t xml:space="preserve"> Oostdyk </w:t>
            </w:r>
            <w:r>
              <w:fldChar w:fldCharType="begin"/>
            </w:r>
            <w:r>
              <w:instrText xml:space="preserve"> ADDIN EN.CITE &lt;EndNote&gt;&lt;Cite&gt;&lt;Author&gt;Hershey&lt;/Author&gt;&lt;Year&gt;1988&lt;/Year&gt;&lt;RecNum&gt;107&lt;/RecNum&gt;&lt;MDL&gt;&lt;REFERENCE_TYPE&gt;0&lt;/REFERENCE_TYPE&gt;&lt;REFNUM&gt;107&lt;/REFNUM&gt;&lt;AUTHORS&gt;&lt;AUTHOR&gt;J.W. Hershey&lt;/AUTHOR&gt;&lt;AUTHOR&gt;T.S. Osstdyk&lt;/AUTHOR&gt;&lt;/AUTHORS&gt;&lt;YEAR&gt;1988&lt;/YEAR&gt;&lt;TITLE&gt;Determination of arsenic and selenium in environmental and agricultural samples by hydride generation atomic absorption spectrometry&lt;/TITLE&gt;&lt;SECONDARY_TITLE&gt;J Assoc Off Anal Chem&lt;/SECONDARY_TITLE&gt;&lt;VOLUME&gt;71&lt;/VOLUME&gt;&lt;PAGES&gt;1090-1093&lt;/PAGES&gt;&lt;/MDL&gt;&lt;/Cite&gt;&lt;/EndNote&gt;</w:instrText>
            </w:r>
            <w:r>
              <w:fldChar w:fldCharType="separate"/>
            </w:r>
            <w:r>
              <w:t>[48]</w:t>
            </w:r>
            <w:r>
              <w:fldChar w:fldCharType="end"/>
            </w:r>
            <w:r w:rsidRPr="00904B55">
              <w:t xml:space="preserve"> as described in Karunasinghe </w:t>
            </w:r>
            <w:r w:rsidRPr="00C5014E">
              <w:t>et al</w:t>
            </w:r>
            <w:r>
              <w:t xml:space="preserve">. </w:t>
            </w:r>
            <w:r>
              <w:fldChar w:fldCharType="begin"/>
            </w:r>
            <w:r>
              <w:instrText xml:space="preserve"> ADDIN EN.CITE &lt;EndNote&gt;&lt;Cite&gt;&lt;Author&gt;Karunasinghe&lt;/Author&gt;&lt;Year&gt;2004&lt;/Year&gt;&lt;RecNum&gt;7&lt;/RecNum&gt;&lt;MDL&gt;&lt;REFERENCE_TYPE&gt;0&lt;/REFERENCE_TYPE&gt;&lt;REFNUM&gt;7&lt;/REFNUM&gt;&lt;AUTHORS&gt;&lt;AUTHOR&gt;N. Karunasinghe&lt;/AUTHOR&gt;&lt;AUTHOR&gt;J.  Ryan&lt;/AUTHOR&gt;&lt;AUTHOR&gt;J.  Tuckey&lt;/AUTHOR&gt;&lt;AUTHOR&gt;J.  Masters&lt;/AUTHOR&gt;&lt;AUTHOR&gt;M. Jamieson&lt;/AUTHOR&gt;&lt;AUTHOR&gt;L.C.  Clarke&lt;/AUTHOR&gt;&lt;AUTHOR&gt;J.R.  Marshall&lt;/AUTHOR&gt;&lt;AUTHOR&gt;L.R.  Ferguson&lt;/AUTHOR&gt;&lt;/AUTHORS&gt;&lt;YEAR&gt;2004&lt;/YEAR&gt;&lt;TITLE&gt;DNA Stability and Serum Selenium Levels in a High-Risk Group for Prostate Cancer.&lt;/TITLE&gt;&lt;SECONDARY_TITLE&gt;Cancer Epidemiology, Biomarkers &amp;amp; Prevention&lt;/SECONDARY_TITLE&gt;&lt;VOLUME&gt;13&lt;/VOLUME&gt;&lt;NUMBER&gt;3&lt;/NUMBER&gt;&lt;PAGES&gt;391-397&lt;/PAGES&gt;&lt;/MDL&gt;&lt;/Cite&gt;&lt;/EndNote&gt;</w:instrText>
            </w:r>
            <w:r>
              <w:fldChar w:fldCharType="separate"/>
            </w:r>
            <w:r>
              <w:t>[8]</w:t>
            </w:r>
            <w:r>
              <w:fldChar w:fldCharType="end"/>
            </w:r>
            <w:r w:rsidRPr="00C5014E">
              <w:t xml:space="preserve">. </w:t>
            </w:r>
            <w:r w:rsidRPr="00904B55">
              <w:t xml:space="preserve"> These assays </w:t>
            </w:r>
            <w:r>
              <w:t>will be</w:t>
            </w:r>
            <w:r w:rsidRPr="00904B55">
              <w:t xml:space="preserve"> done at </w:t>
            </w:r>
            <w:r>
              <w:t xml:space="preserve">Alpha Scientific, a branch of </w:t>
            </w:r>
            <w:r w:rsidRPr="00904B55">
              <w:t xml:space="preserve">Gribbles </w:t>
            </w:r>
            <w:r w:rsidRPr="00F13E51">
              <w:t xml:space="preserve">Veterinary Pathology, </w:t>
            </w:r>
            <w:smartTag w:uri="urn:schemas-microsoft-com:office:smarttags" w:element="place">
              <w:smartTag w:uri="urn:schemas-microsoft-com:office:smarttags" w:element="City">
                <w:r w:rsidRPr="00F13E51">
                  <w:t>Hamilton</w:t>
                </w:r>
              </w:smartTag>
              <w:r w:rsidRPr="00F13E51">
                <w:t xml:space="preserve">, </w:t>
              </w:r>
              <w:smartTag w:uri="urn:schemas-microsoft-com:office:smarttags" w:element="country-region">
                <w:r w:rsidRPr="00F13E51">
                  <w:t>New Zealand</w:t>
                </w:r>
              </w:smartTag>
            </w:smartTag>
            <w:r w:rsidRPr="00F13E51">
              <w:t xml:space="preserve">. </w:t>
            </w:r>
          </w:p>
          <w:p w:rsidR="000865B2" w:rsidRPr="00F13E51" w:rsidRDefault="000865B2" w:rsidP="004530DC">
            <w:pPr>
              <w:tabs>
                <w:tab w:val="left" w:pos="-360"/>
                <w:tab w:val="left" w:pos="25"/>
                <w:tab w:val="left" w:pos="835"/>
                <w:tab w:val="left" w:pos="1825"/>
                <w:tab w:val="left" w:pos="2160"/>
                <w:tab w:val="left" w:pos="2880"/>
                <w:tab w:val="left" w:pos="3330"/>
                <w:tab w:val="left" w:pos="3600"/>
                <w:tab w:val="left" w:pos="4345"/>
              </w:tabs>
              <w:rPr>
                <w:b/>
                <w:i/>
                <w:u w:val="single"/>
                <w:lang w:val="en-NZ"/>
              </w:rPr>
            </w:pPr>
          </w:p>
          <w:p w:rsidR="000865B2" w:rsidRPr="002C7F42" w:rsidRDefault="000865B2" w:rsidP="004530DC">
            <w:pPr>
              <w:tabs>
                <w:tab w:val="left" w:pos="-360"/>
                <w:tab w:val="left" w:pos="25"/>
                <w:tab w:val="left" w:pos="835"/>
                <w:tab w:val="left" w:pos="1825"/>
                <w:tab w:val="left" w:pos="2160"/>
                <w:tab w:val="left" w:pos="2880"/>
                <w:tab w:val="left" w:pos="3330"/>
                <w:tab w:val="left" w:pos="3600"/>
                <w:tab w:val="left" w:pos="4345"/>
              </w:tabs>
              <w:rPr>
                <w:color w:val="000000"/>
              </w:rPr>
            </w:pPr>
            <w:r w:rsidRPr="00F13E51">
              <w:rPr>
                <w:b/>
                <w:i/>
                <w:lang w:val="en-NZ"/>
              </w:rPr>
              <w:t>Antioxidant enzyme activity</w:t>
            </w:r>
            <w:r w:rsidRPr="00F13E51">
              <w:rPr>
                <w:lang w:val="en-NZ"/>
              </w:rPr>
              <w:t xml:space="preserve"> will be measured as GPX and TR activities in</w:t>
            </w:r>
            <w:r>
              <w:rPr>
                <w:lang w:val="en-NZ"/>
              </w:rPr>
              <w:t xml:space="preserve"> hemolysates stored at -80ºC.</w:t>
            </w:r>
            <w:r w:rsidRPr="002C7F42">
              <w:rPr>
                <w:color w:val="000000"/>
              </w:rPr>
              <w:t xml:space="preserve"> </w:t>
            </w:r>
            <w:r>
              <w:rPr>
                <w:color w:val="000000"/>
              </w:rPr>
              <w:t xml:space="preserve"> </w:t>
            </w:r>
            <w:r>
              <w:rPr>
                <w:lang w:val="en-US"/>
              </w:rPr>
              <w:t>GPX</w:t>
            </w:r>
            <w:r w:rsidRPr="00904B55">
              <w:rPr>
                <w:lang w:val="en-US"/>
              </w:rPr>
              <w:t xml:space="preserve"> </w:t>
            </w:r>
            <w:r>
              <w:rPr>
                <w:lang w:val="en-US"/>
              </w:rPr>
              <w:t>activity will be</w:t>
            </w:r>
            <w:r w:rsidRPr="00904B55">
              <w:rPr>
                <w:lang w:val="en-US"/>
              </w:rPr>
              <w:t xml:space="preserve"> assayed using </w:t>
            </w:r>
            <w:r>
              <w:rPr>
                <w:lang w:val="en-US"/>
              </w:rPr>
              <w:t xml:space="preserve">the protocol of Wendel </w:t>
            </w:r>
            <w:r>
              <w:rPr>
                <w:lang w:val="en-US"/>
              </w:rPr>
              <w:fldChar w:fldCharType="begin"/>
            </w:r>
            <w:r>
              <w:rPr>
                <w:lang w:val="en-US"/>
              </w:rPr>
              <w:instrText xml:space="preserve"> ADDIN EN.CITE &lt;EndNote&gt;&lt;Cite&gt;&lt;Author&gt;Wendel&lt;/Author&gt;&lt;Year&gt;1981&lt;/Year&gt;&lt;RecNum&gt;213&lt;/RecNum&gt;&lt;MDL&gt;&lt;REFERENCE_TYPE&gt;0&lt;/REFERENCE_TYPE&gt;&lt;REFNUM&gt;213&lt;/REFNUM&gt;&lt;AUTHORS&gt;&lt;AUTHOR&gt;A. Wendel&lt;/AUTHOR&gt;&lt;/AUTHORS&gt;&lt;YEAR&gt;1981&lt;/YEAR&gt;&lt;TITLE&gt;Glutathione peroxidase&lt;/TITLE&gt;&lt;SECONDARY_TITLE&gt;Methods in Enzymology&lt;/SECONDARY_TITLE&gt;&lt;VOLUME&gt;77&lt;/VOLUME&gt;&lt;PAGES&gt;325-333&lt;/PAGES&gt;&lt;/MDL&gt;&lt;/Cite&gt;&lt;/EndNote&gt;</w:instrText>
            </w:r>
            <w:r>
              <w:rPr>
                <w:lang w:val="en-US"/>
              </w:rPr>
              <w:fldChar w:fldCharType="separate"/>
            </w:r>
            <w:r>
              <w:rPr>
                <w:lang w:val="en-US"/>
              </w:rPr>
              <w:t>[49]</w:t>
            </w:r>
            <w:r>
              <w:rPr>
                <w:lang w:val="en-US"/>
              </w:rPr>
              <w:fldChar w:fldCharType="end"/>
            </w:r>
            <w:r w:rsidRPr="00904B55">
              <w:rPr>
                <w:lang w:val="en-US"/>
              </w:rPr>
              <w:t xml:space="preserve"> modified to suit a 96 well plate format</w:t>
            </w:r>
            <w:r>
              <w:rPr>
                <w:lang w:val="en-US"/>
              </w:rPr>
              <w:t xml:space="preserve">. </w:t>
            </w:r>
            <w:r w:rsidRPr="00904B55">
              <w:rPr>
                <w:lang w:val="en-US"/>
              </w:rPr>
              <w:t>T</w:t>
            </w:r>
            <w:r>
              <w:rPr>
                <w:lang w:val="en-US"/>
              </w:rPr>
              <w:t>R</w:t>
            </w:r>
            <w:r w:rsidRPr="00904B55">
              <w:rPr>
                <w:lang w:val="en-US"/>
              </w:rPr>
              <w:t xml:space="preserve"> </w:t>
            </w:r>
            <w:r>
              <w:rPr>
                <w:lang w:val="en-US"/>
              </w:rPr>
              <w:t>activity will be</w:t>
            </w:r>
            <w:r w:rsidRPr="00904B55">
              <w:rPr>
                <w:lang w:val="en-US"/>
              </w:rPr>
              <w:t xml:space="preserve"> assayed </w:t>
            </w:r>
            <w:r>
              <w:rPr>
                <w:lang w:val="en-US"/>
              </w:rPr>
              <w:t>using the</w:t>
            </w:r>
            <w:r w:rsidRPr="00904B55">
              <w:rPr>
                <w:lang w:val="en-US"/>
              </w:rPr>
              <w:t xml:space="preserve"> protocol</w:t>
            </w:r>
            <w:r>
              <w:rPr>
                <w:lang w:val="en-US"/>
              </w:rPr>
              <w:t xml:space="preserve"> of Smith and Leva</w:t>
            </w:r>
            <w:r w:rsidRPr="00904B55">
              <w:rPr>
                <w:lang w:val="en-US"/>
              </w:rPr>
              <w:t xml:space="preserve">nder </w:t>
            </w:r>
            <w:r>
              <w:rPr>
                <w:lang w:val="en-US"/>
              </w:rPr>
              <w:fldChar w:fldCharType="begin"/>
            </w:r>
            <w:r>
              <w:rPr>
                <w:lang w:val="en-US"/>
              </w:rPr>
              <w:instrText xml:space="preserve"> ADDIN EN.CITE &lt;EndNote&gt;&lt;Cite&gt;&lt;Author&gt;Smith&lt;/Author&gt;&lt;Year&gt;2002&lt;/Year&gt;&lt;RecNum&gt;189&lt;/RecNum&gt;&lt;MDL&gt;&lt;REFERENCE_TYPE&gt;0&lt;/REFERENCE_TYPE&gt;&lt;REFNUM&gt;189&lt;/REFNUM&gt;&lt;AUTHORS&gt;&lt;AUTHOR&gt;Smith, A. D.&lt;/AUTHOR&gt;&lt;AUTHOR&gt;Levander, O. A.&lt;/AUTHOR&gt;&lt;/AUTHORS&gt;&lt;YEAR&gt;2002&lt;/YEAR&gt;&lt;TITLE&gt;High-throughput 96-well microplate assays for determining specific activities of glutathione peroxidase and thioredoxin reductase&lt;/TITLE&gt;&lt;SECONDARY_TITLE&gt;Methods in Enzymology&lt;/SECONDARY_TITLE&gt;&lt;VOLUME&gt;347&lt;/VOLUME&gt;&lt;PAGES&gt;113-21&lt;/PAGES&gt;&lt;ACCESSION_NUMBER&gt;11898400&lt;/ACCESSION_NUMBER&gt;&lt;/MDL&gt;&lt;/Cite&gt;&lt;/EndNote&gt;</w:instrText>
            </w:r>
            <w:r>
              <w:rPr>
                <w:lang w:val="en-US"/>
              </w:rPr>
              <w:fldChar w:fldCharType="separate"/>
            </w:r>
            <w:r>
              <w:rPr>
                <w:lang w:val="en-US"/>
              </w:rPr>
              <w:t>[50]</w:t>
            </w:r>
            <w:r>
              <w:rPr>
                <w:lang w:val="en-US"/>
              </w:rPr>
              <w:fldChar w:fldCharType="end"/>
            </w:r>
            <w:r>
              <w:rPr>
                <w:lang w:val="en-US"/>
              </w:rPr>
              <w:t>.</w:t>
            </w:r>
          </w:p>
          <w:p w:rsidR="000865B2" w:rsidRDefault="000865B2" w:rsidP="004530DC">
            <w:pPr>
              <w:tabs>
                <w:tab w:val="left" w:pos="-360"/>
                <w:tab w:val="left" w:pos="25"/>
                <w:tab w:val="left" w:pos="835"/>
                <w:tab w:val="left" w:pos="1825"/>
                <w:tab w:val="left" w:pos="2160"/>
                <w:tab w:val="left" w:pos="2880"/>
                <w:tab w:val="left" w:pos="3330"/>
                <w:tab w:val="left" w:pos="3600"/>
                <w:tab w:val="left" w:pos="4345"/>
              </w:tabs>
              <w:spacing w:before="120"/>
            </w:pPr>
            <w:r w:rsidRPr="00184BF1">
              <w:rPr>
                <w:b/>
                <w:i/>
                <w:lang w:val="en-NZ"/>
              </w:rPr>
              <w:t>COMET assay (Standard</w:t>
            </w:r>
            <w:r w:rsidRPr="00184BF1">
              <w:rPr>
                <w:b/>
                <w:i/>
                <w:u w:val="single"/>
                <w:lang w:val="en-NZ"/>
              </w:rPr>
              <w:t>)</w:t>
            </w:r>
            <w:r>
              <w:t>:</w:t>
            </w:r>
            <w:r w:rsidRPr="0031208B">
              <w:t xml:space="preserve"> </w:t>
            </w:r>
            <w:r w:rsidRPr="007A42F6">
              <w:t xml:space="preserve">The single cell gel electrophoresis (or COMET) assay provides a measure of either single or double strand </w:t>
            </w:r>
            <w:smartTag w:uri="urn:schemas-microsoft-com:office:smarttags" w:element="stockticker">
              <w:r w:rsidRPr="007A42F6">
                <w:t>DNA</w:t>
              </w:r>
            </w:smartTag>
            <w:r w:rsidRPr="007A42F6">
              <w:t xml:space="preserve"> breaks (or other damage) a</w:t>
            </w:r>
            <w:r>
              <w:t xml:space="preserve">t the level of the single cell </w:t>
            </w:r>
            <w:r>
              <w:fldChar w:fldCharType="begin"/>
            </w:r>
            <w:r>
              <w:instrText xml:space="preserve"> ADDIN EN.CITE &lt;EndNote&gt;&lt;Cite&gt;&lt;Author&gt;Collins&lt;/Author&gt;&lt;Year&gt;2005&lt;/Year&gt;&lt;RecNum&gt;488&lt;/RecNum&gt;&lt;MDL&gt;&lt;REFERENCE_TYPE&gt;0&lt;/REFERENCE_TYPE&gt;&lt;REFNUM&gt;488&lt;/REFNUM&gt;&lt;AUTHORS&gt;&lt;AUTHOR&gt;A.R. Collins&lt;/AUTHOR&gt;&lt;/AUTHORS&gt;&lt;YEAR&gt;2005&lt;/YEAR&gt;&lt;TITLE&gt;Assays for oxidative stress and antioxidant status: Applications to research into the biological effectiveness of polyphenols.&lt;/TITLE&gt;&lt;SECONDARY_TITLE&gt;American Journal of Clinical Nutrition&lt;/SECONDARY_TITLE&gt;&lt;VOLUME&gt;81&lt;/VOLUME&gt;&lt;NUMBER&gt;1S&lt;/NUMBER&gt;&lt;PAGES&gt;261S-267S.&lt;/PAGES&gt;&lt;/MDL&gt;&lt;/Cite&gt;&lt;/EndNote&gt;</w:instrText>
            </w:r>
            <w:r>
              <w:fldChar w:fldCharType="separate"/>
            </w:r>
            <w:r>
              <w:t>[25]</w:t>
            </w:r>
            <w:r>
              <w:fldChar w:fldCharType="end"/>
            </w:r>
            <w:r>
              <w:t xml:space="preserve">. </w:t>
            </w:r>
          </w:p>
          <w:p w:rsidR="000865B2" w:rsidRPr="00F16229" w:rsidRDefault="000865B2" w:rsidP="004530DC">
            <w:pPr>
              <w:tabs>
                <w:tab w:val="left" w:pos="-360"/>
                <w:tab w:val="left" w:pos="25"/>
                <w:tab w:val="left" w:pos="835"/>
                <w:tab w:val="left" w:pos="1825"/>
                <w:tab w:val="left" w:pos="2160"/>
                <w:tab w:val="left" w:pos="2880"/>
                <w:tab w:val="left" w:pos="3330"/>
                <w:tab w:val="left" w:pos="3600"/>
                <w:tab w:val="left" w:pos="4345"/>
              </w:tabs>
              <w:spacing w:before="120"/>
              <w:rPr>
                <w:lang w:val="en-NZ"/>
              </w:rPr>
            </w:pPr>
          </w:p>
          <w:p w:rsidR="000865B2" w:rsidRDefault="000865B2" w:rsidP="004530DC">
            <w:pPr>
              <w:tabs>
                <w:tab w:val="left" w:pos="-360"/>
                <w:tab w:val="left" w:pos="25"/>
                <w:tab w:val="left" w:pos="835"/>
                <w:tab w:val="left" w:pos="1825"/>
                <w:tab w:val="left" w:pos="2160"/>
                <w:tab w:val="left" w:pos="2880"/>
                <w:tab w:val="left" w:pos="3330"/>
                <w:tab w:val="left" w:pos="3600"/>
                <w:tab w:val="left" w:pos="4345"/>
              </w:tabs>
              <w:rPr>
                <w:u w:val="single"/>
                <w:lang w:val="en-NZ"/>
              </w:rPr>
            </w:pPr>
            <w:r w:rsidRPr="00184BF1">
              <w:rPr>
                <w:b/>
                <w:i/>
                <w:lang w:val="en-NZ"/>
              </w:rPr>
              <w:lastRenderedPageBreak/>
              <w:t>COMET assay (H</w:t>
            </w:r>
            <w:r w:rsidRPr="00184BF1">
              <w:rPr>
                <w:b/>
                <w:i/>
                <w:vertAlign w:val="subscript"/>
                <w:lang w:val="en-NZ"/>
              </w:rPr>
              <w:t>2</w:t>
            </w:r>
            <w:r w:rsidRPr="00184BF1">
              <w:rPr>
                <w:b/>
                <w:i/>
                <w:lang w:val="en-NZ"/>
              </w:rPr>
              <w:t>0</w:t>
            </w:r>
            <w:r w:rsidRPr="00184BF1">
              <w:rPr>
                <w:b/>
                <w:i/>
                <w:vertAlign w:val="subscript"/>
                <w:lang w:val="en-NZ"/>
              </w:rPr>
              <w:t>2</w:t>
            </w:r>
            <w:r w:rsidRPr="00184BF1">
              <w:rPr>
                <w:b/>
                <w:i/>
                <w:lang w:val="en-NZ"/>
              </w:rPr>
              <w:t xml:space="preserve"> challenge)</w:t>
            </w:r>
            <w:r>
              <w:t>:</w:t>
            </w:r>
            <w:r w:rsidRPr="0031208B">
              <w:t xml:space="preserve"> </w:t>
            </w:r>
            <w:r>
              <w:t>A</w:t>
            </w:r>
            <w:r w:rsidRPr="007A42F6">
              <w:t xml:space="preserve"> variant of the </w:t>
            </w:r>
            <w:r>
              <w:t>COMET assay</w:t>
            </w:r>
            <w:r w:rsidRPr="007A42F6">
              <w:t xml:space="preserve"> exposes WBC ex vivo to DNA breaking agents such as hydrogen peroxide (H</w:t>
            </w:r>
            <w:r w:rsidRPr="0031208B">
              <w:rPr>
                <w:vertAlign w:val="subscript"/>
              </w:rPr>
              <w:t>2</w:t>
            </w:r>
            <w:r w:rsidRPr="007A42F6">
              <w:t>O</w:t>
            </w:r>
            <w:r w:rsidRPr="0031208B">
              <w:rPr>
                <w:vertAlign w:val="subscript"/>
              </w:rPr>
              <w:t>2</w:t>
            </w:r>
            <w:r w:rsidRPr="007A42F6">
              <w:t>), as a measure of the way in which a dietary regime has enhanced the innate ability of the cells to repair DNA damage</w:t>
            </w:r>
            <w:r w:rsidRPr="00353A6C">
              <w:t xml:space="preserve"> </w:t>
            </w:r>
            <w:r>
              <w:fldChar w:fldCharType="begin"/>
            </w:r>
            <w:r>
              <w:instrText xml:space="preserve"> ADDIN EN.CITE &lt;EndNote&gt;&lt;Cite&gt;&lt;Author&gt;Panayiotidis&lt;/Author&gt;&lt;Year&gt;1997&lt;/Year&gt;&lt;RecNum&gt;489&lt;/RecNum&gt;&lt;MDL&gt;&lt;REFERENCE_TYPE&gt;0&lt;/REFERENCE_TYPE&gt;&lt;REFNUM&gt;489&lt;/REFNUM&gt;&lt;AUTHORS&gt;&lt;AUTHOR&gt;M. Panayiotidis&lt;/AUTHOR&gt;&lt;AUTHOR&gt;A.R. Collins&lt;/AUTHOR&gt;&lt;/AUTHORS&gt;&lt;YEAR&gt;1997&lt;/YEAR&gt;&lt;TITLE&gt; Ex vivo assessment of lymphocyte antioxidant status using the Comet assay.&lt;/TITLE&gt;&lt;SECONDARY_TITLE&gt;Free Radical Research&lt;/SECONDARY_TITLE&gt;&lt;VOLUME&gt;27&lt;/VOLUME&gt;&lt;NUMBER&gt;5&lt;/NUMBER&gt;&lt;PAGES&gt;533-537&lt;/PAGES&gt;&lt;/MDL&gt;&lt;/Cite&gt;&lt;/EndNote&gt;</w:instrText>
            </w:r>
            <w:r>
              <w:fldChar w:fldCharType="separate"/>
            </w:r>
            <w:r>
              <w:t>[51]</w:t>
            </w:r>
            <w:r>
              <w:fldChar w:fldCharType="end"/>
            </w:r>
            <w:r w:rsidRPr="007A42F6">
              <w:t>.</w:t>
            </w:r>
            <w:r w:rsidRPr="005E1C0D">
              <w:rPr>
                <w:u w:val="single"/>
                <w:lang w:val="en-NZ"/>
              </w:rPr>
              <w:t xml:space="preserve"> </w:t>
            </w:r>
          </w:p>
          <w:p w:rsidR="000865B2" w:rsidRDefault="000865B2" w:rsidP="004530DC">
            <w:pPr>
              <w:tabs>
                <w:tab w:val="left" w:pos="-360"/>
                <w:tab w:val="left" w:pos="25"/>
                <w:tab w:val="left" w:pos="835"/>
                <w:tab w:val="left" w:pos="1825"/>
                <w:tab w:val="left" w:pos="2160"/>
                <w:tab w:val="left" w:pos="2880"/>
                <w:tab w:val="left" w:pos="3330"/>
                <w:tab w:val="left" w:pos="3600"/>
                <w:tab w:val="left" w:pos="4345"/>
              </w:tabs>
              <w:rPr>
                <w:u w:val="single"/>
                <w:lang w:val="en-NZ"/>
              </w:rPr>
            </w:pPr>
          </w:p>
          <w:p w:rsidR="000865B2" w:rsidRDefault="000865B2" w:rsidP="004530DC">
            <w:pPr>
              <w:rPr>
                <w:lang w:val="en-NZ"/>
              </w:rPr>
            </w:pPr>
            <w:r w:rsidRPr="00184BF1">
              <w:rPr>
                <w:b/>
                <w:i/>
                <w:lang w:val="en-NZ"/>
              </w:rPr>
              <w:t>Pro-inflammatory cytokines</w:t>
            </w:r>
            <w:r>
              <w:rPr>
                <w:lang w:val="en-NZ"/>
              </w:rPr>
              <w:t xml:space="preserve">: Plasma samples will be stored frozen at -80ºC and assayed as a group at baseline and after supplementation.  The plasma levels of the pro-inflammatory cytokines IL-6, IL-1β and TNF-α will be measured on a Luminex 100 using Linco multiplex bead technology </w:t>
            </w:r>
            <w:r>
              <w:rPr>
                <w:lang w:val="en-NZ"/>
              </w:rPr>
              <w:fldChar w:fldCharType="begin"/>
            </w:r>
            <w:r>
              <w:rPr>
                <w:lang w:val="en-NZ"/>
              </w:rPr>
              <w:instrText xml:space="preserve"> ADDIN EN.CITE &lt;EndNote&gt;&lt;Cite&gt;&lt;Author&gt;Curran&lt;/Author&gt;&lt;Year&gt;2005&lt;/Year&gt;&lt;RecNum&gt;32&lt;/RecNum&gt;&lt;MDL&gt;&lt;REFERENCE_TYPE&gt;0&lt;/REFERENCE_TYPE&gt;&lt;REFNUM&gt;32&lt;/REFNUM&gt;&lt;AUTHORS&gt;&lt;AUTHOR&gt;J.E. Curran  &lt;/AUTHOR&gt;&lt;AUTHOR&gt;J.B.M. Jowett &lt;/AUTHOR&gt;&lt;AUTHOR&gt;K.S. Elliot &lt;/AUTHOR&gt;&lt;AUTHOR&gt;Y. Gao &lt;/AUTHOR&gt;&lt;AUTHOR&gt;K. Glaschenko &lt;/AUTHOR&gt;&lt;AUTHOR&gt;J. Wang &lt;/AUTHOR&gt;&lt;AUTHOR&gt;D.M.A. Azim &lt;/AUTHOR&gt;&lt;AUTHOR&gt;G. Cai &lt;/AUTHOR&gt;&lt;AUTHOR&gt;M.C. Mahaney&lt;/AUTHOR&gt;&lt;AUTHOR&gt;A.G. Comuzzie &lt;/AUTHOR&gt;&lt;AUTHOR&gt;T.D. Dyer &lt;/AUTHOR&gt;&lt;AUTHOR&gt;K.R. Walder &lt;/AUTHOR&gt;&lt;AUTHOR&gt;P. Zimmet &lt;/AUTHOR&gt;&lt;AUTHOR&gt;W. MacCluer &lt;/AUTHOR&gt;&lt;AUTHOR&gt;G.R. Collier &lt;/AUTHOR&gt;&lt;AUTHOR&gt;A.H. Kissebah &lt;/AUTHOR&gt;&lt;AUTHOR&gt;J. Blangero&lt;/AUTHOR&gt;&lt;/AUTHORS&gt;&lt;YEAR&gt;2005&lt;/YEAR&gt;&lt;TITLE&gt;Genetic variation in selenoprotein S influences inflammatory response&lt;/TITLE&gt;&lt;SECONDARY_TITLE&gt;Nature Genetics&lt;/SECONDARY_TITLE&gt;&lt;VOLUME&gt;37&lt;/VOLUME&gt;&lt;PAGES&gt;1234-1241&lt;/PAGES&gt;&lt;/MDL&gt;&lt;/Cite&gt;&lt;/EndNote&gt;</w:instrText>
            </w:r>
            <w:r>
              <w:rPr>
                <w:lang w:val="en-NZ"/>
              </w:rPr>
              <w:fldChar w:fldCharType="separate"/>
            </w:r>
            <w:r>
              <w:rPr>
                <w:lang w:val="en-NZ"/>
              </w:rPr>
              <w:t>[31]</w:t>
            </w:r>
            <w:r>
              <w:rPr>
                <w:lang w:val="en-NZ"/>
              </w:rPr>
              <w:fldChar w:fldCharType="end"/>
            </w:r>
            <w:r>
              <w:rPr>
                <w:lang w:val="en-NZ"/>
              </w:rPr>
              <w:t xml:space="preserve"> </w:t>
            </w:r>
          </w:p>
          <w:p w:rsidR="000865B2" w:rsidRDefault="000865B2" w:rsidP="004530DC">
            <w:pPr>
              <w:tabs>
                <w:tab w:val="left" w:pos="-360"/>
                <w:tab w:val="left" w:pos="25"/>
                <w:tab w:val="left" w:pos="835"/>
                <w:tab w:val="left" w:pos="1825"/>
                <w:tab w:val="left" w:pos="2160"/>
                <w:tab w:val="left" w:pos="2880"/>
                <w:tab w:val="left" w:pos="3330"/>
                <w:tab w:val="left" w:pos="3600"/>
                <w:tab w:val="left" w:pos="4345"/>
              </w:tabs>
              <w:spacing w:before="120"/>
              <w:rPr>
                <w:lang w:val="en-NZ"/>
              </w:rPr>
            </w:pPr>
          </w:p>
          <w:p w:rsidR="000865B2" w:rsidRPr="0031599B" w:rsidRDefault="000865B2" w:rsidP="004530DC">
            <w:pPr>
              <w:tabs>
                <w:tab w:val="left" w:pos="-360"/>
                <w:tab w:val="left" w:pos="25"/>
                <w:tab w:val="left" w:pos="835"/>
                <w:tab w:val="left" w:pos="1825"/>
                <w:tab w:val="left" w:pos="2160"/>
                <w:tab w:val="left" w:pos="2880"/>
                <w:tab w:val="left" w:pos="3330"/>
                <w:tab w:val="left" w:pos="3600"/>
                <w:tab w:val="left" w:pos="4345"/>
              </w:tabs>
              <w:rPr>
                <w:b/>
              </w:rPr>
            </w:pPr>
            <w:r w:rsidRPr="0031599B">
              <w:rPr>
                <w:b/>
              </w:rPr>
              <w:t>Selenium Intervention Study</w:t>
            </w:r>
          </w:p>
          <w:p w:rsidR="000865B2" w:rsidRDefault="000865B2" w:rsidP="004530DC">
            <w:pPr>
              <w:tabs>
                <w:tab w:val="left" w:pos="-1440"/>
                <w:tab w:val="left" w:pos="-720"/>
                <w:tab w:val="left" w:pos="0"/>
                <w:tab w:val="left" w:pos="348"/>
                <w:tab w:val="left" w:pos="684"/>
                <w:tab w:val="left" w:pos="1440"/>
              </w:tabs>
            </w:pPr>
            <w:r>
              <w:rPr>
                <w:bCs/>
              </w:rPr>
              <w:t>At their second visit, all individuals</w:t>
            </w:r>
            <w:r>
              <w:t xml:space="preserve"> will receive 6 months of </w:t>
            </w:r>
            <w:r w:rsidRPr="00011BE9">
              <w:t>supplementation</w:t>
            </w:r>
            <w:r>
              <w:t xml:space="preserve"> with 200μg/day Se as selenised yeast</w:t>
            </w:r>
            <w:r w:rsidRPr="00011BE9">
              <w:t xml:space="preserve">, </w:t>
            </w:r>
            <w:r w:rsidRPr="00011BE9">
              <w:rPr>
                <w:lang w:val="en-NZ"/>
              </w:rPr>
              <w:t xml:space="preserve">and blood samples will be collected </w:t>
            </w:r>
            <w:r>
              <w:rPr>
                <w:lang w:val="en-NZ"/>
              </w:rPr>
              <w:t xml:space="preserve">immediately before and </w:t>
            </w:r>
            <w:r w:rsidRPr="00011BE9">
              <w:rPr>
                <w:lang w:val="en-NZ"/>
              </w:rPr>
              <w:t>after this dietary intervention.</w:t>
            </w:r>
            <w:r>
              <w:rPr>
                <w:bCs/>
              </w:rPr>
              <w:t xml:space="preserve">  </w:t>
            </w:r>
            <w:r w:rsidRPr="00537CD4">
              <w:rPr>
                <w:bCs/>
              </w:rPr>
              <w:t xml:space="preserve">This time is based on a </w:t>
            </w:r>
            <w:r w:rsidRPr="00537CD4">
              <w:t>pharmacokinetic model of supplementation with selenomethionine metabolism that shows a long whole body turnover time, reflecting both the re-utilization of Se, and the slow turnover time of muscle tissue which is presumed to be one of the largest body pools for selenomethi</w:t>
            </w:r>
            <w:r>
              <w:t xml:space="preserve">onine.  Selenised yeast provides Se mostly in the form of selenomethionine </w:t>
            </w:r>
            <w:r>
              <w:fldChar w:fldCharType="begin"/>
            </w:r>
            <w:r>
              <w:instrText xml:space="preserve"> ADDIN EN.CITE &lt;EndNote&gt;&lt;Cite&gt;&lt;Author&gt;Schrauzer&lt;/Author&gt;&lt;Year&gt;1999&lt;/Year&gt;&lt;RecNum&gt;497&lt;/RecNum&gt;&lt;MDL&gt;&lt;REFERENCE_TYPE&gt;0&lt;/REFERENCE_TYPE&gt;&lt;REFNUM&gt;497&lt;/REFNUM&gt;&lt;AUTHORS&gt;&lt;AUTHOR&gt;G.N. Schrauzer&lt;/AUTHOR&gt;&lt;/AUTHORS&gt;&lt;YEAR&gt;1999&lt;/YEAR&gt;&lt;TITLE&gt;Selenomethionine and selenium yeast: Appropriate forms of selenium for use in infant formulas and nutritional supplements.&lt;/TITLE&gt;&lt;SECONDARY_TITLE&gt;Journal of Medicinal Food&lt;/SECONDARY_TITLE&gt;&lt;VOLUME&gt;1&lt;/VOLUME&gt;&lt;NUMBER&gt;3&lt;/NUMBER&gt;&lt;PAGES&gt;201-206&lt;/PAGES&gt;&lt;/MDL&gt;&lt;/Cite&gt;&lt;/EndNote&gt;</w:instrText>
            </w:r>
            <w:r>
              <w:fldChar w:fldCharType="separate"/>
            </w:r>
            <w:r>
              <w:t>[52]</w:t>
            </w:r>
            <w:r>
              <w:fldChar w:fldCharType="end"/>
            </w:r>
            <w:r>
              <w:t xml:space="preserve">.  This was the form of Se used in the demonstration of human cancer protection by Clark et al. </w:t>
            </w:r>
            <w:r>
              <w:fldChar w:fldCharType="begin"/>
            </w:r>
            <w:r>
              <w:instrText xml:space="preserve"> ADDIN EN.CITE &lt;EndNote&gt;&lt;Cite&gt;&lt;Author&gt;Clark&lt;/Author&gt;&lt;Year&gt;1996&lt;/Year&gt;&lt;RecNum&gt;490&lt;/RecNum&gt;&lt;MDL&gt;&lt;REFERENCE_TYPE&gt;0&lt;/REFERENCE_TYPE&gt;&lt;REFNUM&gt;490&lt;/REFNUM&gt;&lt;AUTHORS&gt;&lt;AUTHOR&gt;L.C. Clark&lt;/AUTHOR&gt;&lt;AUTHOR&gt;G.F. Combs&lt;/AUTHOR&gt;&lt;AUTHOR&gt;B.W. Turnbull&lt;/AUTHOR&gt;&lt;AUTHOR&gt;E.H. Slate&lt;/AUTHOR&gt;&lt;AUTHOR&gt;D.K. Chalker&lt;/AUTHOR&gt;&lt;AUTHOR&gt;J. Chow&lt;/AUTHOR&gt;&lt;AUTHOR&gt;L.S.  Davis&lt;/AUTHOR&gt;&lt;AUTHOR&gt;R.A.  Glover&lt;/AUTHOR&gt;&lt;AUTHOR&gt;G.F. Graham&lt;/AUTHOR&gt;&lt;AUTHOR&gt;E.G. Gross&lt;/AUTHOR&gt;&lt;AUTHOR&gt;A. Krongrad&lt;/AUTHOR&gt;&lt;AUTHOR&gt;J.L. Lesher&lt;/AUTHOR&gt;&lt;AUTHOR&gt;H.K.  Park&lt;/AUTHOR&gt;&lt;AUTHOR&gt;B.B. Sanders&lt;/AUTHOR&gt;&lt;AUTHOR&gt;C.L.  Smith&lt;/AUTHOR&gt;&lt;AUTHOR&gt;J.R. Taylor&lt;/AUTHOR&gt;&lt;/AUTHORS&gt;&lt;YEAR&gt;1996&lt;/YEAR&gt;&lt;TITLE&gt;Effects of selenium supplementation for cancer prevention in patients with carcinoma of the skin: a randomized controlled trial.&lt;/TITLE&gt;&lt;SECONDARY_TITLE&gt;JAMA, the Journal of the American Medical Association&lt;/SECONDARY_TITLE&gt;&lt;VOLUME&gt;276&lt;/VOLUME&gt;&lt;NUMBER&gt;24&lt;/NUMBER&gt;&lt;PAGES&gt;1957-1963&lt;/PAGES&gt;&lt;/MDL&gt;&lt;/Cite&gt;&lt;Cite&gt;&lt;Author&gt;Clark&lt;/Author&gt;&lt;Year&gt;1998&lt;/Year&gt;&lt;RecNum&gt;67&lt;/RecNum&gt;&lt;MDL&gt;&lt;REFERENCE_TYPE&gt;0&lt;/REFERENCE_TYPE&gt;&lt;REFNUM&gt;67&lt;/REFNUM&gt;&lt;AUTHORS&gt;&lt;AUTHOR&gt;Clark, L. C.&lt;/AUTHOR&gt;&lt;AUTHOR&gt;Dalkin, B.&lt;/AUTHOR&gt;&lt;AUTHOR&gt;Krongrad, A.&lt;/AUTHOR&gt;&lt;AUTHOR&gt;Combs, G. F., Jr.&lt;/AUTHOR&gt;&lt;AUTHOR&gt;Turnbull, B. W.&lt;/AUTHOR&gt;&lt;AUTHOR&gt;Slate, E. H.&lt;/AUTHOR&gt;&lt;AUTHOR&gt;Witherington, R.&lt;/AUTHOR&gt;&lt;AUTHOR&gt;Herlong, J. H.&lt;/AUTHOR&gt;&lt;AUTHOR&gt;Janosko, E.&lt;/AUTHOR&gt;&lt;AUTHOR&gt;Carpenter, D.&lt;/AUTHOR&gt;&lt;AUTHOR&gt;Borosso, C.&lt;/AUTHOR&gt;&lt;AUTHOR&gt;Falk, S.&lt;/AUTHOR&gt;&lt;AUTHOR&gt;Rounder, J.&lt;/AUTHOR&gt;&lt;/AUTHORS&gt;&lt;YEAR&gt;1998&lt;/YEAR&gt;&lt;TITLE&gt;Decreased incidence of prostate cancer with selenium supplementation: results of a double-blind cancer prevention trial&lt;/TITLE&gt;&lt;SECONDARY_TITLE&gt;British Journal of Urology&lt;/SECONDARY_TITLE&gt;&lt;VOLUME&gt;81&lt;/VOLUME&gt;&lt;NUMBER&gt;5&lt;/NUMBER&gt;&lt;PAGES&gt;730-4&lt;/PAGES&gt;&lt;ACCESSION_NUMBER&gt;9634050&lt;/ACCESSION_NUMBER&gt;&lt;/MDL&gt;&lt;/Cite&gt;&lt;/EndNote&gt;</w:instrText>
            </w:r>
            <w:r>
              <w:fldChar w:fldCharType="separate"/>
            </w:r>
            <w:r>
              <w:t>[53, 54]</w:t>
            </w:r>
            <w:r>
              <w:fldChar w:fldCharType="end"/>
            </w:r>
            <w:r>
              <w:t>, and our own preliminary studies described above.  We have organised a supply of standardised Se yeast for this study (Alltech).</w:t>
            </w:r>
            <w:r w:rsidRPr="00DE08A9">
              <w:rPr>
                <w:b/>
                <w:sz w:val="22"/>
              </w:rPr>
              <w:t xml:space="preserve"> </w:t>
            </w:r>
            <w:r w:rsidRPr="003718E4">
              <w:t>Pills will be dispensed to each subject after their initial visit</w:t>
            </w:r>
            <w:r>
              <w:t>, and again at 3 months</w:t>
            </w:r>
            <w:r w:rsidRPr="003718E4">
              <w:t>.</w:t>
            </w:r>
            <w:r>
              <w:t xml:space="preserve">  We will ensure quality control of samples so that selenomethionine content is standardised.  We will also analyse batches to ensure they are not deteriorating with time.</w:t>
            </w:r>
          </w:p>
          <w:p w:rsidR="000865B2" w:rsidRDefault="000865B2" w:rsidP="004530DC">
            <w:pPr>
              <w:tabs>
                <w:tab w:val="left" w:pos="-1440"/>
                <w:tab w:val="left" w:pos="-720"/>
                <w:tab w:val="left" w:pos="0"/>
                <w:tab w:val="left" w:pos="348"/>
                <w:tab w:val="left" w:pos="684"/>
                <w:tab w:val="left" w:pos="1440"/>
              </w:tabs>
            </w:pPr>
          </w:p>
          <w:p w:rsidR="000865B2" w:rsidRDefault="000865B2" w:rsidP="004530DC">
            <w:pPr>
              <w:tabs>
                <w:tab w:val="left" w:pos="-1440"/>
                <w:tab w:val="left" w:pos="-720"/>
                <w:tab w:val="left" w:pos="0"/>
                <w:tab w:val="left" w:pos="348"/>
                <w:tab w:val="left" w:pos="684"/>
                <w:tab w:val="left" w:pos="1440"/>
              </w:tabs>
            </w:pPr>
            <w:r w:rsidRPr="002249F4">
              <w:rPr>
                <w:b/>
              </w:rPr>
              <w:t>Secondary analyses</w:t>
            </w:r>
            <w:r>
              <w:t xml:space="preserve">: </w:t>
            </w:r>
          </w:p>
          <w:p w:rsidR="000865B2" w:rsidRDefault="000865B2" w:rsidP="004530DC">
            <w:pPr>
              <w:tabs>
                <w:tab w:val="left" w:pos="-1440"/>
                <w:tab w:val="left" w:pos="-720"/>
                <w:tab w:val="left" w:pos="0"/>
                <w:tab w:val="left" w:pos="348"/>
                <w:tab w:val="left" w:pos="684"/>
                <w:tab w:val="left" w:pos="1440"/>
              </w:tabs>
            </w:pPr>
            <w:r>
              <w:t>Subgroups will be identified on the basis of genotype and initial biomarker data, for further analyses as below.  We will consider the following, on groups of 20 individuals of each of the identified genotype (60 total per sample group).  We will attempt to make these groups as homogeneous as possible for other genes:</w:t>
            </w:r>
          </w:p>
          <w:p w:rsidR="000865B2" w:rsidRPr="00184BF1" w:rsidRDefault="000865B2" w:rsidP="004530DC">
            <w:pPr>
              <w:tabs>
                <w:tab w:val="left" w:pos="-1440"/>
                <w:tab w:val="left" w:pos="-720"/>
                <w:tab w:val="left" w:pos="0"/>
                <w:tab w:val="left" w:pos="348"/>
                <w:tab w:val="left" w:pos="684"/>
                <w:tab w:val="left" w:pos="1440"/>
              </w:tabs>
              <w:rPr>
                <w:b/>
                <w:i/>
              </w:rPr>
            </w:pPr>
          </w:p>
          <w:p w:rsidR="000865B2" w:rsidRPr="00184BF1" w:rsidRDefault="000865B2" w:rsidP="004530DC">
            <w:pPr>
              <w:tabs>
                <w:tab w:val="left" w:pos="-1440"/>
                <w:tab w:val="left" w:pos="-720"/>
                <w:tab w:val="left" w:pos="0"/>
                <w:tab w:val="left" w:pos="348"/>
                <w:tab w:val="left" w:pos="684"/>
                <w:tab w:val="left" w:pos="1440"/>
              </w:tabs>
            </w:pPr>
            <w:r w:rsidRPr="00184BF1">
              <w:rPr>
                <w:b/>
                <w:i/>
              </w:rPr>
              <w:t>Se-P variants</w:t>
            </w:r>
            <w:r w:rsidRPr="00184BF1">
              <w:t>: We will consider implication of SNPs in this gene for carrying Se into the serum, using an ELIZA method of analysis.</w:t>
            </w:r>
          </w:p>
          <w:p w:rsidR="000865B2" w:rsidRPr="00184BF1" w:rsidRDefault="000865B2" w:rsidP="004530DC">
            <w:pPr>
              <w:tabs>
                <w:tab w:val="left" w:pos="-360"/>
                <w:tab w:val="left" w:pos="25"/>
                <w:tab w:val="left" w:pos="835"/>
                <w:tab w:val="left" w:pos="1825"/>
                <w:tab w:val="left" w:pos="2160"/>
                <w:tab w:val="left" w:pos="2880"/>
                <w:tab w:val="left" w:pos="3330"/>
                <w:tab w:val="left" w:pos="3600"/>
                <w:tab w:val="left" w:pos="4345"/>
              </w:tabs>
              <w:spacing w:before="120"/>
              <w:rPr>
                <w:lang w:val="en-NZ"/>
              </w:rPr>
            </w:pPr>
            <w:r w:rsidRPr="00184BF1">
              <w:rPr>
                <w:b/>
                <w:i/>
                <w:lang w:val="en-NZ"/>
              </w:rPr>
              <w:t>Lipid peroxidation</w:t>
            </w:r>
            <w:r w:rsidRPr="00184BF1">
              <w:rPr>
                <w:lang w:val="en-NZ"/>
              </w:rPr>
              <w:t>: We will measure serum levels of the F2 isoprostane, 8-isoprostane (8-isoprostaglandin F</w:t>
            </w:r>
            <w:r w:rsidRPr="00184BF1">
              <w:rPr>
                <w:vertAlign w:val="subscript"/>
                <w:lang w:val="en-NZ"/>
              </w:rPr>
              <w:t>2a</w:t>
            </w:r>
            <w:r w:rsidRPr="00184BF1">
              <w:rPr>
                <w:lang w:val="en-NZ"/>
              </w:rPr>
              <w:t>), following Winterbourne and co-workers</w:t>
            </w:r>
            <w:r>
              <w:rPr>
                <w:lang w:val="en-NZ"/>
              </w:rPr>
              <w:t xml:space="preserve"> </w:t>
            </w:r>
            <w:r>
              <w:rPr>
                <w:lang w:val="en-NZ"/>
              </w:rPr>
              <w:fldChar w:fldCharType="begin"/>
            </w:r>
            <w:r>
              <w:rPr>
                <w:lang w:val="en-NZ"/>
              </w:rPr>
              <w:instrText xml:space="preserve"> ADDIN EN.CITE &lt;EndNote&gt;&lt;Cite&gt;&lt;Author&gt;Inder&lt;/Author&gt;&lt;Year&gt;2002&lt;/Year&gt;&lt;RecNum&gt;523&lt;/RecNum&gt;&lt;MDL&gt;&lt;REFERENCE_TYPE&gt;0&lt;/REFERENCE_TYPE&gt;&lt;REFNUM&gt;523&lt;/REFNUM&gt;&lt;AUTHORS&gt;&lt;AUTHOR&gt;T. Inder&lt;/AUTHOR&gt;&lt;AUTHOR&gt;T.  Mocatta&lt;/AUTHOR&gt;&lt;AUTHOR&gt;B. Darlow&lt;/AUTHOR&gt;&lt;AUTHOR&gt;C. Spencer&lt;/AUTHOR&gt;&lt;AUTHOR&gt;J.J. Volpe&lt;/AUTHOR&gt;&lt;AUTHOR&gt;C. Winterbourn&lt;/AUTHOR&gt;&lt;/AUTHORS&gt;&lt;YEAR&gt;2002&lt;/YEAR&gt;&lt;TITLE&gt;Elevated free radical products in the cerebrospinal fluid of VLBW infants with cerebral white matter injury.&lt;/TITLE&gt;&lt;SECONDARY_TITLE&gt;Pediatric Research&lt;/SECONDARY_TITLE&gt;&lt;VOLUME&gt;52&lt;/VOLUME&gt;&lt;NUMBER&gt;2&lt;/NUMBER&gt;&lt;PAGES&gt;213-218&lt;/PAGES&gt;&lt;/MDL&gt;&lt;/Cite&gt;&lt;/EndNote&gt;</w:instrText>
            </w:r>
            <w:r>
              <w:rPr>
                <w:lang w:val="en-NZ"/>
              </w:rPr>
              <w:fldChar w:fldCharType="separate"/>
            </w:r>
            <w:r>
              <w:rPr>
                <w:lang w:val="en-NZ"/>
              </w:rPr>
              <w:t>[55]</w:t>
            </w:r>
            <w:r>
              <w:rPr>
                <w:lang w:val="en-NZ"/>
              </w:rPr>
              <w:fldChar w:fldCharType="end"/>
            </w:r>
            <w:r w:rsidRPr="00184BF1">
              <w:rPr>
                <w:lang w:val="en-NZ"/>
              </w:rPr>
              <w:t>.</w:t>
            </w:r>
            <w:r>
              <w:rPr>
                <w:lang w:val="en-NZ"/>
              </w:rPr>
              <w:t xml:space="preserve"> </w:t>
            </w:r>
            <w:r w:rsidRPr="00184BF1">
              <w:rPr>
                <w:lang w:val="en-NZ"/>
              </w:rPr>
              <w:t xml:space="preserve"> Isoprostanes are stable oxidation products of arachidonic acid that are formed specifically as a result of lipid peroxidation, and are considered a highly reliable marker of lipid peroxidation.  We will use the Eliza Kit pr</w:t>
            </w:r>
            <w:r>
              <w:rPr>
                <w:lang w:val="en-NZ"/>
              </w:rPr>
              <w:t>o</w:t>
            </w:r>
            <w:r w:rsidRPr="00184BF1">
              <w:rPr>
                <w:lang w:val="en-NZ"/>
              </w:rPr>
              <w:t xml:space="preserve">vided by Cayman Chemicals, </w:t>
            </w:r>
            <w:smartTag w:uri="urn:schemas-microsoft-com:office:smarttags" w:element="place">
              <w:smartTag w:uri="urn:schemas-microsoft-com:office:smarttags" w:element="City">
                <w:r w:rsidRPr="00184BF1">
                  <w:rPr>
                    <w:lang w:val="en-NZ"/>
                  </w:rPr>
                  <w:t>Ann Arbor</w:t>
                </w:r>
              </w:smartTag>
            </w:smartTag>
            <w:r w:rsidRPr="00184BF1">
              <w:rPr>
                <w:lang w:val="en-NZ"/>
              </w:rPr>
              <w:t xml:space="preserve">. </w:t>
            </w:r>
          </w:p>
          <w:p w:rsidR="000865B2" w:rsidRPr="00184BF1" w:rsidRDefault="000865B2" w:rsidP="004530DC">
            <w:pPr>
              <w:tabs>
                <w:tab w:val="left" w:pos="0"/>
                <w:tab w:val="left" w:pos="348"/>
                <w:tab w:val="left" w:pos="684"/>
                <w:tab w:val="left" w:pos="1440"/>
              </w:tabs>
              <w:autoSpaceDE w:val="0"/>
              <w:autoSpaceDN w:val="0"/>
              <w:adjustRightInd w:val="0"/>
              <w:rPr>
                <w:b/>
                <w:i/>
                <w:lang w:val="en-NZ" w:eastAsia="en-NZ"/>
              </w:rPr>
            </w:pPr>
          </w:p>
          <w:p w:rsidR="000865B2" w:rsidRDefault="000865B2" w:rsidP="004530DC">
            <w:pPr>
              <w:autoSpaceDE w:val="0"/>
              <w:autoSpaceDN w:val="0"/>
              <w:adjustRightInd w:val="0"/>
              <w:rPr>
                <w:lang w:eastAsia="en-NZ"/>
              </w:rPr>
            </w:pPr>
            <w:r w:rsidRPr="00184BF1">
              <w:rPr>
                <w:b/>
                <w:i/>
                <w:lang w:eastAsia="en-NZ"/>
              </w:rPr>
              <w:t>Selenoprotein expression profilin</w:t>
            </w:r>
            <w:r>
              <w:rPr>
                <w:b/>
                <w:i/>
                <w:lang w:eastAsia="en-NZ"/>
              </w:rPr>
              <w:t>g</w:t>
            </w:r>
            <w:r w:rsidRPr="006D2F55">
              <w:rPr>
                <w:i/>
                <w:lang w:eastAsia="en-NZ"/>
              </w:rPr>
              <w:t>:</w:t>
            </w:r>
            <w:r w:rsidRPr="00184BF1">
              <w:rPr>
                <w:b/>
                <w:i/>
                <w:lang w:eastAsia="en-NZ"/>
              </w:rPr>
              <w:t xml:space="preserve"> </w:t>
            </w:r>
            <w:r>
              <w:rPr>
                <w:lang w:eastAsia="en-NZ"/>
              </w:rPr>
              <w:t xml:space="preserve">The combination of gene and protein expression profiling will be a powerful tool for the identification of the mechanism(s) of action of selenoproteins in cancer prevention.  This approach has been used successfully in other studies, for example to identify the pattern of gene and protein expression in peripheral blood cells of rheumatoid arthritis patients </w:t>
            </w:r>
            <w:r>
              <w:rPr>
                <w:lang w:eastAsia="en-NZ"/>
              </w:rPr>
              <w:fldChar w:fldCharType="begin"/>
            </w:r>
            <w:r>
              <w:rPr>
                <w:lang w:eastAsia="en-NZ"/>
              </w:rPr>
              <w:instrText xml:space="preserve"> ADDIN EN.CITE &lt;EndNote&gt;&lt;Cite&gt;&lt;Author&gt;Maas&lt;/Author&gt;&lt;Year&gt;2002&lt;/Year&gt;&lt;RecNum&gt;492&lt;/RecNum&gt;&lt;MDL&gt;&lt;REFERENCE_TYPE&gt;0&lt;/REFERENCE_TYPE&gt;&lt;REFNUM&gt;492&lt;/REFNUM&gt;&lt;AUTHORS&gt;&lt;AUTHOR&gt;K. Maas&lt;/AUTHOR&gt;&lt;AUTHOR&gt;S. Chan&lt;/AUTHOR&gt;&lt;AUTHOR&gt;J. Parker&lt;/AUTHOR&gt;&lt;AUTHOR&gt;A. Slater&lt;/AUTHOR&gt;&lt;AUTHOR&gt;J. Moore&lt;/AUTHOR&gt;&lt;AUTHOR&gt;N. Olsen&lt;/AUTHOR&gt;&lt;AUTHOR&gt;T.M. Aune&lt;/AUTHOR&gt;&lt;/AUTHORS&gt;&lt;YEAR&gt;2002&lt;/YEAR&gt;&lt;TITLE&gt;Cutting edge: molecular portrait of human autoimmune disease.&lt;/TITLE&gt;&lt;SECONDARY_TITLE&gt;Journal of Immunology&lt;/SECONDARY_TITLE&gt;&lt;VOLUME&gt;169&lt;/VOLUME&gt;&lt;NUMBER&gt;1&lt;/NUMBER&gt;&lt;PAGES&gt;5-9&lt;/PAGES&gt;&lt;/MDL&gt;&lt;/Cite&gt;&lt;Cite&gt;&lt;Author&gt;Maas&lt;/Author&gt;&lt;Year&gt;2002&lt;/Year&gt;&lt;RecNum&gt;492&lt;/RecNum&gt;&lt;Suffix&gt;{Dotzlaw, 2004 #493&lt;/Suffix&gt;&lt;MDL&gt;&lt;REFERENCE_TYPE&gt;0&lt;/REFERENCE_TYPE&gt;&lt;REFNUM&gt;492&lt;/REFNUM&gt;&lt;AUTHORS&gt;&lt;AUTHOR&gt;K. Maas&lt;/AUTHOR&gt;&lt;AUTHOR&gt;S. Chan&lt;/AUTHOR&gt;&lt;AUTHOR&gt;J. Parker&lt;/AUTHOR&gt;&lt;AUTHOR&gt;A. Slater&lt;/AUTHOR&gt;&lt;AUTHOR&gt;J. Moore&lt;/AUTHOR&gt;&lt;AUTHOR&gt;N. Olsen&lt;/AUTHOR&gt;&lt;AUTHOR&gt;T.M. Aune&lt;/AUTHOR&gt;&lt;/AUTHORS&gt;&lt;YEAR&gt;2002&lt;/YEAR&gt;&lt;TITLE&gt;Cutting edge: molecular portrait of human autoimmune disease.&lt;/TITLE&gt;&lt;SECONDARY_TITLE&gt;Journal of Immunology&lt;/SECONDARY_TITLE&gt;&lt;VOLUME&gt;169&lt;/VOLUME&gt;&lt;NUMBER&gt;1&lt;/NUMBER&gt;&lt;PAGES&gt;5-9&lt;/PAGES&gt;&lt;/MDL&gt;&lt;/Cite&gt;&lt;Cite&gt;&lt;Author&gt;Dotzlaw&lt;/Author&gt;&lt;Year&gt;2004&lt;/Year&gt;&lt;RecNum&gt;493&lt;/RecNum&gt;&lt;MDL&gt;&lt;REFERENCE_TYPE&gt;0&lt;/REFERENCE_TYPE&gt;&lt;REFNUM&gt;493&lt;/REFNUM&gt;&lt;AUTHORS&gt;&lt;AUTHOR&gt;H. Dotzlaw&lt;/AUTHOR&gt;&lt;AUTHOR&gt;M. Schulz&lt;/AUTHOR&gt;&lt;AUTHOR&gt;M. Eggert&lt;/AUTHOR&gt;&lt;AUTHOR&gt;G. Neeck&lt;/AUTHOR&gt;&lt;/AUTHORS&gt;&lt;YEAR&gt;2004&lt;/YEAR&gt;&lt;TITLE&gt;A pattern of protein expression in peripheral blood mononuclear cells distinguishes rheumatoid arthritis patients from healthy individuals.&lt;/TITLE&gt;&lt;SECONDARY_TITLE&gt;Biochimica et Biophysica Acta, Proteins and Proteomics&lt;/SECONDARY_TITLE&gt;&lt;VOLUME&gt;1696&lt;/VOLUME&gt;&lt;NUMBER&gt;1&lt;/NUMBER&gt;&lt;PAGES&gt;121-129&lt;/PAGES&gt;&lt;/MDL&gt;&lt;/Cite&gt;&lt;/EndNote&gt;</w:instrText>
            </w:r>
            <w:r>
              <w:rPr>
                <w:lang w:eastAsia="en-NZ"/>
              </w:rPr>
              <w:fldChar w:fldCharType="separate"/>
            </w:r>
            <w:r>
              <w:rPr>
                <w:lang w:eastAsia="en-NZ"/>
              </w:rPr>
              <w:t>[56, 57]</w:t>
            </w:r>
            <w:r>
              <w:rPr>
                <w:lang w:eastAsia="en-NZ"/>
              </w:rPr>
              <w:fldChar w:fldCharType="end"/>
            </w:r>
            <w:r>
              <w:rPr>
                <w:lang w:eastAsia="en-NZ"/>
              </w:rPr>
              <w:t>.  The novel pathways associated with selenoprotein activity will be the target for further SNP analysis on blood WBC DNA in future studies.</w:t>
            </w:r>
          </w:p>
          <w:p w:rsidR="000865B2" w:rsidRPr="006D5708" w:rsidRDefault="000865B2" w:rsidP="004530DC">
            <w:pPr>
              <w:autoSpaceDE w:val="0"/>
              <w:autoSpaceDN w:val="0"/>
              <w:adjustRightInd w:val="0"/>
              <w:ind w:firstLine="720"/>
              <w:rPr>
                <w:lang w:eastAsia="en-NZ"/>
              </w:rPr>
            </w:pPr>
            <w:r>
              <w:rPr>
                <w:lang w:eastAsia="en-NZ"/>
              </w:rPr>
              <w:t xml:space="preserve"> RNA will be pooled from 20 subjects carrying the GPX1 CC variant, 20 with the CT variant and 20 with the TT variant, before and after Se supplementation.  It will be hybridised for transcript profiling using Agilent full genome oligonucleotide arrays, to identify genes and/or signalling pathways where Se and selenoprotein metabolism is altered in a manner that correlates with phenotypic measures of cancer risk.  Pooled extracted proteins (from the same blood samples used to prepare RNA) will be used for two-dimensional protein gels.  Differentially expressed proteins on these gels will be trypsin-digested, and the resulting proteolytic fragments identified using MALDI-TOF and other MS methodologies </w:t>
            </w:r>
            <w:r>
              <w:rPr>
                <w:lang w:eastAsia="en-NZ"/>
              </w:rPr>
              <w:fldChar w:fldCharType="begin"/>
            </w:r>
            <w:r>
              <w:rPr>
                <w:lang w:eastAsia="en-NZ"/>
              </w:rPr>
              <w:instrText xml:space="preserve"> ADDIN EN.CITE &lt;EndNote&gt;&lt;Cite&gt;&lt;Author&gt;Dotzlaw&lt;/Author&gt;&lt;Year&gt;2004&lt;/Year&gt;&lt;RecNum&gt;493&lt;/RecNum&gt;&lt;MDL&gt;&lt;REFERENCE_TYPE&gt;0&lt;/REFERENCE_TYPE&gt;&lt;REFNUM&gt;493&lt;/REFNUM&gt;&lt;AUTHORS&gt;&lt;AUTHOR&gt;H. Dotzlaw&lt;/AUTHOR&gt;&lt;AUTHOR&gt;M. Schulz&lt;/AUTHOR&gt;&lt;AUTHOR&gt;M. Eggert&lt;/AUTHOR&gt;&lt;AUTHOR&gt;G. Neeck&lt;/AUTHOR&gt;&lt;/AUTHORS&gt;&lt;YEAR&gt;2004&lt;/YEAR&gt;&lt;TITLE&gt;A pattern of protein expression in peripheral blood mononuclear cells distinguishes rheumatoid arthritis patients from healthy individuals.&lt;/TITLE&gt;&lt;SECONDARY_TITLE&gt;Biochimica et Biophysica Acta, Proteins and Proteomics&lt;/SECONDARY_TITLE&gt;&lt;VOLUME&gt;1696&lt;/VOLUME&gt;&lt;NUMBER&gt;1&lt;/NUMBER&gt;&lt;PAGES&gt;121-129&lt;/PAGES&gt;&lt;/MDL&gt;&lt;/Cite&gt;&lt;/EndNote&gt;</w:instrText>
            </w:r>
            <w:r>
              <w:rPr>
                <w:lang w:eastAsia="en-NZ"/>
              </w:rPr>
              <w:fldChar w:fldCharType="separate"/>
            </w:r>
            <w:r>
              <w:rPr>
                <w:lang w:eastAsia="en-NZ"/>
              </w:rPr>
              <w:t>[57]</w:t>
            </w:r>
            <w:r>
              <w:rPr>
                <w:lang w:eastAsia="en-NZ"/>
              </w:rPr>
              <w:fldChar w:fldCharType="end"/>
            </w:r>
            <w:r>
              <w:rPr>
                <w:lang w:eastAsia="en-NZ"/>
              </w:rPr>
              <w:t>.</w:t>
            </w:r>
          </w:p>
          <w:p w:rsidR="000865B2" w:rsidRDefault="000865B2" w:rsidP="004530DC">
            <w:pPr>
              <w:rPr>
                <w:lang w:val="en-GB" w:eastAsia="en-NZ"/>
              </w:rPr>
            </w:pPr>
          </w:p>
          <w:p w:rsidR="000865B2" w:rsidRDefault="000865B2" w:rsidP="004530DC">
            <w:pPr>
              <w:rPr>
                <w:lang w:val="en-GB" w:eastAsia="en-NZ"/>
              </w:rPr>
            </w:pPr>
          </w:p>
          <w:p w:rsidR="000865B2" w:rsidRPr="000130BD" w:rsidRDefault="000865B2" w:rsidP="004530DC">
            <w:pPr>
              <w:rPr>
                <w:lang w:val="en-GB" w:eastAsia="en-NZ"/>
              </w:rPr>
            </w:pPr>
          </w:p>
          <w:p w:rsidR="000865B2" w:rsidRPr="002249F4" w:rsidRDefault="000865B2" w:rsidP="004530DC">
            <w:pPr>
              <w:rPr>
                <w:lang w:val="en-US" w:eastAsia="en-NZ"/>
              </w:rPr>
            </w:pPr>
            <w:r>
              <w:rPr>
                <w:lang w:val="en-US" w:eastAsia="en-NZ"/>
              </w:rPr>
              <w:t>Table 2: Proposed samples, analyses and time scheduling</w:t>
            </w:r>
          </w:p>
          <w:tbl>
            <w:tblPr>
              <w:tblStyle w:val="TableGrid"/>
              <w:tblW w:w="0" w:type="auto"/>
              <w:tblLayout w:type="fixed"/>
              <w:tblLook w:val="01E0" w:firstRow="1" w:lastRow="1" w:firstColumn="1" w:lastColumn="1" w:noHBand="0" w:noVBand="0"/>
            </w:tblPr>
            <w:tblGrid>
              <w:gridCol w:w="804"/>
              <w:gridCol w:w="1121"/>
              <w:gridCol w:w="2422"/>
              <w:gridCol w:w="1812"/>
              <w:gridCol w:w="899"/>
              <w:gridCol w:w="899"/>
              <w:gridCol w:w="899"/>
            </w:tblGrid>
            <w:tr w:rsidR="000865B2" w:rsidTr="004530DC">
              <w:trPr>
                <w:trHeight w:val="278"/>
              </w:trPr>
              <w:tc>
                <w:tcPr>
                  <w:tcW w:w="1925" w:type="dxa"/>
                  <w:gridSpan w:val="2"/>
                  <w:shd w:val="clear" w:color="auto" w:fill="auto"/>
                </w:tcPr>
                <w:p w:rsidR="000865B2" w:rsidRDefault="000865B2" w:rsidP="004530DC">
                  <w:pPr>
                    <w:rPr>
                      <w:b/>
                      <w:lang w:val="en-US"/>
                    </w:rPr>
                  </w:pPr>
                  <w:r>
                    <w:rPr>
                      <w:b/>
                      <w:lang w:val="en-US"/>
                    </w:rPr>
                    <w:t>Subjects</w:t>
                  </w:r>
                </w:p>
              </w:tc>
              <w:tc>
                <w:tcPr>
                  <w:tcW w:w="2350" w:type="dxa"/>
                  <w:vMerge w:val="restart"/>
                </w:tcPr>
                <w:p w:rsidR="000865B2" w:rsidRDefault="000865B2" w:rsidP="004530DC">
                  <w:pPr>
                    <w:rPr>
                      <w:b/>
                      <w:lang w:val="en-US"/>
                    </w:rPr>
                  </w:pPr>
                  <w:r>
                    <w:rPr>
                      <w:b/>
                      <w:lang w:val="en-US"/>
                    </w:rPr>
                    <w:t xml:space="preserve">Assessment </w:t>
                  </w:r>
                </w:p>
                <w:p w:rsidR="000865B2" w:rsidRDefault="000865B2" w:rsidP="004530DC">
                  <w:pPr>
                    <w:rPr>
                      <w:lang w:val="en-NZ"/>
                    </w:rPr>
                  </w:pPr>
                  <w:r>
                    <w:rPr>
                      <w:b/>
                      <w:lang w:val="en-US"/>
                    </w:rPr>
                    <w:t>or sample</w:t>
                  </w:r>
                </w:p>
              </w:tc>
              <w:tc>
                <w:tcPr>
                  <w:tcW w:w="1812" w:type="dxa"/>
                  <w:vMerge w:val="restart"/>
                </w:tcPr>
                <w:p w:rsidR="000865B2" w:rsidRDefault="000865B2" w:rsidP="004530DC">
                  <w:pPr>
                    <w:rPr>
                      <w:b/>
                      <w:lang w:val="en-US"/>
                    </w:rPr>
                  </w:pPr>
                  <w:r>
                    <w:rPr>
                      <w:b/>
                      <w:lang w:val="en-US"/>
                    </w:rPr>
                    <w:t>Analysis</w:t>
                  </w:r>
                </w:p>
              </w:tc>
              <w:tc>
                <w:tcPr>
                  <w:tcW w:w="899" w:type="dxa"/>
                  <w:vMerge w:val="restart"/>
                </w:tcPr>
                <w:p w:rsidR="000865B2" w:rsidRDefault="000865B2" w:rsidP="004530DC">
                  <w:pPr>
                    <w:rPr>
                      <w:b/>
                      <w:lang w:val="en-US"/>
                    </w:rPr>
                  </w:pPr>
                  <w:r>
                    <w:rPr>
                      <w:b/>
                      <w:lang w:val="en-US"/>
                    </w:rPr>
                    <w:t>Visit 1</w:t>
                  </w:r>
                </w:p>
              </w:tc>
              <w:tc>
                <w:tcPr>
                  <w:tcW w:w="899" w:type="dxa"/>
                  <w:vMerge w:val="restart"/>
                </w:tcPr>
                <w:p w:rsidR="000865B2" w:rsidRDefault="000865B2" w:rsidP="004530DC">
                  <w:pPr>
                    <w:rPr>
                      <w:b/>
                      <w:lang w:val="en-US"/>
                    </w:rPr>
                  </w:pPr>
                  <w:r>
                    <w:rPr>
                      <w:b/>
                      <w:lang w:val="en-US"/>
                    </w:rPr>
                    <w:t>Visit 2</w:t>
                  </w:r>
                </w:p>
              </w:tc>
              <w:tc>
                <w:tcPr>
                  <w:tcW w:w="899" w:type="dxa"/>
                  <w:vMerge w:val="restart"/>
                </w:tcPr>
                <w:p w:rsidR="000865B2" w:rsidRDefault="000865B2" w:rsidP="004530DC">
                  <w:pPr>
                    <w:rPr>
                      <w:b/>
                      <w:lang w:val="en-US"/>
                    </w:rPr>
                  </w:pPr>
                  <w:r>
                    <w:rPr>
                      <w:b/>
                      <w:lang w:val="en-US"/>
                    </w:rPr>
                    <w:t>Visit 3</w:t>
                  </w:r>
                </w:p>
              </w:tc>
            </w:tr>
            <w:tr w:rsidR="000865B2" w:rsidTr="004530DC">
              <w:trPr>
                <w:trHeight w:val="277"/>
              </w:trPr>
              <w:tc>
                <w:tcPr>
                  <w:tcW w:w="804" w:type="dxa"/>
                  <w:shd w:val="clear" w:color="auto" w:fill="auto"/>
                </w:tcPr>
                <w:p w:rsidR="000865B2" w:rsidRDefault="000865B2" w:rsidP="004530DC">
                  <w:pPr>
                    <w:rPr>
                      <w:b/>
                      <w:lang w:val="en-US"/>
                    </w:rPr>
                  </w:pPr>
                  <w:r>
                    <w:rPr>
                      <w:b/>
                      <w:lang w:val="en-US"/>
                    </w:rPr>
                    <w:t>All</w:t>
                  </w:r>
                </w:p>
              </w:tc>
              <w:tc>
                <w:tcPr>
                  <w:tcW w:w="1121" w:type="dxa"/>
                </w:tcPr>
                <w:p w:rsidR="000865B2" w:rsidRDefault="000865B2" w:rsidP="004530DC">
                  <w:pPr>
                    <w:rPr>
                      <w:b/>
                      <w:lang w:val="en-US"/>
                    </w:rPr>
                  </w:pPr>
                  <w:r>
                    <w:rPr>
                      <w:b/>
                      <w:lang w:val="en-US"/>
                    </w:rPr>
                    <w:t>Selected</w:t>
                  </w:r>
                </w:p>
              </w:tc>
              <w:tc>
                <w:tcPr>
                  <w:tcW w:w="2422" w:type="dxa"/>
                  <w:vMerge/>
                </w:tcPr>
                <w:p w:rsidR="000865B2" w:rsidRDefault="000865B2" w:rsidP="004530DC">
                  <w:pPr>
                    <w:rPr>
                      <w:b/>
                      <w:lang w:val="en-US"/>
                    </w:rPr>
                  </w:pPr>
                </w:p>
              </w:tc>
              <w:tc>
                <w:tcPr>
                  <w:tcW w:w="1812" w:type="dxa"/>
                  <w:vMerge/>
                </w:tcPr>
                <w:p w:rsidR="000865B2" w:rsidRDefault="000865B2" w:rsidP="004530DC">
                  <w:pPr>
                    <w:rPr>
                      <w:b/>
                      <w:lang w:val="en-US"/>
                    </w:rPr>
                  </w:pPr>
                </w:p>
              </w:tc>
              <w:tc>
                <w:tcPr>
                  <w:tcW w:w="899" w:type="dxa"/>
                  <w:vMerge/>
                </w:tcPr>
                <w:p w:rsidR="000865B2" w:rsidRDefault="000865B2" w:rsidP="004530DC">
                  <w:pPr>
                    <w:rPr>
                      <w:b/>
                      <w:lang w:val="en-US"/>
                    </w:rPr>
                  </w:pPr>
                </w:p>
              </w:tc>
              <w:tc>
                <w:tcPr>
                  <w:tcW w:w="899" w:type="dxa"/>
                  <w:vMerge/>
                </w:tcPr>
                <w:p w:rsidR="000865B2" w:rsidRDefault="000865B2" w:rsidP="004530DC">
                  <w:pPr>
                    <w:rPr>
                      <w:b/>
                      <w:lang w:val="en-US"/>
                    </w:rPr>
                  </w:pPr>
                </w:p>
              </w:tc>
              <w:tc>
                <w:tcPr>
                  <w:tcW w:w="899" w:type="dxa"/>
                  <w:vMerge/>
                </w:tcPr>
                <w:p w:rsidR="000865B2" w:rsidRDefault="000865B2" w:rsidP="004530DC">
                  <w:pPr>
                    <w:rPr>
                      <w:b/>
                      <w:lang w:val="en-US"/>
                    </w:rPr>
                  </w:pPr>
                </w:p>
              </w:tc>
            </w:tr>
            <w:tr w:rsidR="000865B2" w:rsidTr="004530DC">
              <w:tc>
                <w:tcPr>
                  <w:tcW w:w="804" w:type="dxa"/>
                </w:tcPr>
                <w:p w:rsidR="000865B2" w:rsidRDefault="000865B2" w:rsidP="004530DC">
                  <w:pPr>
                    <w:rPr>
                      <w:b/>
                      <w:lang w:val="en-US"/>
                    </w:rPr>
                  </w:pPr>
                  <w:r w:rsidRPr="00F16229">
                    <w:rPr>
                      <w:lang w:val="en-NZ"/>
                    </w:rPr>
                    <w:sym w:font="Wingdings" w:char="F0FC"/>
                  </w:r>
                </w:p>
              </w:tc>
              <w:tc>
                <w:tcPr>
                  <w:tcW w:w="1121" w:type="dxa"/>
                </w:tcPr>
                <w:p w:rsidR="000865B2" w:rsidRDefault="000865B2" w:rsidP="004530DC">
                  <w:pPr>
                    <w:rPr>
                      <w:b/>
                      <w:lang w:val="en-US"/>
                    </w:rPr>
                  </w:pPr>
                </w:p>
              </w:tc>
              <w:tc>
                <w:tcPr>
                  <w:tcW w:w="2422" w:type="dxa"/>
                </w:tcPr>
                <w:p w:rsidR="000865B2" w:rsidRDefault="000865B2" w:rsidP="004530DC">
                  <w:pPr>
                    <w:rPr>
                      <w:b/>
                      <w:lang w:val="en-US"/>
                    </w:rPr>
                  </w:pPr>
                  <w:r>
                    <w:rPr>
                      <w:lang w:val="en-NZ"/>
                    </w:rPr>
                    <w:t>Current health</w:t>
                  </w:r>
                </w:p>
              </w:tc>
              <w:tc>
                <w:tcPr>
                  <w:tcW w:w="1812" w:type="dxa"/>
                </w:tcPr>
                <w:p w:rsidR="000865B2" w:rsidRDefault="000865B2" w:rsidP="004530DC">
                  <w:pPr>
                    <w:rPr>
                      <w:b/>
                      <w:lang w:val="en-US"/>
                    </w:rPr>
                  </w:pP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p>
              </w:tc>
              <w:tc>
                <w:tcPr>
                  <w:tcW w:w="899" w:type="dxa"/>
                </w:tcPr>
                <w:p w:rsidR="000865B2" w:rsidRDefault="000865B2" w:rsidP="004530DC">
                  <w:pPr>
                    <w:rPr>
                      <w:b/>
                      <w:lang w:val="en-US"/>
                    </w:rPr>
                  </w:pPr>
                </w:p>
              </w:tc>
            </w:tr>
            <w:tr w:rsidR="000865B2" w:rsidTr="004530DC">
              <w:tc>
                <w:tcPr>
                  <w:tcW w:w="804" w:type="dxa"/>
                </w:tcPr>
                <w:p w:rsidR="000865B2" w:rsidRDefault="000865B2" w:rsidP="004530DC">
                  <w:pPr>
                    <w:rPr>
                      <w:b/>
                      <w:lang w:val="en-US"/>
                    </w:rPr>
                  </w:pPr>
                  <w:r w:rsidRPr="00F16229">
                    <w:rPr>
                      <w:lang w:val="en-NZ"/>
                    </w:rPr>
                    <w:sym w:font="Wingdings" w:char="F0FC"/>
                  </w:r>
                </w:p>
              </w:tc>
              <w:tc>
                <w:tcPr>
                  <w:tcW w:w="1121" w:type="dxa"/>
                </w:tcPr>
                <w:p w:rsidR="000865B2" w:rsidRDefault="000865B2" w:rsidP="004530DC">
                  <w:pPr>
                    <w:rPr>
                      <w:b/>
                      <w:lang w:val="en-US"/>
                    </w:rPr>
                  </w:pPr>
                </w:p>
              </w:tc>
              <w:tc>
                <w:tcPr>
                  <w:tcW w:w="2422" w:type="dxa"/>
                </w:tcPr>
                <w:p w:rsidR="000865B2" w:rsidRDefault="000865B2" w:rsidP="004530DC">
                  <w:pPr>
                    <w:rPr>
                      <w:b/>
                      <w:lang w:val="en-US"/>
                    </w:rPr>
                  </w:pPr>
                  <w:r w:rsidRPr="00F16229">
                    <w:rPr>
                      <w:lang w:val="en-NZ"/>
                    </w:rPr>
                    <w:t>Medical history</w:t>
                  </w:r>
                  <w:r>
                    <w:rPr>
                      <w:lang w:val="en-NZ"/>
                    </w:rPr>
                    <w:t xml:space="preserve"> </w:t>
                  </w:r>
                </w:p>
              </w:tc>
              <w:tc>
                <w:tcPr>
                  <w:tcW w:w="1812" w:type="dxa"/>
                </w:tcPr>
                <w:p w:rsidR="000865B2" w:rsidRDefault="000865B2" w:rsidP="004530DC">
                  <w:pPr>
                    <w:rPr>
                      <w:b/>
                      <w:lang w:val="en-US"/>
                    </w:rPr>
                  </w:pP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p>
              </w:tc>
              <w:tc>
                <w:tcPr>
                  <w:tcW w:w="899" w:type="dxa"/>
                </w:tcPr>
                <w:p w:rsidR="000865B2" w:rsidRDefault="000865B2" w:rsidP="004530DC">
                  <w:pPr>
                    <w:rPr>
                      <w:b/>
                      <w:lang w:val="en-US"/>
                    </w:rPr>
                  </w:pPr>
                </w:p>
              </w:tc>
            </w:tr>
            <w:tr w:rsidR="000865B2" w:rsidTr="004530DC">
              <w:tc>
                <w:tcPr>
                  <w:tcW w:w="804" w:type="dxa"/>
                </w:tcPr>
                <w:p w:rsidR="000865B2" w:rsidRDefault="000865B2" w:rsidP="004530DC">
                  <w:pPr>
                    <w:rPr>
                      <w:b/>
                      <w:lang w:val="en-US"/>
                    </w:rPr>
                  </w:pPr>
                  <w:r w:rsidRPr="00F16229">
                    <w:rPr>
                      <w:lang w:val="en-NZ"/>
                    </w:rPr>
                    <w:sym w:font="Wingdings" w:char="F0FC"/>
                  </w:r>
                </w:p>
              </w:tc>
              <w:tc>
                <w:tcPr>
                  <w:tcW w:w="1121" w:type="dxa"/>
                </w:tcPr>
                <w:p w:rsidR="000865B2" w:rsidRDefault="000865B2" w:rsidP="004530DC">
                  <w:pPr>
                    <w:rPr>
                      <w:b/>
                      <w:lang w:val="en-US"/>
                    </w:rPr>
                  </w:pPr>
                </w:p>
              </w:tc>
              <w:tc>
                <w:tcPr>
                  <w:tcW w:w="2422" w:type="dxa"/>
                </w:tcPr>
                <w:p w:rsidR="000865B2" w:rsidRDefault="000865B2" w:rsidP="004530DC">
                  <w:pPr>
                    <w:rPr>
                      <w:b/>
                      <w:lang w:val="en-US"/>
                    </w:rPr>
                  </w:pPr>
                  <w:r>
                    <w:rPr>
                      <w:lang w:val="en-NZ"/>
                    </w:rPr>
                    <w:t>Lifestyle questionnaire</w:t>
                  </w:r>
                </w:p>
              </w:tc>
              <w:tc>
                <w:tcPr>
                  <w:tcW w:w="1812" w:type="dxa"/>
                </w:tcPr>
                <w:p w:rsidR="000865B2" w:rsidRDefault="000865B2" w:rsidP="004530DC">
                  <w:pPr>
                    <w:rPr>
                      <w:b/>
                      <w:lang w:val="en-US"/>
                    </w:rPr>
                  </w:pP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p>
              </w:tc>
              <w:tc>
                <w:tcPr>
                  <w:tcW w:w="899" w:type="dxa"/>
                </w:tcPr>
                <w:p w:rsidR="000865B2" w:rsidRDefault="000865B2" w:rsidP="004530DC">
                  <w:pPr>
                    <w:rPr>
                      <w:b/>
                      <w:lang w:val="en-US"/>
                    </w:rPr>
                  </w:pPr>
                </w:p>
              </w:tc>
            </w:tr>
            <w:tr w:rsidR="000865B2" w:rsidTr="004530DC">
              <w:trPr>
                <w:trHeight w:val="451"/>
              </w:trPr>
              <w:tc>
                <w:tcPr>
                  <w:tcW w:w="804" w:type="dxa"/>
                </w:tcPr>
                <w:p w:rsidR="000865B2" w:rsidRDefault="000865B2" w:rsidP="004530DC">
                  <w:pPr>
                    <w:rPr>
                      <w:b/>
                      <w:lang w:val="en-US"/>
                    </w:rPr>
                  </w:pPr>
                  <w:r w:rsidRPr="00F16229">
                    <w:rPr>
                      <w:lang w:val="en-NZ"/>
                    </w:rPr>
                    <w:sym w:font="Wingdings" w:char="F0FC"/>
                  </w:r>
                </w:p>
              </w:tc>
              <w:tc>
                <w:tcPr>
                  <w:tcW w:w="1121" w:type="dxa"/>
                </w:tcPr>
                <w:p w:rsidR="000865B2" w:rsidRDefault="000865B2" w:rsidP="004530DC">
                  <w:pPr>
                    <w:rPr>
                      <w:b/>
                      <w:lang w:val="en-US"/>
                    </w:rPr>
                  </w:pPr>
                </w:p>
              </w:tc>
              <w:tc>
                <w:tcPr>
                  <w:tcW w:w="2422" w:type="dxa"/>
                </w:tcPr>
                <w:p w:rsidR="000865B2" w:rsidRDefault="000865B2" w:rsidP="004530DC">
                  <w:pPr>
                    <w:rPr>
                      <w:b/>
                      <w:lang w:val="en-US"/>
                    </w:rPr>
                  </w:pPr>
                  <w:r>
                    <w:rPr>
                      <w:lang w:val="en-NZ"/>
                    </w:rPr>
                    <w:t>Dietary questionnaire</w:t>
                  </w:r>
                </w:p>
              </w:tc>
              <w:tc>
                <w:tcPr>
                  <w:tcW w:w="1812" w:type="dxa"/>
                </w:tcPr>
                <w:p w:rsidR="000865B2" w:rsidRDefault="000865B2" w:rsidP="004530DC">
                  <w:pPr>
                    <w:rPr>
                      <w:b/>
                      <w:lang w:val="en-US"/>
                    </w:rPr>
                  </w:pP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p>
              </w:tc>
              <w:tc>
                <w:tcPr>
                  <w:tcW w:w="899" w:type="dxa"/>
                </w:tcPr>
                <w:p w:rsidR="000865B2" w:rsidRDefault="000865B2" w:rsidP="004530DC">
                  <w:pPr>
                    <w:rPr>
                      <w:b/>
                      <w:lang w:val="en-US"/>
                    </w:rPr>
                  </w:pPr>
                </w:p>
              </w:tc>
            </w:tr>
            <w:tr w:rsidR="000865B2" w:rsidTr="004530DC">
              <w:tc>
                <w:tcPr>
                  <w:tcW w:w="804" w:type="dxa"/>
                </w:tcPr>
                <w:p w:rsidR="000865B2" w:rsidRDefault="000865B2" w:rsidP="004530DC">
                  <w:pPr>
                    <w:rPr>
                      <w:b/>
                      <w:lang w:val="en-US"/>
                    </w:rPr>
                  </w:pPr>
                  <w:r w:rsidRPr="00F16229">
                    <w:rPr>
                      <w:lang w:val="en-NZ"/>
                    </w:rPr>
                    <w:sym w:font="Wingdings" w:char="F0FC"/>
                  </w:r>
                </w:p>
              </w:tc>
              <w:tc>
                <w:tcPr>
                  <w:tcW w:w="1121" w:type="dxa"/>
                </w:tcPr>
                <w:p w:rsidR="000865B2" w:rsidRDefault="000865B2" w:rsidP="004530DC">
                  <w:pPr>
                    <w:rPr>
                      <w:b/>
                      <w:lang w:val="en-US"/>
                    </w:rPr>
                  </w:pPr>
                </w:p>
              </w:tc>
              <w:tc>
                <w:tcPr>
                  <w:tcW w:w="2422" w:type="dxa"/>
                </w:tcPr>
                <w:p w:rsidR="000865B2" w:rsidRDefault="000865B2" w:rsidP="004530DC">
                  <w:pPr>
                    <w:rPr>
                      <w:b/>
                      <w:lang w:val="en-US"/>
                    </w:rPr>
                  </w:pPr>
                  <w:r>
                    <w:rPr>
                      <w:lang w:val="en-NZ"/>
                    </w:rPr>
                    <w:t>Blood</w:t>
                  </w:r>
                </w:p>
              </w:tc>
              <w:tc>
                <w:tcPr>
                  <w:tcW w:w="1812" w:type="dxa"/>
                </w:tcPr>
                <w:p w:rsidR="000865B2" w:rsidRDefault="000865B2" w:rsidP="004530DC">
                  <w:pPr>
                    <w:rPr>
                      <w:b/>
                      <w:lang w:val="en-US"/>
                    </w:rPr>
                  </w:pP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r w:rsidRPr="00F16229">
                    <w:rPr>
                      <w:lang w:val="en-NZ"/>
                    </w:rPr>
                    <w:sym w:font="Wingdings" w:char="F0FC"/>
                  </w:r>
                </w:p>
              </w:tc>
            </w:tr>
            <w:tr w:rsidR="000865B2" w:rsidTr="004530DC">
              <w:tc>
                <w:tcPr>
                  <w:tcW w:w="804" w:type="dxa"/>
                </w:tcPr>
                <w:p w:rsidR="000865B2" w:rsidRDefault="000865B2" w:rsidP="004530DC">
                  <w:pPr>
                    <w:rPr>
                      <w:b/>
                      <w:lang w:val="en-US"/>
                    </w:rPr>
                  </w:pPr>
                  <w:r w:rsidRPr="00F16229">
                    <w:rPr>
                      <w:lang w:val="en-NZ"/>
                    </w:rPr>
                    <w:sym w:font="Wingdings" w:char="F0FC"/>
                  </w:r>
                </w:p>
              </w:tc>
              <w:tc>
                <w:tcPr>
                  <w:tcW w:w="1121" w:type="dxa"/>
                </w:tcPr>
                <w:p w:rsidR="000865B2" w:rsidRDefault="000865B2" w:rsidP="004530DC">
                  <w:pPr>
                    <w:rPr>
                      <w:b/>
                      <w:lang w:val="en-US"/>
                    </w:rPr>
                  </w:pPr>
                </w:p>
              </w:tc>
              <w:tc>
                <w:tcPr>
                  <w:tcW w:w="2422" w:type="dxa"/>
                </w:tcPr>
                <w:p w:rsidR="000865B2" w:rsidRDefault="000865B2" w:rsidP="004530DC">
                  <w:pPr>
                    <w:rPr>
                      <w:b/>
                      <w:lang w:val="en-US"/>
                    </w:rPr>
                  </w:pPr>
                  <w:r>
                    <w:rPr>
                      <w:lang w:val="en-NZ"/>
                    </w:rPr>
                    <w:t>WBC-DNA</w:t>
                  </w:r>
                </w:p>
              </w:tc>
              <w:tc>
                <w:tcPr>
                  <w:tcW w:w="1812" w:type="dxa"/>
                </w:tcPr>
                <w:p w:rsidR="000865B2" w:rsidRDefault="000865B2" w:rsidP="004530DC">
                  <w:pPr>
                    <w:rPr>
                      <w:b/>
                      <w:lang w:val="en-US"/>
                    </w:rPr>
                  </w:pPr>
                  <w:r>
                    <w:rPr>
                      <w:lang w:val="en-NZ"/>
                    </w:rPr>
                    <w:t>SNPs (table 1)</w:t>
                  </w: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p>
              </w:tc>
              <w:tc>
                <w:tcPr>
                  <w:tcW w:w="899" w:type="dxa"/>
                </w:tcPr>
                <w:p w:rsidR="000865B2" w:rsidRDefault="000865B2" w:rsidP="004530DC">
                  <w:pPr>
                    <w:rPr>
                      <w:b/>
                      <w:lang w:val="en-US"/>
                    </w:rPr>
                  </w:pPr>
                </w:p>
              </w:tc>
            </w:tr>
            <w:tr w:rsidR="000865B2" w:rsidTr="004530DC">
              <w:tc>
                <w:tcPr>
                  <w:tcW w:w="804" w:type="dxa"/>
                </w:tcPr>
                <w:p w:rsidR="000865B2" w:rsidRDefault="000865B2" w:rsidP="004530DC">
                  <w:pPr>
                    <w:rPr>
                      <w:b/>
                      <w:lang w:val="en-US"/>
                    </w:rPr>
                  </w:pPr>
                  <w:r w:rsidRPr="00F16229">
                    <w:rPr>
                      <w:lang w:val="en-NZ"/>
                    </w:rPr>
                    <w:sym w:font="Wingdings" w:char="F0FC"/>
                  </w:r>
                </w:p>
              </w:tc>
              <w:tc>
                <w:tcPr>
                  <w:tcW w:w="1121" w:type="dxa"/>
                </w:tcPr>
                <w:p w:rsidR="000865B2" w:rsidRDefault="000865B2" w:rsidP="004530DC">
                  <w:pPr>
                    <w:rPr>
                      <w:b/>
                      <w:lang w:val="en-US"/>
                    </w:rPr>
                  </w:pPr>
                </w:p>
              </w:tc>
              <w:tc>
                <w:tcPr>
                  <w:tcW w:w="2422" w:type="dxa"/>
                </w:tcPr>
                <w:p w:rsidR="000865B2" w:rsidRDefault="000865B2" w:rsidP="004530DC">
                  <w:pPr>
                    <w:rPr>
                      <w:b/>
                      <w:lang w:val="en-US"/>
                    </w:rPr>
                  </w:pPr>
                </w:p>
              </w:tc>
              <w:tc>
                <w:tcPr>
                  <w:tcW w:w="1812" w:type="dxa"/>
                </w:tcPr>
                <w:p w:rsidR="000865B2" w:rsidRDefault="000865B2" w:rsidP="004530DC">
                  <w:pPr>
                    <w:rPr>
                      <w:b/>
                      <w:lang w:val="en-US"/>
                    </w:rPr>
                  </w:pPr>
                  <w:r>
                    <w:rPr>
                      <w:lang w:val="en-NZ"/>
                    </w:rPr>
                    <w:t>COMET assay (Std)</w:t>
                  </w:r>
                </w:p>
              </w:tc>
              <w:tc>
                <w:tcPr>
                  <w:tcW w:w="899" w:type="dxa"/>
                </w:tcPr>
                <w:p w:rsidR="000865B2" w:rsidRDefault="000865B2" w:rsidP="004530DC">
                  <w:pPr>
                    <w:rPr>
                      <w:b/>
                      <w:lang w:val="en-US"/>
                    </w:rPr>
                  </w:pP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r w:rsidRPr="00F16229">
                    <w:rPr>
                      <w:lang w:val="en-NZ"/>
                    </w:rPr>
                    <w:sym w:font="Wingdings" w:char="F0FC"/>
                  </w:r>
                </w:p>
              </w:tc>
            </w:tr>
            <w:tr w:rsidR="000865B2" w:rsidTr="004530DC">
              <w:tc>
                <w:tcPr>
                  <w:tcW w:w="804" w:type="dxa"/>
                </w:tcPr>
                <w:p w:rsidR="000865B2" w:rsidRDefault="000865B2" w:rsidP="004530DC">
                  <w:pPr>
                    <w:rPr>
                      <w:b/>
                      <w:lang w:val="en-US"/>
                    </w:rPr>
                  </w:pPr>
                  <w:r w:rsidRPr="00F16229">
                    <w:rPr>
                      <w:lang w:val="en-NZ"/>
                    </w:rPr>
                    <w:lastRenderedPageBreak/>
                    <w:sym w:font="Wingdings" w:char="F0FC"/>
                  </w:r>
                </w:p>
              </w:tc>
              <w:tc>
                <w:tcPr>
                  <w:tcW w:w="1121" w:type="dxa"/>
                </w:tcPr>
                <w:p w:rsidR="000865B2" w:rsidRDefault="000865B2" w:rsidP="004530DC">
                  <w:pPr>
                    <w:rPr>
                      <w:b/>
                      <w:lang w:val="en-US"/>
                    </w:rPr>
                  </w:pPr>
                </w:p>
              </w:tc>
              <w:tc>
                <w:tcPr>
                  <w:tcW w:w="2422" w:type="dxa"/>
                </w:tcPr>
                <w:p w:rsidR="000865B2" w:rsidRDefault="000865B2" w:rsidP="004530DC">
                  <w:pPr>
                    <w:rPr>
                      <w:b/>
                      <w:lang w:val="en-US"/>
                    </w:rPr>
                  </w:pPr>
                </w:p>
              </w:tc>
              <w:tc>
                <w:tcPr>
                  <w:tcW w:w="1812" w:type="dxa"/>
                </w:tcPr>
                <w:p w:rsidR="000865B2" w:rsidRDefault="000865B2" w:rsidP="004530DC">
                  <w:pPr>
                    <w:rPr>
                      <w:b/>
                      <w:lang w:val="en-US"/>
                    </w:rPr>
                  </w:pPr>
                  <w:r>
                    <w:rPr>
                      <w:lang w:val="en-NZ"/>
                    </w:rPr>
                    <w:t>COMET assay (H</w:t>
                  </w:r>
                  <w:r w:rsidRPr="008A47CB">
                    <w:rPr>
                      <w:vertAlign w:val="subscript"/>
                      <w:lang w:val="en-NZ"/>
                    </w:rPr>
                    <w:t>2</w:t>
                  </w:r>
                  <w:r>
                    <w:rPr>
                      <w:lang w:val="en-NZ"/>
                    </w:rPr>
                    <w:t>0</w:t>
                  </w:r>
                  <w:r w:rsidRPr="008A47CB">
                    <w:rPr>
                      <w:vertAlign w:val="subscript"/>
                      <w:lang w:val="en-NZ"/>
                    </w:rPr>
                    <w:t>2</w:t>
                  </w:r>
                  <w:r>
                    <w:rPr>
                      <w:lang w:val="en-NZ"/>
                    </w:rPr>
                    <w:t xml:space="preserve"> challenge)</w:t>
                  </w:r>
                </w:p>
              </w:tc>
              <w:tc>
                <w:tcPr>
                  <w:tcW w:w="899" w:type="dxa"/>
                </w:tcPr>
                <w:p w:rsidR="000865B2" w:rsidRDefault="000865B2" w:rsidP="004530DC">
                  <w:pPr>
                    <w:rPr>
                      <w:b/>
                      <w:lang w:val="en-US"/>
                    </w:rPr>
                  </w:pP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r w:rsidRPr="00F16229">
                    <w:rPr>
                      <w:lang w:val="en-NZ"/>
                    </w:rPr>
                    <w:sym w:font="Wingdings" w:char="F0FC"/>
                  </w:r>
                </w:p>
              </w:tc>
            </w:tr>
            <w:tr w:rsidR="000865B2" w:rsidTr="004530DC">
              <w:tc>
                <w:tcPr>
                  <w:tcW w:w="804" w:type="dxa"/>
                </w:tcPr>
                <w:p w:rsidR="000865B2" w:rsidRDefault="000865B2" w:rsidP="004530DC">
                  <w:pPr>
                    <w:rPr>
                      <w:b/>
                      <w:lang w:val="en-US"/>
                    </w:rPr>
                  </w:pPr>
                  <w:r w:rsidRPr="00F16229">
                    <w:rPr>
                      <w:lang w:val="en-NZ"/>
                    </w:rPr>
                    <w:sym w:font="Wingdings" w:char="F0FC"/>
                  </w:r>
                </w:p>
              </w:tc>
              <w:tc>
                <w:tcPr>
                  <w:tcW w:w="1121" w:type="dxa"/>
                </w:tcPr>
                <w:p w:rsidR="000865B2" w:rsidRDefault="000865B2" w:rsidP="004530DC">
                  <w:pPr>
                    <w:rPr>
                      <w:b/>
                      <w:lang w:val="en-US"/>
                    </w:rPr>
                  </w:pPr>
                </w:p>
              </w:tc>
              <w:tc>
                <w:tcPr>
                  <w:tcW w:w="2422" w:type="dxa"/>
                </w:tcPr>
                <w:p w:rsidR="000865B2" w:rsidRDefault="000865B2" w:rsidP="004530DC">
                  <w:pPr>
                    <w:rPr>
                      <w:b/>
                      <w:lang w:val="en-US"/>
                    </w:rPr>
                  </w:pPr>
                  <w:r w:rsidRPr="00F16229">
                    <w:rPr>
                      <w:lang w:val="en-NZ"/>
                    </w:rPr>
                    <w:t>Serum</w:t>
                  </w:r>
                </w:p>
              </w:tc>
              <w:tc>
                <w:tcPr>
                  <w:tcW w:w="1812" w:type="dxa"/>
                </w:tcPr>
                <w:p w:rsidR="000865B2" w:rsidRDefault="000865B2" w:rsidP="004530DC">
                  <w:pPr>
                    <w:rPr>
                      <w:b/>
                      <w:lang w:val="en-US"/>
                    </w:rPr>
                  </w:pPr>
                  <w:r>
                    <w:rPr>
                      <w:lang w:val="en-NZ"/>
                    </w:rPr>
                    <w:t>Se</w:t>
                  </w:r>
                </w:p>
              </w:tc>
              <w:tc>
                <w:tcPr>
                  <w:tcW w:w="899" w:type="dxa"/>
                </w:tcPr>
                <w:p w:rsidR="000865B2" w:rsidRDefault="000865B2" w:rsidP="004530DC">
                  <w:pPr>
                    <w:rPr>
                      <w:b/>
                      <w:lang w:val="en-US"/>
                    </w:rPr>
                  </w:pP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r w:rsidRPr="00F16229">
                    <w:rPr>
                      <w:lang w:val="en-NZ"/>
                    </w:rPr>
                    <w:sym w:font="Wingdings" w:char="F0FC"/>
                  </w:r>
                </w:p>
              </w:tc>
            </w:tr>
            <w:tr w:rsidR="000865B2" w:rsidTr="004530DC">
              <w:tc>
                <w:tcPr>
                  <w:tcW w:w="804" w:type="dxa"/>
                </w:tcPr>
                <w:p w:rsidR="000865B2" w:rsidRDefault="000865B2" w:rsidP="004530DC">
                  <w:pPr>
                    <w:rPr>
                      <w:b/>
                      <w:lang w:val="en-US"/>
                    </w:rPr>
                  </w:pPr>
                  <w:r w:rsidRPr="00F16229">
                    <w:rPr>
                      <w:lang w:val="en-NZ"/>
                    </w:rPr>
                    <w:sym w:font="Wingdings" w:char="F0FC"/>
                  </w:r>
                </w:p>
              </w:tc>
              <w:tc>
                <w:tcPr>
                  <w:tcW w:w="1121" w:type="dxa"/>
                </w:tcPr>
                <w:p w:rsidR="000865B2" w:rsidRDefault="000865B2" w:rsidP="004530DC">
                  <w:pPr>
                    <w:rPr>
                      <w:b/>
                      <w:lang w:val="en-US"/>
                    </w:rPr>
                  </w:pPr>
                </w:p>
              </w:tc>
              <w:tc>
                <w:tcPr>
                  <w:tcW w:w="2422" w:type="dxa"/>
                </w:tcPr>
                <w:p w:rsidR="000865B2" w:rsidRDefault="000865B2" w:rsidP="004530DC">
                  <w:pPr>
                    <w:rPr>
                      <w:b/>
                      <w:lang w:val="en-US"/>
                    </w:rPr>
                  </w:pPr>
                </w:p>
              </w:tc>
              <w:tc>
                <w:tcPr>
                  <w:tcW w:w="1812" w:type="dxa"/>
                </w:tcPr>
                <w:p w:rsidR="000865B2" w:rsidRDefault="000865B2" w:rsidP="004530DC">
                  <w:pPr>
                    <w:rPr>
                      <w:b/>
                      <w:lang w:val="en-US"/>
                    </w:rPr>
                  </w:pPr>
                  <w:r>
                    <w:rPr>
                      <w:lang w:val="en-NZ"/>
                    </w:rPr>
                    <w:t>GPX activity</w:t>
                  </w:r>
                </w:p>
              </w:tc>
              <w:tc>
                <w:tcPr>
                  <w:tcW w:w="899" w:type="dxa"/>
                </w:tcPr>
                <w:p w:rsidR="000865B2" w:rsidRDefault="000865B2" w:rsidP="004530DC">
                  <w:pPr>
                    <w:rPr>
                      <w:b/>
                      <w:lang w:val="en-US"/>
                    </w:rPr>
                  </w:pP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r w:rsidRPr="00F16229">
                    <w:rPr>
                      <w:lang w:val="en-NZ"/>
                    </w:rPr>
                    <w:sym w:font="Wingdings" w:char="F0FC"/>
                  </w:r>
                </w:p>
              </w:tc>
            </w:tr>
            <w:tr w:rsidR="000865B2" w:rsidTr="004530DC">
              <w:tc>
                <w:tcPr>
                  <w:tcW w:w="804" w:type="dxa"/>
                </w:tcPr>
                <w:p w:rsidR="000865B2" w:rsidRDefault="000865B2" w:rsidP="004530DC">
                  <w:pPr>
                    <w:rPr>
                      <w:b/>
                      <w:lang w:val="en-US"/>
                    </w:rPr>
                  </w:pPr>
                  <w:r w:rsidRPr="00F16229">
                    <w:rPr>
                      <w:lang w:val="en-NZ"/>
                    </w:rPr>
                    <w:sym w:font="Wingdings" w:char="F0FC"/>
                  </w:r>
                </w:p>
              </w:tc>
              <w:tc>
                <w:tcPr>
                  <w:tcW w:w="1121" w:type="dxa"/>
                </w:tcPr>
                <w:p w:rsidR="000865B2" w:rsidRDefault="000865B2" w:rsidP="004530DC">
                  <w:pPr>
                    <w:rPr>
                      <w:b/>
                      <w:lang w:val="en-US"/>
                    </w:rPr>
                  </w:pPr>
                </w:p>
              </w:tc>
              <w:tc>
                <w:tcPr>
                  <w:tcW w:w="2422" w:type="dxa"/>
                </w:tcPr>
                <w:p w:rsidR="000865B2" w:rsidRDefault="000865B2" w:rsidP="004530DC">
                  <w:pPr>
                    <w:rPr>
                      <w:b/>
                      <w:lang w:val="en-US"/>
                    </w:rPr>
                  </w:pPr>
                </w:p>
              </w:tc>
              <w:tc>
                <w:tcPr>
                  <w:tcW w:w="1812" w:type="dxa"/>
                </w:tcPr>
                <w:p w:rsidR="000865B2" w:rsidRDefault="000865B2" w:rsidP="004530DC">
                  <w:pPr>
                    <w:rPr>
                      <w:b/>
                      <w:lang w:val="en-US"/>
                    </w:rPr>
                  </w:pPr>
                  <w:r>
                    <w:rPr>
                      <w:lang w:val="en-NZ"/>
                    </w:rPr>
                    <w:t>TR activity</w:t>
                  </w:r>
                </w:p>
              </w:tc>
              <w:tc>
                <w:tcPr>
                  <w:tcW w:w="899" w:type="dxa"/>
                </w:tcPr>
                <w:p w:rsidR="000865B2" w:rsidRDefault="000865B2" w:rsidP="004530DC">
                  <w:pPr>
                    <w:rPr>
                      <w:b/>
                      <w:lang w:val="en-US"/>
                    </w:rPr>
                  </w:pP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r w:rsidRPr="00F16229">
                    <w:rPr>
                      <w:lang w:val="en-NZ"/>
                    </w:rPr>
                    <w:sym w:font="Wingdings" w:char="F0FC"/>
                  </w:r>
                </w:p>
              </w:tc>
            </w:tr>
            <w:tr w:rsidR="000865B2" w:rsidTr="004530DC">
              <w:tc>
                <w:tcPr>
                  <w:tcW w:w="804" w:type="dxa"/>
                </w:tcPr>
                <w:p w:rsidR="000865B2" w:rsidRDefault="000865B2" w:rsidP="004530DC">
                  <w:pPr>
                    <w:rPr>
                      <w:b/>
                      <w:lang w:val="en-US"/>
                    </w:rPr>
                  </w:pPr>
                  <w:r w:rsidRPr="00F16229">
                    <w:rPr>
                      <w:lang w:val="en-NZ"/>
                    </w:rPr>
                    <w:sym w:font="Wingdings" w:char="F0FC"/>
                  </w:r>
                </w:p>
              </w:tc>
              <w:tc>
                <w:tcPr>
                  <w:tcW w:w="1121" w:type="dxa"/>
                </w:tcPr>
                <w:p w:rsidR="000865B2" w:rsidRDefault="000865B2" w:rsidP="004530DC">
                  <w:pPr>
                    <w:rPr>
                      <w:b/>
                      <w:lang w:val="en-US"/>
                    </w:rPr>
                  </w:pPr>
                </w:p>
              </w:tc>
              <w:tc>
                <w:tcPr>
                  <w:tcW w:w="2422" w:type="dxa"/>
                </w:tcPr>
                <w:p w:rsidR="000865B2" w:rsidRDefault="000865B2" w:rsidP="004530DC">
                  <w:pPr>
                    <w:rPr>
                      <w:b/>
                      <w:lang w:val="en-US"/>
                    </w:rPr>
                  </w:pPr>
                </w:p>
              </w:tc>
              <w:tc>
                <w:tcPr>
                  <w:tcW w:w="1812" w:type="dxa"/>
                </w:tcPr>
                <w:p w:rsidR="000865B2" w:rsidRDefault="000865B2" w:rsidP="004530DC">
                  <w:pPr>
                    <w:rPr>
                      <w:b/>
                      <w:lang w:val="en-US"/>
                    </w:rPr>
                  </w:pPr>
                  <w:r>
                    <w:rPr>
                      <w:lang w:val="en-NZ"/>
                    </w:rPr>
                    <w:t>Cytokines</w:t>
                  </w:r>
                </w:p>
              </w:tc>
              <w:tc>
                <w:tcPr>
                  <w:tcW w:w="899" w:type="dxa"/>
                </w:tcPr>
                <w:p w:rsidR="000865B2" w:rsidRDefault="000865B2" w:rsidP="004530DC">
                  <w:pPr>
                    <w:rPr>
                      <w:b/>
                      <w:lang w:val="en-US"/>
                    </w:rPr>
                  </w:pP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r w:rsidRPr="00F16229">
                    <w:rPr>
                      <w:lang w:val="en-NZ"/>
                    </w:rPr>
                    <w:sym w:font="Wingdings" w:char="F0FC"/>
                  </w:r>
                </w:p>
              </w:tc>
            </w:tr>
            <w:tr w:rsidR="000865B2" w:rsidTr="004530DC">
              <w:tc>
                <w:tcPr>
                  <w:tcW w:w="804" w:type="dxa"/>
                </w:tcPr>
                <w:p w:rsidR="000865B2" w:rsidRDefault="000865B2" w:rsidP="004530DC">
                  <w:pPr>
                    <w:rPr>
                      <w:b/>
                      <w:lang w:val="en-US"/>
                    </w:rPr>
                  </w:pPr>
                </w:p>
              </w:tc>
              <w:tc>
                <w:tcPr>
                  <w:tcW w:w="1121" w:type="dxa"/>
                </w:tcPr>
                <w:p w:rsidR="000865B2" w:rsidRDefault="000865B2" w:rsidP="004530DC">
                  <w:pPr>
                    <w:rPr>
                      <w:b/>
                      <w:lang w:val="en-US"/>
                    </w:rPr>
                  </w:pPr>
                  <w:r w:rsidRPr="00F16229">
                    <w:rPr>
                      <w:lang w:val="en-NZ"/>
                    </w:rPr>
                    <w:sym w:font="Wingdings" w:char="F0FC"/>
                  </w:r>
                </w:p>
              </w:tc>
              <w:tc>
                <w:tcPr>
                  <w:tcW w:w="2422" w:type="dxa"/>
                </w:tcPr>
                <w:p w:rsidR="000865B2" w:rsidRDefault="000865B2" w:rsidP="004530DC">
                  <w:pPr>
                    <w:rPr>
                      <w:b/>
                      <w:lang w:val="en-US"/>
                    </w:rPr>
                  </w:pPr>
                </w:p>
              </w:tc>
              <w:tc>
                <w:tcPr>
                  <w:tcW w:w="1812" w:type="dxa"/>
                </w:tcPr>
                <w:p w:rsidR="000865B2" w:rsidRPr="00F27512" w:rsidRDefault="000865B2" w:rsidP="004530DC">
                  <w:pPr>
                    <w:rPr>
                      <w:lang w:val="en-US"/>
                    </w:rPr>
                  </w:pPr>
                  <w:r w:rsidRPr="00F27512">
                    <w:rPr>
                      <w:lang w:val="en-US"/>
                    </w:rPr>
                    <w:t>Isoprostanes</w:t>
                  </w:r>
                </w:p>
              </w:tc>
              <w:tc>
                <w:tcPr>
                  <w:tcW w:w="899" w:type="dxa"/>
                </w:tcPr>
                <w:p w:rsidR="000865B2" w:rsidRDefault="000865B2" w:rsidP="004530DC">
                  <w:pPr>
                    <w:rPr>
                      <w:b/>
                      <w:lang w:val="en-US"/>
                    </w:rPr>
                  </w:pP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r w:rsidRPr="00F16229">
                    <w:rPr>
                      <w:lang w:val="en-NZ"/>
                    </w:rPr>
                    <w:sym w:font="Wingdings" w:char="F0FC"/>
                  </w:r>
                </w:p>
              </w:tc>
            </w:tr>
            <w:tr w:rsidR="000865B2" w:rsidTr="004530DC">
              <w:tc>
                <w:tcPr>
                  <w:tcW w:w="804" w:type="dxa"/>
                </w:tcPr>
                <w:p w:rsidR="000865B2" w:rsidRDefault="000865B2" w:rsidP="004530DC">
                  <w:pPr>
                    <w:rPr>
                      <w:b/>
                      <w:lang w:val="en-US"/>
                    </w:rPr>
                  </w:pPr>
                </w:p>
              </w:tc>
              <w:tc>
                <w:tcPr>
                  <w:tcW w:w="1121" w:type="dxa"/>
                </w:tcPr>
                <w:p w:rsidR="000865B2" w:rsidRDefault="000865B2" w:rsidP="004530DC">
                  <w:pPr>
                    <w:rPr>
                      <w:b/>
                      <w:lang w:val="en-US"/>
                    </w:rPr>
                  </w:pPr>
                  <w:r w:rsidRPr="00F16229">
                    <w:rPr>
                      <w:lang w:val="en-NZ"/>
                    </w:rPr>
                    <w:sym w:font="Wingdings" w:char="F0FC"/>
                  </w:r>
                </w:p>
              </w:tc>
              <w:tc>
                <w:tcPr>
                  <w:tcW w:w="2422" w:type="dxa"/>
                </w:tcPr>
                <w:p w:rsidR="000865B2" w:rsidRDefault="000865B2" w:rsidP="004530DC">
                  <w:pPr>
                    <w:rPr>
                      <w:b/>
                      <w:lang w:val="en-US"/>
                    </w:rPr>
                  </w:pPr>
                </w:p>
              </w:tc>
              <w:tc>
                <w:tcPr>
                  <w:tcW w:w="1812" w:type="dxa"/>
                </w:tcPr>
                <w:p w:rsidR="000865B2" w:rsidRPr="00F27512" w:rsidRDefault="000865B2" w:rsidP="004530DC">
                  <w:pPr>
                    <w:rPr>
                      <w:lang w:val="en-US"/>
                    </w:rPr>
                  </w:pPr>
                  <w:r w:rsidRPr="00F27512">
                    <w:rPr>
                      <w:lang w:val="en-US"/>
                    </w:rPr>
                    <w:t>SeP</w:t>
                  </w:r>
                </w:p>
              </w:tc>
              <w:tc>
                <w:tcPr>
                  <w:tcW w:w="899" w:type="dxa"/>
                </w:tcPr>
                <w:p w:rsidR="000865B2" w:rsidRDefault="000865B2" w:rsidP="004530DC">
                  <w:pPr>
                    <w:rPr>
                      <w:b/>
                      <w:lang w:val="en-US"/>
                    </w:rPr>
                  </w:pP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r w:rsidRPr="00F16229">
                    <w:rPr>
                      <w:lang w:val="en-NZ"/>
                    </w:rPr>
                    <w:sym w:font="Wingdings" w:char="F0FC"/>
                  </w:r>
                </w:p>
              </w:tc>
            </w:tr>
            <w:tr w:rsidR="000865B2" w:rsidTr="004530DC">
              <w:tc>
                <w:tcPr>
                  <w:tcW w:w="804" w:type="dxa"/>
                </w:tcPr>
                <w:p w:rsidR="000865B2" w:rsidRDefault="000865B2" w:rsidP="004530DC">
                  <w:pPr>
                    <w:rPr>
                      <w:b/>
                      <w:lang w:val="en-US"/>
                    </w:rPr>
                  </w:pPr>
                </w:p>
              </w:tc>
              <w:tc>
                <w:tcPr>
                  <w:tcW w:w="1121" w:type="dxa"/>
                </w:tcPr>
                <w:p w:rsidR="000865B2" w:rsidRDefault="000865B2" w:rsidP="004530DC">
                  <w:pPr>
                    <w:rPr>
                      <w:b/>
                      <w:lang w:val="en-US"/>
                    </w:rPr>
                  </w:pPr>
                  <w:r w:rsidRPr="00F16229">
                    <w:rPr>
                      <w:lang w:val="en-NZ"/>
                    </w:rPr>
                    <w:sym w:font="Wingdings" w:char="F0FC"/>
                  </w:r>
                </w:p>
              </w:tc>
              <w:tc>
                <w:tcPr>
                  <w:tcW w:w="2422" w:type="dxa"/>
                </w:tcPr>
                <w:p w:rsidR="000865B2" w:rsidRDefault="000865B2" w:rsidP="004530DC">
                  <w:pPr>
                    <w:rPr>
                      <w:b/>
                      <w:lang w:val="en-US"/>
                    </w:rPr>
                  </w:pPr>
                  <w:r>
                    <w:rPr>
                      <w:lang w:val="en-NZ"/>
                    </w:rPr>
                    <w:t>WBC-RNA</w:t>
                  </w:r>
                </w:p>
              </w:tc>
              <w:tc>
                <w:tcPr>
                  <w:tcW w:w="1812" w:type="dxa"/>
                </w:tcPr>
                <w:p w:rsidR="000865B2" w:rsidRDefault="000865B2" w:rsidP="004530DC">
                  <w:pPr>
                    <w:rPr>
                      <w:b/>
                      <w:lang w:val="en-US"/>
                    </w:rPr>
                  </w:pPr>
                  <w:r>
                    <w:rPr>
                      <w:lang w:val="en-NZ"/>
                    </w:rPr>
                    <w:t>Selenoprotein gene expression profiling</w:t>
                  </w:r>
                </w:p>
              </w:tc>
              <w:tc>
                <w:tcPr>
                  <w:tcW w:w="899" w:type="dxa"/>
                </w:tcPr>
                <w:p w:rsidR="000865B2" w:rsidRDefault="000865B2" w:rsidP="004530DC">
                  <w:pPr>
                    <w:rPr>
                      <w:b/>
                      <w:lang w:val="en-US"/>
                    </w:rPr>
                  </w:pP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r w:rsidRPr="00F16229">
                    <w:rPr>
                      <w:lang w:val="en-NZ"/>
                    </w:rPr>
                    <w:sym w:font="Wingdings" w:char="F0FC"/>
                  </w:r>
                </w:p>
              </w:tc>
            </w:tr>
            <w:tr w:rsidR="000865B2" w:rsidTr="004530DC">
              <w:tc>
                <w:tcPr>
                  <w:tcW w:w="804" w:type="dxa"/>
                </w:tcPr>
                <w:p w:rsidR="000865B2" w:rsidRDefault="000865B2" w:rsidP="004530DC">
                  <w:pPr>
                    <w:rPr>
                      <w:b/>
                      <w:lang w:val="en-US"/>
                    </w:rPr>
                  </w:pPr>
                </w:p>
              </w:tc>
              <w:tc>
                <w:tcPr>
                  <w:tcW w:w="1121" w:type="dxa"/>
                </w:tcPr>
                <w:p w:rsidR="000865B2" w:rsidRDefault="000865B2" w:rsidP="004530DC">
                  <w:pPr>
                    <w:rPr>
                      <w:b/>
                      <w:lang w:val="en-US"/>
                    </w:rPr>
                  </w:pPr>
                  <w:r w:rsidRPr="00F16229">
                    <w:rPr>
                      <w:lang w:val="en-NZ"/>
                    </w:rPr>
                    <w:sym w:font="Wingdings" w:char="F0FC"/>
                  </w:r>
                </w:p>
              </w:tc>
              <w:tc>
                <w:tcPr>
                  <w:tcW w:w="2422" w:type="dxa"/>
                </w:tcPr>
                <w:p w:rsidR="000865B2" w:rsidRDefault="000865B2" w:rsidP="004530DC">
                  <w:pPr>
                    <w:rPr>
                      <w:b/>
                      <w:lang w:val="en-US"/>
                    </w:rPr>
                  </w:pPr>
                  <w:r>
                    <w:rPr>
                      <w:lang w:val="en-NZ"/>
                    </w:rPr>
                    <w:t>WBC-protein</w:t>
                  </w:r>
                </w:p>
              </w:tc>
              <w:tc>
                <w:tcPr>
                  <w:tcW w:w="1812" w:type="dxa"/>
                </w:tcPr>
                <w:p w:rsidR="000865B2" w:rsidRDefault="000865B2" w:rsidP="004530DC">
                  <w:pPr>
                    <w:rPr>
                      <w:b/>
                      <w:lang w:val="en-US"/>
                    </w:rPr>
                  </w:pPr>
                  <w:r>
                    <w:rPr>
                      <w:lang w:val="en-NZ"/>
                    </w:rPr>
                    <w:t>Selenoprotein expression profiling</w:t>
                  </w:r>
                </w:p>
              </w:tc>
              <w:tc>
                <w:tcPr>
                  <w:tcW w:w="899" w:type="dxa"/>
                </w:tcPr>
                <w:p w:rsidR="000865B2" w:rsidRDefault="000865B2" w:rsidP="004530DC">
                  <w:pPr>
                    <w:rPr>
                      <w:b/>
                      <w:lang w:val="en-US"/>
                    </w:rPr>
                  </w:pPr>
                </w:p>
              </w:tc>
              <w:tc>
                <w:tcPr>
                  <w:tcW w:w="899" w:type="dxa"/>
                </w:tcPr>
                <w:p w:rsidR="000865B2" w:rsidRDefault="000865B2" w:rsidP="004530DC">
                  <w:pPr>
                    <w:rPr>
                      <w:b/>
                      <w:lang w:val="en-US"/>
                    </w:rPr>
                  </w:pPr>
                  <w:r w:rsidRPr="00F16229">
                    <w:rPr>
                      <w:lang w:val="en-NZ"/>
                    </w:rPr>
                    <w:sym w:font="Wingdings" w:char="F0FC"/>
                  </w:r>
                </w:p>
              </w:tc>
              <w:tc>
                <w:tcPr>
                  <w:tcW w:w="899" w:type="dxa"/>
                </w:tcPr>
                <w:p w:rsidR="000865B2" w:rsidRDefault="000865B2" w:rsidP="004530DC">
                  <w:pPr>
                    <w:rPr>
                      <w:b/>
                      <w:lang w:val="en-US"/>
                    </w:rPr>
                  </w:pPr>
                  <w:r w:rsidRPr="00F16229">
                    <w:rPr>
                      <w:lang w:val="en-NZ"/>
                    </w:rPr>
                    <w:sym w:font="Wingdings" w:char="F0FC"/>
                  </w:r>
                </w:p>
              </w:tc>
            </w:tr>
          </w:tbl>
          <w:p w:rsidR="000865B2" w:rsidRPr="00941A88" w:rsidRDefault="000865B2" w:rsidP="004530DC">
            <w:pPr>
              <w:rPr>
                <w:b/>
                <w:lang w:val="en-US" w:eastAsia="en-NZ"/>
              </w:rPr>
            </w:pPr>
          </w:p>
          <w:p w:rsidR="000865B2" w:rsidRPr="001C77F5" w:rsidRDefault="000865B2" w:rsidP="004530DC">
            <w:pPr>
              <w:pStyle w:val="Heading4"/>
              <w:spacing w:before="120"/>
              <w:rPr>
                <w:sz w:val="24"/>
                <w:szCs w:val="24"/>
              </w:rPr>
            </w:pPr>
            <w:r w:rsidRPr="001C77F5">
              <w:rPr>
                <w:sz w:val="24"/>
                <w:szCs w:val="24"/>
              </w:rPr>
              <w:t>Data Analysis</w:t>
            </w:r>
          </w:p>
          <w:p w:rsidR="000865B2" w:rsidRDefault="000865B2" w:rsidP="004530DC">
            <w:pPr>
              <w:autoSpaceDE w:val="0"/>
              <w:autoSpaceDN w:val="0"/>
              <w:adjustRightInd w:val="0"/>
              <w:rPr>
                <w:lang w:val="en-NZ"/>
              </w:rPr>
            </w:pPr>
            <w:r w:rsidRPr="007C4AAE">
              <w:rPr>
                <w:lang w:val="en-NZ"/>
              </w:rPr>
              <w:t xml:space="preserve">All analyses will be based on intention-to-treat, and will be performed to address the main aims of the study. In each case this involves investigating the effect of SNP genotypes on the dependent variable of interest, while taking the effects of diet, serum </w:t>
            </w:r>
            <w:r>
              <w:rPr>
                <w:lang w:val="en-NZ"/>
              </w:rPr>
              <w:t>Se</w:t>
            </w:r>
            <w:r w:rsidRPr="007C4AAE">
              <w:rPr>
                <w:lang w:val="en-NZ"/>
              </w:rPr>
              <w:t xml:space="preserve"> levels and other clinical variables into account.</w:t>
            </w:r>
            <w:r>
              <w:rPr>
                <w:lang w:val="en-NZ"/>
              </w:rPr>
              <w:t xml:space="preserve">  </w:t>
            </w:r>
            <w:r w:rsidRPr="007C4AAE">
              <w:rPr>
                <w:lang w:val="en-NZ"/>
              </w:rPr>
              <w:t xml:space="preserve">Analysis of covariance (ANCOVA) will be used for each of the analyses, with dependent variables including measures of DNA damage from the COMET assay (baseline level, and change in response from baseline to </w:t>
            </w:r>
            <w:r>
              <w:rPr>
                <w:lang w:val="en-NZ"/>
              </w:rPr>
              <w:t>six</w:t>
            </w:r>
            <w:r w:rsidRPr="007C4AAE">
              <w:rPr>
                <w:lang w:val="en-NZ"/>
              </w:rPr>
              <w:t xml:space="preserve"> months), antioxidant enzyme activity and pro-inflammatory cytokines.</w:t>
            </w:r>
            <w:r>
              <w:rPr>
                <w:lang w:val="en-NZ"/>
              </w:rPr>
              <w:t xml:space="preserve">  </w:t>
            </w:r>
            <w:r w:rsidRPr="007C4AAE">
              <w:rPr>
                <w:lang w:val="en-NZ"/>
              </w:rPr>
              <w:t>Initial analyses will take a parametric approach, with non-normality of residuals then leading to the use of distribution-free methods (e.g., bootstrapping) if required.</w:t>
            </w:r>
            <w:r>
              <w:rPr>
                <w:lang w:val="en-NZ"/>
              </w:rPr>
              <w:t xml:space="preserve">  </w:t>
            </w:r>
            <w:r w:rsidRPr="007C4AAE">
              <w:rPr>
                <w:lang w:val="en-NZ"/>
              </w:rPr>
              <w:t>In addition to analysing the various dependent variables separately, the data will also be combined for use in a multivariate analysis (multivariate multiple regression containing both continuous and categorical variables) in order to take likely correlations between the dependent variables into account.</w:t>
            </w:r>
            <w:r>
              <w:rPr>
                <w:lang w:val="en-NZ"/>
              </w:rPr>
              <w:t xml:space="preserve"> </w:t>
            </w:r>
            <w:r w:rsidRPr="007C4AAE">
              <w:rPr>
                <w:lang w:val="en-NZ"/>
              </w:rPr>
              <w:t xml:space="preserve"> This will provide additional power for studying the effect of SNP genotype on the various outcome measures.</w:t>
            </w:r>
          </w:p>
          <w:p w:rsidR="000865B2" w:rsidRPr="007C4AAE" w:rsidRDefault="000865B2" w:rsidP="004530DC">
            <w:pPr>
              <w:autoSpaceDE w:val="0"/>
              <w:autoSpaceDN w:val="0"/>
              <w:adjustRightInd w:val="0"/>
              <w:rPr>
                <w:lang w:val="en-NZ"/>
              </w:rPr>
            </w:pPr>
          </w:p>
          <w:p w:rsidR="000865B2" w:rsidRPr="001C77F5" w:rsidRDefault="000865B2" w:rsidP="004530DC">
            <w:pPr>
              <w:pStyle w:val="Heading4"/>
              <w:rPr>
                <w:sz w:val="24"/>
                <w:szCs w:val="24"/>
              </w:rPr>
            </w:pPr>
            <w:r w:rsidRPr="001C77F5">
              <w:rPr>
                <w:sz w:val="24"/>
                <w:szCs w:val="24"/>
              </w:rPr>
              <w:t>Trial Organisation</w:t>
            </w:r>
          </w:p>
          <w:p w:rsidR="000865B2" w:rsidRDefault="000865B2" w:rsidP="004530DC">
            <w:r>
              <w:t xml:space="preserve">Nutrigenomics New </w:t>
            </w:r>
            <w:smartTag w:uri="urn:schemas-microsoft-com:office:smarttags" w:element="place">
              <w:r>
                <w:t>Zealand</w:t>
              </w:r>
            </w:smartTag>
            <w:r>
              <w:t xml:space="preserve"> </w:t>
            </w:r>
            <w:r w:rsidRPr="00F16229">
              <w:t>will provide complete project management services including study manageme</w:t>
            </w:r>
            <w:r>
              <w:t xml:space="preserve">nt, recruitment, </w:t>
            </w:r>
            <w:r w:rsidRPr="00F16229">
              <w:t xml:space="preserve">data management, quality monitoring, </w:t>
            </w:r>
            <w:r>
              <w:t xml:space="preserve">biological assays, </w:t>
            </w:r>
            <w:r w:rsidRPr="00F16229">
              <w:t xml:space="preserve">documentation, and statistical analyses. </w:t>
            </w:r>
          </w:p>
          <w:p w:rsidR="000865B2" w:rsidRPr="00F16229" w:rsidRDefault="000865B2" w:rsidP="004530DC"/>
          <w:p w:rsidR="000865B2" w:rsidRPr="001C77F5" w:rsidRDefault="000865B2" w:rsidP="004530DC">
            <w:pPr>
              <w:pStyle w:val="Heading3"/>
              <w:spacing w:before="120"/>
              <w:rPr>
                <w:bCs w:val="0"/>
                <w:sz w:val="28"/>
                <w:szCs w:val="28"/>
              </w:rPr>
            </w:pPr>
            <w:r w:rsidRPr="001C77F5">
              <w:rPr>
                <w:sz w:val="28"/>
                <w:szCs w:val="28"/>
              </w:rPr>
              <w:t>Timeline</w:t>
            </w:r>
          </w:p>
          <w:tbl>
            <w:tblPr>
              <w:tblW w:w="9242" w:type="dxa"/>
              <w:tblLayout w:type="fixed"/>
              <w:tblLook w:val="0000" w:firstRow="0" w:lastRow="0" w:firstColumn="0" w:lastColumn="0" w:noHBand="0" w:noVBand="0"/>
            </w:tblPr>
            <w:tblGrid>
              <w:gridCol w:w="2448"/>
              <w:gridCol w:w="6794"/>
            </w:tblGrid>
            <w:tr w:rsidR="000865B2" w:rsidRPr="00F16229" w:rsidTr="004530DC">
              <w:tc>
                <w:tcPr>
                  <w:tcW w:w="2448" w:type="dxa"/>
                </w:tcPr>
                <w:p w:rsidR="000865B2" w:rsidRPr="00F16229" w:rsidRDefault="000865B2" w:rsidP="004530DC">
                  <w:pPr>
                    <w:spacing w:before="120"/>
                  </w:pPr>
                  <w:r>
                    <w:t>Jul – Dec 2006</w:t>
                  </w:r>
                </w:p>
              </w:tc>
              <w:tc>
                <w:tcPr>
                  <w:tcW w:w="6794" w:type="dxa"/>
                </w:tcPr>
                <w:p w:rsidR="000865B2" w:rsidRPr="00F16229" w:rsidRDefault="000865B2" w:rsidP="004530DC">
                  <w:pPr>
                    <w:spacing w:before="120"/>
                  </w:pPr>
                  <w:r w:rsidRPr="00F16229">
                    <w:t>Convene study management committee, finalise study design and data collection materials, recruit staff and obtain ethical permit.</w:t>
                  </w:r>
                </w:p>
              </w:tc>
            </w:tr>
            <w:tr w:rsidR="000865B2" w:rsidRPr="00F16229" w:rsidTr="004530DC">
              <w:tc>
                <w:tcPr>
                  <w:tcW w:w="2448" w:type="dxa"/>
                </w:tcPr>
                <w:p w:rsidR="000865B2" w:rsidRPr="00F16229" w:rsidRDefault="000865B2" w:rsidP="004530DC">
                  <w:pPr>
                    <w:spacing w:before="120"/>
                  </w:pPr>
                  <w:r>
                    <w:t>Jan 2007</w:t>
                  </w:r>
                </w:p>
              </w:tc>
              <w:tc>
                <w:tcPr>
                  <w:tcW w:w="6794" w:type="dxa"/>
                </w:tcPr>
                <w:p w:rsidR="000865B2" w:rsidRPr="00F16229" w:rsidRDefault="000865B2" w:rsidP="004530DC">
                  <w:pPr>
                    <w:spacing w:before="120"/>
                  </w:pPr>
                  <w:r w:rsidRPr="00F16229">
                    <w:t>Commence recruitment for clinical trial</w:t>
                  </w:r>
                </w:p>
              </w:tc>
            </w:tr>
            <w:tr w:rsidR="000865B2" w:rsidRPr="00F16229" w:rsidTr="004530DC">
              <w:tc>
                <w:tcPr>
                  <w:tcW w:w="2448" w:type="dxa"/>
                </w:tcPr>
                <w:p w:rsidR="000865B2" w:rsidRPr="00F16229" w:rsidRDefault="000865B2" w:rsidP="004530DC">
                  <w:pPr>
                    <w:spacing w:before="120"/>
                  </w:pPr>
                  <w:r>
                    <w:t>Jan – Apr 2009</w:t>
                  </w:r>
                </w:p>
              </w:tc>
              <w:tc>
                <w:tcPr>
                  <w:tcW w:w="6794" w:type="dxa"/>
                </w:tcPr>
                <w:p w:rsidR="000865B2" w:rsidRPr="00F16229" w:rsidRDefault="000865B2" w:rsidP="004530DC">
                  <w:pPr>
                    <w:spacing w:before="120"/>
                  </w:pPr>
                  <w:r w:rsidRPr="00F16229">
                    <w:t>Data collection and follow-up</w:t>
                  </w:r>
                </w:p>
              </w:tc>
            </w:tr>
            <w:tr w:rsidR="000865B2" w:rsidRPr="00F16229" w:rsidTr="004530DC">
              <w:tc>
                <w:tcPr>
                  <w:tcW w:w="2448" w:type="dxa"/>
                </w:tcPr>
                <w:p w:rsidR="000865B2" w:rsidRPr="00F16229" w:rsidRDefault="000865B2" w:rsidP="004530DC">
                  <w:pPr>
                    <w:spacing w:before="120"/>
                  </w:pPr>
                  <w:r>
                    <w:t>July 2008 - Jun 2009</w:t>
                  </w:r>
                </w:p>
              </w:tc>
              <w:tc>
                <w:tcPr>
                  <w:tcW w:w="6794" w:type="dxa"/>
                </w:tcPr>
                <w:p w:rsidR="000865B2" w:rsidRPr="00F16229" w:rsidRDefault="000865B2" w:rsidP="004530DC">
                  <w:pPr>
                    <w:spacing w:before="120"/>
                  </w:pPr>
                  <w:r w:rsidRPr="00F16229">
                    <w:t>Data analysis and project report</w:t>
                  </w:r>
                </w:p>
              </w:tc>
            </w:tr>
          </w:tbl>
          <w:p w:rsidR="000865B2" w:rsidRDefault="000865B2" w:rsidP="004530DC">
            <w:pPr>
              <w:pStyle w:val="BodyText"/>
              <w:spacing w:before="120" w:after="0"/>
              <w:rPr>
                <w:i/>
                <w:iCs/>
              </w:rPr>
            </w:pPr>
          </w:p>
          <w:p w:rsidR="000865B2" w:rsidRPr="000C42B2" w:rsidRDefault="000865B2" w:rsidP="004530DC">
            <w:pPr>
              <w:pStyle w:val="BodyText"/>
              <w:spacing w:before="120" w:after="0"/>
              <w:rPr>
                <w:b/>
                <w:sz w:val="28"/>
                <w:szCs w:val="28"/>
              </w:rPr>
            </w:pPr>
            <w:r w:rsidRPr="000C42B2">
              <w:rPr>
                <w:b/>
                <w:sz w:val="28"/>
                <w:szCs w:val="28"/>
              </w:rPr>
              <w:t>Significance</w:t>
            </w:r>
          </w:p>
          <w:p w:rsidR="000865B2" w:rsidRPr="00741FB4" w:rsidRDefault="000865B2" w:rsidP="004530DC">
            <w:pPr>
              <w:pStyle w:val="BodyText"/>
            </w:pPr>
            <w:r>
              <w:rPr>
                <w:noProof/>
                <w:lang w:val="en-NZ" w:eastAsia="en-NZ"/>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140335</wp:posOffset>
                      </wp:positionV>
                      <wp:extent cx="2052955" cy="3200400"/>
                      <wp:effectExtent l="10160" t="8255" r="1333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3200400"/>
                              </a:xfrm>
                              <a:prstGeom prst="rect">
                                <a:avLst/>
                              </a:prstGeom>
                              <a:solidFill>
                                <a:srgbClr val="FFFFFF"/>
                              </a:solidFill>
                              <a:ln w="9525">
                                <a:solidFill>
                                  <a:srgbClr val="000000"/>
                                </a:solidFill>
                                <a:miter lim="800000"/>
                                <a:headEnd/>
                                <a:tailEnd/>
                              </a:ln>
                            </wps:spPr>
                            <wps:txbx>
                              <w:txbxContent>
                                <w:p w:rsidR="000865B2" w:rsidRDefault="000865B2" w:rsidP="000865B2">
                                  <w:r>
                                    <w:rPr>
                                      <w:noProof/>
                                      <w:lang w:val="en-NZ" w:eastAsia="en-NZ"/>
                                    </w:rPr>
                                    <w:drawing>
                                      <wp:inline distT="0" distB="0" distL="0" distR="0">
                                        <wp:extent cx="1857375" cy="2667000"/>
                                        <wp:effectExtent l="0" t="0" r="9525" b="0"/>
                                        <wp:docPr id="1" name="Picture 1" descr="fen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ne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2667000"/>
                                                </a:xfrm>
                                                <a:prstGeom prst="rect">
                                                  <a:avLst/>
                                                </a:prstGeom>
                                                <a:noFill/>
                                                <a:ln>
                                                  <a:noFill/>
                                                </a:ln>
                                              </pic:spPr>
                                            </pic:pic>
                                          </a:graphicData>
                                        </a:graphic>
                                      </wp:inline>
                                    </w:drawing>
                                  </w:r>
                                </w:p>
                                <w:p w:rsidR="000865B2" w:rsidRDefault="000865B2" w:rsidP="000865B2">
                                  <w:r>
                                    <w:t xml:space="preserve">Fig. 2. Genome health concept, </w:t>
                                  </w:r>
                                </w:p>
                                <w:p w:rsidR="000865B2" w:rsidRDefault="000865B2" w:rsidP="000865B2">
                                  <w:r>
                                    <w:t>as outlined by Fenech, 2005</w:t>
                                  </w:r>
                                  <w:r>
                                    <w:fldChar w:fldCharType="begin"/>
                                  </w:r>
                                  <w:r>
                                    <w:instrText xml:space="preserve"> ADDIN EN.CITE &lt;EndNote&gt;&lt;Cite&gt;&lt;Author&gt;Fenech&lt;/Author&gt;&lt;Year&gt;2005&lt;/Year&gt;&lt;RecNum&gt;15&lt;/RecNum&gt;&lt;MDL&gt;&lt;REFERENCE_TYPE&gt;0&lt;/REFERENCE_TYPE&gt;&lt;REFNUM&gt;15&lt;/REFNUM&gt;&lt;AUTHORS&gt;&lt;AUTHOR&gt;M. Fenech&lt;/AUTHOR&gt;&lt;/AUTHORS&gt;&lt;YEAR&gt;2005&lt;/YEAR&gt;&lt;TITLE&gt;The Genome Health Clinic and Genome Health Nutrigenomics concepts: diagnosis and nutritional treatment of genome and epigenome damage on an individual basis&lt;/TITLE&gt;&lt;SECONDARY_TITLE&gt;Mutagenesis&lt;/SECONDARY_TITLE&gt;&lt;VOLUME&gt;20&lt;/VOLUME&gt;&lt;NUMBER&gt;4&lt;/NUMBER&gt;&lt;PAGES&gt;255-269&lt;/PAGES&gt;&lt;/MDL&gt;&lt;/Cite&gt;&lt;/EndNote&gt;</w:instrText>
                                  </w:r>
                                  <w:r>
                                    <w:fldChar w:fldCharType="separate"/>
                                  </w:r>
                                  <w:r>
                                    <w:t>[1]</w:t>
                                  </w:r>
                                  <w:r>
                                    <w:fldChar w:fldCharType="end"/>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1.05pt;width:161.65pt;height:25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">
                      <v:textbox>
                        <w:txbxContent>
                          <w:p w:rsidR="000865B2" w:rsidRDefault="000865B2" w:rsidP="000865B2">
                            <w:r>
                              <w:rPr>
                                <w:noProof/>
                                <w:lang w:val="en-NZ" w:eastAsia="en-NZ"/>
                              </w:rPr>
                              <w:drawing>
                                <wp:inline distT="0" distB="0" distL="0" distR="0">
                                  <wp:extent cx="1857375" cy="2667000"/>
                                  <wp:effectExtent l="0" t="0" r="9525" b="0"/>
                                  <wp:docPr id="1" name="Picture 1" descr="fen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ne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2667000"/>
                                          </a:xfrm>
                                          <a:prstGeom prst="rect">
                                            <a:avLst/>
                                          </a:prstGeom>
                                          <a:noFill/>
                                          <a:ln>
                                            <a:noFill/>
                                          </a:ln>
                                        </pic:spPr>
                                      </pic:pic>
                                    </a:graphicData>
                                  </a:graphic>
                                </wp:inline>
                              </w:drawing>
                            </w:r>
                          </w:p>
                          <w:p w:rsidR="000865B2" w:rsidRDefault="000865B2" w:rsidP="000865B2">
                            <w:r>
                              <w:t xml:space="preserve">Fig. 2. Genome health concept, </w:t>
                            </w:r>
                          </w:p>
                          <w:p w:rsidR="000865B2" w:rsidRDefault="000865B2" w:rsidP="000865B2">
                            <w:r>
                              <w:t xml:space="preserve">as outlined by </w:t>
                            </w:r>
                            <w:proofErr w:type="spellStart"/>
                            <w:r>
                              <w:t>Fenech</w:t>
                            </w:r>
                            <w:proofErr w:type="spellEnd"/>
                            <w:r>
                              <w:t>, 2005</w:t>
                            </w:r>
                            <w:r>
                              <w:fldChar w:fldCharType="begin"/>
                            </w:r>
                            <w:r>
                              <w:instrText xml:space="preserve"> ADDIN EN.CITE &lt;EndNote&gt;&lt;Cite&gt;&lt;Author&gt;Fenech&lt;/Author&gt;&lt;Year&gt;2005&lt;/Year&gt;&lt;RecNum&gt;15&lt;/RecNum&gt;&lt;MDL&gt;&lt;REFERENCE_TYPE&gt;0&lt;/REFERENCE_TYPE&gt;&lt;REFNUM&gt;15&lt;/REFNUM&gt;&lt;AUTHORS&gt;&lt;AUTHOR&gt;M. Fenech&lt;/AUTHOR&gt;&lt;/AUTHORS&gt;&lt;YEAR&gt;2005&lt;/YEAR&gt;&lt;TITLE&gt;The Genome Health Clinic and Genome Health Nutrigenomics concepts: diagnosis and nutritional treatment of genome and epigenome damage on an individual basis&lt;/TITLE&gt;&lt;SECONDARY_TITLE&gt;Mutagenesis&lt;/SECONDARY_TITLE&gt;&lt;VOLUME&gt;20&lt;/VOLUME&gt;&lt;NUMBER&gt;4&lt;/NUMBER&gt;&lt;PAGES&gt;255-269&lt;/PAGES&gt;&lt;/MDL&gt;&lt;/Cite&gt;&lt;/EndNote&gt;</w:instrText>
                            </w:r>
                            <w:r>
                              <w:fldChar w:fldCharType="separate"/>
                            </w:r>
                            <w:r>
                              <w:t>[1]</w:t>
                            </w:r>
                            <w:r>
                              <w:fldChar w:fldCharType="end"/>
                            </w:r>
                          </w:p>
                        </w:txbxContent>
                      </v:textbox>
                      <w10:wrap type="square"/>
                    </v:shape>
                  </w:pict>
                </mc:Fallback>
              </mc:AlternateContent>
            </w:r>
            <w:r w:rsidRPr="00741FB4">
              <w:t xml:space="preserve">We would anticipate that this </w:t>
            </w:r>
            <w:r>
              <w:t xml:space="preserve">study approach </w:t>
            </w:r>
            <w:r w:rsidRPr="00741FB4">
              <w:t xml:space="preserve">will lead us </w:t>
            </w:r>
            <w:r>
              <w:t>better understand the design features in scaling up populations or individuals to</w:t>
            </w:r>
            <w:r w:rsidRPr="00741FB4">
              <w:t xml:space="preserve"> </w:t>
            </w:r>
            <w:r>
              <w:t>the person</w:t>
            </w:r>
            <w:r w:rsidRPr="00741FB4">
              <w:t xml:space="preserve">alised advice </w:t>
            </w:r>
            <w:r>
              <w:t>that is</w:t>
            </w:r>
            <w:r w:rsidRPr="00741FB4">
              <w:t xml:space="preserve"> essential to reduce cancer risk in high risk groups.  The concept of a “genome health” clinic has been recently discussed by Fenech</w:t>
            </w:r>
            <w:r>
              <w:t xml:space="preserve"> </w:t>
            </w:r>
            <w:r>
              <w:fldChar w:fldCharType="begin"/>
            </w:r>
            <w:r>
              <w:instrText xml:space="preserve"> ADDIN EN.CITE &lt;EndNote&gt;&lt;Cite&gt;&lt;Author&gt;Fenech&lt;/Author&gt;&lt;Year&gt;2005&lt;/Year&gt;&lt;RecNum&gt;15&lt;/RecNum&gt;&lt;MDL&gt;&lt;REFERENCE_TYPE&gt;0&lt;/REFERENCE_TYPE&gt;&lt;REFNUM&gt;15&lt;/REFNUM&gt;&lt;AUTHORS&gt;&lt;AUTHOR&gt;M. Fenech&lt;/AUTHOR&gt;&lt;/AUTHORS&gt;&lt;YEAR&gt;2005&lt;/YEAR&gt;&lt;TITLE&gt;The Genome Health Clinic and Genome Health Nutrigenomics concepts: diagnosis and nutritional treatment of genome and epigenome damage on an individual basis&lt;/TITLE&gt;&lt;SECONDARY_TITLE&gt;Mutagenesis&lt;/SECONDARY_TITLE&gt;&lt;VOLUME&gt;20&lt;/VOLUME&gt;&lt;NUMBER&gt;4&lt;/NUMBER&gt;&lt;PAGES&gt;255-269&lt;/PAGES&gt;&lt;/MDL&gt;&lt;/Cite&gt;&lt;/EndNote&gt;</w:instrText>
            </w:r>
            <w:r>
              <w:fldChar w:fldCharType="separate"/>
            </w:r>
            <w:r>
              <w:t>[1]</w:t>
            </w:r>
            <w:r>
              <w:fldChar w:fldCharType="end"/>
            </w:r>
            <w:r>
              <w:t xml:space="preserve">.  </w:t>
            </w:r>
            <w:r w:rsidRPr="00741FB4">
              <w:t>He proposes that data such as obtained as a result of our pilot study can be integrated into an overall health strategy</w:t>
            </w:r>
            <w:r>
              <w:t>,</w:t>
            </w:r>
            <w:r w:rsidRPr="00741FB4">
              <w:t xml:space="preserve"> utilis</w:t>
            </w:r>
            <w:r>
              <w:t>ing</w:t>
            </w:r>
            <w:r w:rsidRPr="00741FB4">
              <w:t xml:space="preserve"> information from </w:t>
            </w:r>
            <w:r>
              <w:t>“</w:t>
            </w:r>
            <w:r w:rsidRPr="00741FB4">
              <w:t>genome health diagnostics</w:t>
            </w:r>
            <w:r>
              <w:t>”</w:t>
            </w:r>
            <w:r w:rsidRPr="00741FB4">
              <w:t xml:space="preserve"> including biomarkers of chromosomal damage such as the COMET assay. Applying this concept to </w:t>
            </w:r>
            <w:r>
              <w:t>Se</w:t>
            </w:r>
            <w:r w:rsidRPr="00741FB4">
              <w:t xml:space="preserve"> would involve </w:t>
            </w:r>
            <w:r>
              <w:t>interrogating</w:t>
            </w:r>
            <w:r w:rsidRPr="00741FB4">
              <w:t xml:space="preserve"> </w:t>
            </w:r>
            <w:r>
              <w:t>s</w:t>
            </w:r>
            <w:r w:rsidRPr="00741FB4">
              <w:t>erum Se</w:t>
            </w:r>
            <w:r>
              <w:t xml:space="preserve"> and key SNPs,</w:t>
            </w:r>
            <w:r w:rsidRPr="00741FB4">
              <w:t xml:space="preserve"> and comparing this with information in a </w:t>
            </w:r>
            <w:r>
              <w:t>“</w:t>
            </w:r>
            <w:r w:rsidRPr="00741FB4">
              <w:t>Genome Health Nutrigenomics</w:t>
            </w:r>
            <w:r>
              <w:t>”</w:t>
            </w:r>
            <w:r w:rsidRPr="00741FB4">
              <w:t xml:space="preserve"> database, containing data on the genome stability response to dietary treatment in relationship </w:t>
            </w:r>
            <w:r>
              <w:t>to</w:t>
            </w:r>
            <w:r w:rsidRPr="00741FB4">
              <w:t xml:space="preserve"> genetic background. </w:t>
            </w:r>
          </w:p>
          <w:p w:rsidR="000865B2" w:rsidRPr="00AB15C9" w:rsidRDefault="000865B2" w:rsidP="004530DC">
            <w:pPr>
              <w:pStyle w:val="NormalWeb"/>
              <w:spacing w:after="240" w:afterAutospacing="0"/>
            </w:pPr>
            <w:r w:rsidRPr="00AB15C9">
              <w:t xml:space="preserve">The Ministry of Health and New Zealand Cancer Control Trust have issued the following statements about cancer control in </w:t>
            </w:r>
            <w:smartTag w:uri="urn:schemas-microsoft-com:office:smarttags" w:element="country-region">
              <w:r w:rsidRPr="00AB15C9">
                <w:t>New Zealand</w:t>
              </w:r>
            </w:smartTag>
            <w:r w:rsidRPr="00AB15C9">
              <w:t xml:space="preserve"> </w:t>
            </w:r>
            <w:r>
              <w:fldChar w:fldCharType="begin"/>
            </w:r>
            <w:r>
              <w:instrText xml:space="preserve"> ADDIN EN.CITE &lt;EndNote&gt;&lt;Cite&gt;&lt;Author&gt;Ministry_of_Health&lt;/Author&gt;&lt;Year&gt;2003&lt;/Year&gt;&lt;RecNum&gt;494&lt;/RecNum&gt;&lt;MDL&gt;&lt;REFERENCE_TYPE&gt;10&lt;/REFERENCE_TYPE&gt;&lt;REFNUM&gt;494&lt;/REFNUM&gt;&lt;AUTHORS&gt;&lt;AUTHOR&gt;Ministry_of_Health&lt;/AUTHOR&gt;&lt;/AUTHORS&gt;&lt;YEAR&gt;2003&lt;/YEAR&gt;&lt;TITLE&gt;Ministry of Health and the New Zealand Cancer Control Trust: The New Zealand Cancer Control Strategy&lt;/TITLE&gt;&lt;PAGES&gt;84&lt;/PAGES&gt;&lt;/MDL&gt;&lt;/Cite&gt;&lt;Cite&gt;&lt;Author&gt;Ministry_of_Health&lt;/Author&gt;&lt;Year&gt;2003&lt;/Year&gt;&lt;RecNum&gt;495&lt;/RecNum&gt;&lt;MDL&gt;&lt;REFERENCE_TYPE&gt;16&lt;/REFERENCE_TYPE&gt;&lt;REFNUM&gt;495&lt;/REFNUM&gt;&lt;AUTHORS&gt;&lt;AUTHOR&gt;Ministry_of_Health&lt;/AUTHOR&gt;&lt;/AUTHORS&gt;&lt;YEAR&gt;2003&lt;/YEAR&gt;&lt;TITLE&gt;http://www.moh.govt.nz/cancercontrol&lt;/TITLE&gt;&lt;/MDL&gt;&lt;/Cite&gt;&lt;/EndNote&gt;</w:instrText>
            </w:r>
            <w:r>
              <w:fldChar w:fldCharType="separate"/>
            </w:r>
            <w:r>
              <w:t>[58, 59]</w:t>
            </w:r>
            <w:r>
              <w:fldChar w:fldCharType="end"/>
            </w:r>
            <w:r w:rsidRPr="00AB15C9">
              <w:t xml:space="preserve">: “Cancer is a major public health issue in </w:t>
            </w:r>
            <w:smartTag w:uri="urn:schemas-microsoft-com:office:smarttags" w:element="country-region">
              <w:smartTag w:uri="urn:schemas-microsoft-com:office:smarttags" w:element="place">
                <w:r w:rsidRPr="00AB15C9">
                  <w:t>New Zealand</w:t>
                </w:r>
              </w:smartTag>
            </w:smartTag>
            <w:r w:rsidRPr="00AB15C9">
              <w:t>, as in other economically developed countries. It ranks second as a cause of death (after cardiovascular disease), accounting for more than a quarter of all deaths in the late 1990s</w:t>
            </w:r>
            <w:r>
              <w:t>”.</w:t>
            </w:r>
            <w:r w:rsidRPr="00AB15C9">
              <w:t xml:space="preserve"> </w:t>
            </w:r>
            <w:r>
              <w:t xml:space="preserve"> </w:t>
            </w:r>
            <w:r w:rsidRPr="00AB15C9">
              <w:t>Cancer control is an organised approach to reducing the burden of cancer in our community through prevention, screening and early detection, treatment, support and rehabilitation, and palliative care. Cancer control has therefore been given a high priority by the Government. The aim of reducing the incidence and impact of cancer is one of the 13 population health objectives of the</w:t>
            </w:r>
            <w:r w:rsidRPr="00AB15C9">
              <w:rPr>
                <w:color w:val="000080"/>
              </w:rPr>
              <w:t xml:space="preserve"> </w:t>
            </w:r>
            <w:hyperlink r:id="rId7" w:history="1">
              <w:r w:rsidRPr="00AB15C9">
                <w:rPr>
                  <w:rStyle w:val="Hyperlink"/>
                </w:rPr>
                <w:t>New Zealand Health Strategy</w:t>
              </w:r>
            </w:hyperlink>
            <w:r w:rsidRPr="00AB15C9">
              <w:t xml:space="preserve">, which was launched in December 2000. It is also the key aim of the </w:t>
            </w:r>
            <w:hyperlink r:id="rId8" w:anchor="cancercontrol" w:history="1">
              <w:r w:rsidRPr="00AB15C9">
                <w:rPr>
                  <w:rStyle w:val="Hyperlink"/>
                </w:rPr>
                <w:t>New Zealand Cancer Control Strategy</w:t>
              </w:r>
            </w:hyperlink>
            <w:r w:rsidRPr="00AB15C9">
              <w:t xml:space="preserve">. The Minister of Health has agreed to the establishment of a </w:t>
            </w:r>
            <w:hyperlink r:id="rId9" w:history="1">
              <w:r w:rsidRPr="00AB15C9">
                <w:rPr>
                  <w:rStyle w:val="Hyperlink"/>
                </w:rPr>
                <w:t>Cancer Control Council</w:t>
              </w:r>
            </w:hyperlink>
            <w:r w:rsidRPr="00AB15C9">
              <w:t xml:space="preserve">. The Council's key objective will be to lead the sector to successfully implement </w:t>
            </w:r>
            <w:smartTag w:uri="urn:schemas-microsoft-com:office:smarttags" w:element="place">
              <w:smartTag w:uri="urn:schemas-microsoft-com:office:smarttags" w:element="country-region">
                <w:r w:rsidRPr="00AB15C9">
                  <w:t>New Zealand</w:t>
                </w:r>
              </w:smartTag>
            </w:smartTag>
            <w:r w:rsidRPr="00AB15C9">
              <w:t>'s Cancer Control Strategy, of which the key purposes are to:</w:t>
            </w:r>
          </w:p>
          <w:p w:rsidR="000865B2" w:rsidRPr="00AB15C9" w:rsidRDefault="000865B2" w:rsidP="000865B2">
            <w:pPr>
              <w:numPr>
                <w:ilvl w:val="1"/>
                <w:numId w:val="2"/>
              </w:numPr>
              <w:spacing w:before="100" w:beforeAutospacing="1" w:after="100" w:afterAutospacing="1"/>
            </w:pPr>
            <w:r w:rsidRPr="00AB15C9">
              <w:t xml:space="preserve">reduce the incidence and impact of cancer </w:t>
            </w:r>
          </w:p>
          <w:p w:rsidR="000865B2" w:rsidRPr="00AB15C9" w:rsidRDefault="000865B2" w:rsidP="000865B2">
            <w:pPr>
              <w:numPr>
                <w:ilvl w:val="1"/>
                <w:numId w:val="2"/>
              </w:numPr>
              <w:spacing w:before="100" w:beforeAutospacing="1" w:after="100" w:afterAutospacing="1"/>
            </w:pPr>
            <w:r w:rsidRPr="00AB15C9">
              <w:t xml:space="preserve">reduce inequalities with respect to cancer.” </w:t>
            </w:r>
          </w:p>
          <w:p w:rsidR="000865B2" w:rsidRPr="00AB15C9" w:rsidRDefault="000865B2" w:rsidP="004530DC">
            <w:pPr>
              <w:pStyle w:val="BodyText"/>
              <w:spacing w:before="120" w:after="0"/>
            </w:pPr>
            <w:r w:rsidRPr="00AB15C9">
              <w:t>The first goal of this strategy is to reduce the incidence of cancer through primary prevention</w:t>
            </w:r>
            <w:r>
              <w:t>”</w:t>
            </w:r>
            <w:r w:rsidRPr="00AB15C9">
              <w:t>.</w:t>
            </w:r>
          </w:p>
          <w:p w:rsidR="000865B2" w:rsidRDefault="000865B2" w:rsidP="004530DC">
            <w:pPr>
              <w:pStyle w:val="BodyText"/>
              <w:spacing w:before="120" w:after="0"/>
            </w:pPr>
            <w:r w:rsidRPr="00AB15C9">
              <w:t>Epidemiologic studies have shown a consistent trend for populati</w:t>
            </w:r>
            <w:r w:rsidRPr="004E0F56">
              <w:t xml:space="preserve">ons with low Se levels to have a higher mortality from </w:t>
            </w:r>
            <w:r w:rsidRPr="00F019E3">
              <w:t>cancer [</w:t>
            </w:r>
            <w:r w:rsidRPr="00F019E3">
              <w:fldChar w:fldCharType="begin"/>
            </w:r>
            <w:r w:rsidRPr="00F019E3">
              <w:instrText xml:space="preserve"> QUOTE "8,10" </w:instrText>
            </w:r>
            <w:r w:rsidRPr="00F019E3">
              <w:rPr>
                <w:vanish/>
              </w:rPr>
              <w:fldChar w:fldCharType="begin"/>
            </w:r>
            <w:r w:rsidRPr="00F019E3">
              <w:rPr>
                <w:vanish/>
              </w:rPr>
              <w:instrText xml:space="preserve"> ADDIN PROCITE ÿ\11\05‘\19\02\00\00\00\048,10\01\01\00\04\00\00\01\00\00\00ã\03x\02\00\00\00ž²\00xZ`–\00\14\00\00\00¶¹÷¿®e \00\00\00/\00\00\00 O:\5CProcite\5CDatabase\5CSelenium.pdt\1FClark, Cantor, et al. 1991 #480\00\1F\00 </w:instrText>
            </w:r>
            <w:r w:rsidRPr="00F019E3">
              <w:rPr>
                <w:vanish/>
              </w:rPr>
              <w:fldChar w:fldCharType="end"/>
            </w:r>
            <w:r w:rsidRPr="00F019E3">
              <w:fldChar w:fldCharType="separate"/>
            </w:r>
            <w:r w:rsidRPr="00F019E3">
              <w:t>8,10</w:t>
            </w:r>
            <w:r w:rsidRPr="00F019E3">
              <w:fldChar w:fldCharType="end"/>
            </w:r>
            <w:r w:rsidRPr="00F019E3">
              <w:t>]</w:t>
            </w:r>
            <w:r w:rsidRPr="00F019E3">
              <w:fldChar w:fldCharType="begin"/>
            </w:r>
            <w:r w:rsidRPr="00F019E3">
              <w:instrText xml:space="preserve"> QUOTE "" </w:instrText>
            </w:r>
            <w:r w:rsidRPr="00F019E3">
              <w:rPr>
                <w:vanish/>
              </w:rPr>
              <w:fldChar w:fldCharType="begin"/>
            </w:r>
            <w:r w:rsidRPr="00F019E3">
              <w:rPr>
                <w:vanish/>
              </w:rPr>
              <w:instrText xml:space="preserve"> ADDIN PROCITE ÿ\11\05‘\19\02\00\00\00\00\01\00\000\00\00\00 O:\5CProcite\5CDatabase\5CSelenium.pdt!Caygill, Lavery, et al. 1989 #490\00!\00 </w:instrText>
            </w:r>
            <w:r w:rsidRPr="00F019E3">
              <w:rPr>
                <w:vanish/>
              </w:rPr>
              <w:fldChar w:fldCharType="end"/>
            </w:r>
            <w:r w:rsidRPr="00F019E3">
              <w:fldChar w:fldCharType="end"/>
            </w:r>
            <w:r w:rsidRPr="00F019E3">
              <w:t>.  The</w:t>
            </w:r>
            <w:r w:rsidRPr="00F636EB">
              <w:t xml:space="preserve"> selection of </w:t>
            </w:r>
            <w:smartTag w:uri="urn:schemas-microsoft-com:office:smarttags" w:element="country-region">
              <w:r w:rsidRPr="00F636EB">
                <w:t>New Zealand</w:t>
              </w:r>
            </w:smartTag>
            <w:r>
              <w:t xml:space="preserve"> as the centre for this present </w:t>
            </w:r>
            <w:r w:rsidRPr="00F636EB">
              <w:t>study</w:t>
            </w:r>
            <w:r>
              <w:t>, and the selection of Se as the first nutrient for which we will explore methodology for nutrigenomics,</w:t>
            </w:r>
            <w:r w:rsidRPr="00F636EB">
              <w:t xml:space="preserve"> is justified by the exceptionally low </w:t>
            </w:r>
            <w:r>
              <w:t>Se</w:t>
            </w:r>
            <w:r w:rsidRPr="00F636EB">
              <w:t xml:space="preserve"> levels in the soils and in the population of </w:t>
            </w:r>
            <w:smartTag w:uri="urn:schemas-microsoft-com:office:smarttags" w:element="place">
              <w:smartTag w:uri="urn:schemas-microsoft-com:office:smarttags" w:element="country-region">
                <w:r w:rsidRPr="00F636EB">
                  <w:t>New Zealand</w:t>
                </w:r>
              </w:smartTag>
            </w:smartTag>
            <w:r w:rsidRPr="00F636EB">
              <w:t xml:space="preserve">. </w:t>
            </w:r>
            <w:r>
              <w:t xml:space="preserve"> </w:t>
            </w:r>
            <w:r w:rsidRPr="00F636EB">
              <w:t xml:space="preserve">While the </w:t>
            </w:r>
            <w:r>
              <w:t xml:space="preserve">Se </w:t>
            </w:r>
            <w:r w:rsidRPr="00F636EB">
              <w:t xml:space="preserve">intake in the </w:t>
            </w:r>
            <w:smartTag w:uri="urn:schemas-microsoft-com:office:smarttags" w:element="country-region">
              <w:r w:rsidRPr="00F636EB">
                <w:t>New Zealand</w:t>
              </w:r>
            </w:smartTag>
            <w:r w:rsidRPr="00F636EB">
              <w:t xml:space="preserve"> population has increased by about 50% since the large-scale importation of wheat from </w:t>
            </w:r>
            <w:smartTag w:uri="urn:schemas-microsoft-com:office:smarttags" w:element="country-region">
              <w:r w:rsidRPr="00F019E3">
                <w:t>Australia</w:t>
              </w:r>
            </w:smartTag>
            <w:r w:rsidRPr="00F019E3">
              <w:t xml:space="preserve"> [</w:t>
            </w:r>
            <w:r w:rsidRPr="00F019E3">
              <w:fldChar w:fldCharType="begin"/>
            </w:r>
            <w:r w:rsidRPr="00F019E3">
              <w:instrText xml:space="preserve"> QUOTE "58" </w:instrText>
            </w:r>
            <w:r w:rsidRPr="00F019E3">
              <w:rPr>
                <w:vanish/>
              </w:rPr>
              <w:fldChar w:fldCharType="begin"/>
            </w:r>
            <w:r w:rsidRPr="00F019E3">
              <w:rPr>
                <w:vanish/>
              </w:rPr>
              <w:instrText xml:space="preserve"> ADDIN PROCITE ÿ\11\05‘\19\02\00\00\00\0258\01\01\00\02\00\00\01\00\00\00ã\03x\01\00\00\00ž²\00x\1A0–\00#\00\00\00¶¹÷¿®e\10\00\00\00¥\09\00\00 O:\5CProcite\5CDatabase\5CSelenium.pdt\1EThomson &amp; Robinson 1996 #18527\00\1E\00 </w:instrText>
            </w:r>
            <w:r w:rsidRPr="00F019E3">
              <w:rPr>
                <w:vanish/>
              </w:rPr>
              <w:fldChar w:fldCharType="end"/>
            </w:r>
            <w:r w:rsidRPr="00F019E3">
              <w:fldChar w:fldCharType="separate"/>
            </w:r>
            <w:r w:rsidRPr="00F019E3">
              <w:t>58</w:t>
            </w:r>
            <w:r w:rsidRPr="00F019E3">
              <w:fldChar w:fldCharType="end"/>
            </w:r>
            <w:r w:rsidRPr="00F019E3">
              <w:t>], the</w:t>
            </w:r>
            <w:r>
              <w:t xml:space="preserve"> blood Se levels in an </w:t>
            </w:r>
            <w:smartTag w:uri="urn:schemas-microsoft-com:office:smarttags" w:element="place">
              <w:smartTag w:uri="urn:schemas-microsoft-com:office:smarttags" w:element="City">
                <w:r>
                  <w:t>Auckland</w:t>
                </w:r>
              </w:smartTag>
            </w:smartTag>
            <w:r>
              <w:t xml:space="preserve"> </w:t>
            </w:r>
            <w:r w:rsidRPr="00F636EB">
              <w:t xml:space="preserve">cohort </w:t>
            </w:r>
            <w:r>
              <w:t>are still low by international standards.</w:t>
            </w:r>
          </w:p>
          <w:p w:rsidR="000865B2" w:rsidRPr="00F636EB" w:rsidRDefault="000865B2" w:rsidP="004530DC">
            <w:pPr>
              <w:pStyle w:val="BodyText"/>
              <w:spacing w:before="120" w:after="0"/>
            </w:pPr>
          </w:p>
          <w:p w:rsidR="000865B2" w:rsidRPr="00795598" w:rsidRDefault="000865B2" w:rsidP="004530DC">
            <w:pPr>
              <w:pStyle w:val="BodyText"/>
              <w:spacing w:before="120" w:after="0"/>
              <w:rPr>
                <w:b/>
                <w:sz w:val="28"/>
                <w:szCs w:val="28"/>
              </w:rPr>
            </w:pPr>
            <w:r w:rsidRPr="00795598">
              <w:rPr>
                <w:b/>
                <w:sz w:val="28"/>
                <w:szCs w:val="28"/>
              </w:rPr>
              <w:t>6. Dissemination of results</w:t>
            </w:r>
          </w:p>
          <w:p w:rsidR="000865B2" w:rsidRDefault="000865B2" w:rsidP="004530DC">
            <w:pPr>
              <w:ind w:right="-5"/>
            </w:pPr>
            <w:r>
              <w:t>We anticipate that the major vehicle for dissemination of results would be in international refereed journals and at International Conferences on Selenium and/or Nutrigenomics. In addition, however, there are public health messages to be gained from this study.  Media releases may well be appropriate.</w:t>
            </w:r>
          </w:p>
          <w:p w:rsidR="000865B2" w:rsidRPr="002E7CA2" w:rsidRDefault="000865B2" w:rsidP="004530DC">
            <w:pPr>
              <w:ind w:right="-5"/>
              <w:rPr>
                <w:rFonts w:ascii="Helvetica" w:hAnsi="Helvetica"/>
                <w:b/>
              </w:rPr>
            </w:pPr>
          </w:p>
          <w:p w:rsidR="000865B2" w:rsidRDefault="000865B2" w:rsidP="004530DC">
            <w:pPr>
              <w:tabs>
                <w:tab w:val="left" w:pos="0"/>
              </w:tabs>
              <w:rPr>
                <w:sz w:val="22"/>
              </w:rPr>
            </w:pPr>
          </w:p>
        </w:tc>
      </w:tr>
    </w:tbl>
    <w:p w:rsidR="00277D15" w:rsidRDefault="00277D15"/>
    <w:sectPr w:rsidR="00277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843"/>
    <w:multiLevelType w:val="multilevel"/>
    <w:tmpl w:val="B7523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D68E6"/>
    <w:multiLevelType w:val="hybridMultilevel"/>
    <w:tmpl w:val="179620A2"/>
    <w:lvl w:ilvl="0" w:tplc="04090001">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28"/>
        </w:tabs>
        <w:ind w:left="1428" w:hanging="360"/>
      </w:pPr>
      <w:rPr>
        <w:rFonts w:ascii="Courier New" w:hAnsi="Courier New" w:cs="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cs="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cs="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B2"/>
    <w:rsid w:val="00013C37"/>
    <w:rsid w:val="00015C2C"/>
    <w:rsid w:val="00024454"/>
    <w:rsid w:val="00035D2B"/>
    <w:rsid w:val="00040318"/>
    <w:rsid w:val="0008060E"/>
    <w:rsid w:val="000865B2"/>
    <w:rsid w:val="000B342A"/>
    <w:rsid w:val="000D34AD"/>
    <w:rsid w:val="000D380F"/>
    <w:rsid w:val="000E00F1"/>
    <w:rsid w:val="000E3E79"/>
    <w:rsid w:val="00103F0D"/>
    <w:rsid w:val="001311A8"/>
    <w:rsid w:val="00144F9B"/>
    <w:rsid w:val="001853FF"/>
    <w:rsid w:val="001968E1"/>
    <w:rsid w:val="00196B4F"/>
    <w:rsid w:val="001B2E65"/>
    <w:rsid w:val="001B727E"/>
    <w:rsid w:val="001D5635"/>
    <w:rsid w:val="001E4534"/>
    <w:rsid w:val="001F5CB0"/>
    <w:rsid w:val="00206BAF"/>
    <w:rsid w:val="002101BB"/>
    <w:rsid w:val="0022052C"/>
    <w:rsid w:val="002210B6"/>
    <w:rsid w:val="00234354"/>
    <w:rsid w:val="00240CE5"/>
    <w:rsid w:val="002602AB"/>
    <w:rsid w:val="00264357"/>
    <w:rsid w:val="002716E8"/>
    <w:rsid w:val="002758B5"/>
    <w:rsid w:val="00277D15"/>
    <w:rsid w:val="00280DE3"/>
    <w:rsid w:val="00284007"/>
    <w:rsid w:val="002C6227"/>
    <w:rsid w:val="002F6B66"/>
    <w:rsid w:val="002F707D"/>
    <w:rsid w:val="00305822"/>
    <w:rsid w:val="003223A3"/>
    <w:rsid w:val="00330608"/>
    <w:rsid w:val="003445CF"/>
    <w:rsid w:val="00352B1B"/>
    <w:rsid w:val="003709C6"/>
    <w:rsid w:val="0037146E"/>
    <w:rsid w:val="003838FA"/>
    <w:rsid w:val="003A3C14"/>
    <w:rsid w:val="003A6A61"/>
    <w:rsid w:val="003C541B"/>
    <w:rsid w:val="003C683E"/>
    <w:rsid w:val="003D4035"/>
    <w:rsid w:val="003E6228"/>
    <w:rsid w:val="0040116F"/>
    <w:rsid w:val="00403C4D"/>
    <w:rsid w:val="00404F9F"/>
    <w:rsid w:val="00405C1C"/>
    <w:rsid w:val="004114EC"/>
    <w:rsid w:val="004142D2"/>
    <w:rsid w:val="00415B50"/>
    <w:rsid w:val="00422D5C"/>
    <w:rsid w:val="00431AB9"/>
    <w:rsid w:val="0043275A"/>
    <w:rsid w:val="0044316D"/>
    <w:rsid w:val="004461C1"/>
    <w:rsid w:val="00447891"/>
    <w:rsid w:val="00473681"/>
    <w:rsid w:val="00482A86"/>
    <w:rsid w:val="004A7150"/>
    <w:rsid w:val="004C01F4"/>
    <w:rsid w:val="004E6BCE"/>
    <w:rsid w:val="004F5D6D"/>
    <w:rsid w:val="00582119"/>
    <w:rsid w:val="0058482C"/>
    <w:rsid w:val="00585EE4"/>
    <w:rsid w:val="005871EB"/>
    <w:rsid w:val="00595065"/>
    <w:rsid w:val="005961A6"/>
    <w:rsid w:val="005A0278"/>
    <w:rsid w:val="005B4473"/>
    <w:rsid w:val="005C169D"/>
    <w:rsid w:val="005C295F"/>
    <w:rsid w:val="00616848"/>
    <w:rsid w:val="00637C92"/>
    <w:rsid w:val="00650B9A"/>
    <w:rsid w:val="0065419B"/>
    <w:rsid w:val="006665BB"/>
    <w:rsid w:val="00670C1F"/>
    <w:rsid w:val="006A2615"/>
    <w:rsid w:val="006A57EA"/>
    <w:rsid w:val="006D7827"/>
    <w:rsid w:val="006E6F2E"/>
    <w:rsid w:val="006F405E"/>
    <w:rsid w:val="006F4B57"/>
    <w:rsid w:val="00711492"/>
    <w:rsid w:val="007141FE"/>
    <w:rsid w:val="007325F0"/>
    <w:rsid w:val="007326D4"/>
    <w:rsid w:val="00756A6F"/>
    <w:rsid w:val="00792A52"/>
    <w:rsid w:val="007950B2"/>
    <w:rsid w:val="007B3DDE"/>
    <w:rsid w:val="007C0A4E"/>
    <w:rsid w:val="0080730A"/>
    <w:rsid w:val="008236DF"/>
    <w:rsid w:val="0083302C"/>
    <w:rsid w:val="00835C41"/>
    <w:rsid w:val="00850769"/>
    <w:rsid w:val="00874377"/>
    <w:rsid w:val="0088636B"/>
    <w:rsid w:val="008A0DDF"/>
    <w:rsid w:val="008B5504"/>
    <w:rsid w:val="008D4234"/>
    <w:rsid w:val="008E785F"/>
    <w:rsid w:val="008F09C9"/>
    <w:rsid w:val="008F5F6F"/>
    <w:rsid w:val="008F6151"/>
    <w:rsid w:val="00916F1F"/>
    <w:rsid w:val="009545A7"/>
    <w:rsid w:val="00962A0A"/>
    <w:rsid w:val="00971875"/>
    <w:rsid w:val="009904A5"/>
    <w:rsid w:val="009B1C98"/>
    <w:rsid w:val="009E4B44"/>
    <w:rsid w:val="009E6F18"/>
    <w:rsid w:val="009F2B44"/>
    <w:rsid w:val="00A02FFD"/>
    <w:rsid w:val="00A17E37"/>
    <w:rsid w:val="00A22831"/>
    <w:rsid w:val="00A30754"/>
    <w:rsid w:val="00A32C77"/>
    <w:rsid w:val="00A37273"/>
    <w:rsid w:val="00AA269D"/>
    <w:rsid w:val="00AA2B64"/>
    <w:rsid w:val="00AC45C0"/>
    <w:rsid w:val="00AD6A8F"/>
    <w:rsid w:val="00AD7EC7"/>
    <w:rsid w:val="00AE1D57"/>
    <w:rsid w:val="00AE6A9A"/>
    <w:rsid w:val="00AF3244"/>
    <w:rsid w:val="00B0534E"/>
    <w:rsid w:val="00B07125"/>
    <w:rsid w:val="00B07B8B"/>
    <w:rsid w:val="00B74995"/>
    <w:rsid w:val="00BB4BB9"/>
    <w:rsid w:val="00BB5346"/>
    <w:rsid w:val="00BC1596"/>
    <w:rsid w:val="00BD71D3"/>
    <w:rsid w:val="00BD7D9E"/>
    <w:rsid w:val="00C03A7C"/>
    <w:rsid w:val="00C14002"/>
    <w:rsid w:val="00C34C15"/>
    <w:rsid w:val="00C350E0"/>
    <w:rsid w:val="00C76157"/>
    <w:rsid w:val="00CB0B6D"/>
    <w:rsid w:val="00CD26E7"/>
    <w:rsid w:val="00CD3DAB"/>
    <w:rsid w:val="00CD4C92"/>
    <w:rsid w:val="00CE1BB4"/>
    <w:rsid w:val="00CE402B"/>
    <w:rsid w:val="00CE4B7B"/>
    <w:rsid w:val="00CF16AD"/>
    <w:rsid w:val="00D023B3"/>
    <w:rsid w:val="00D30B7F"/>
    <w:rsid w:val="00D37CCE"/>
    <w:rsid w:val="00D5665C"/>
    <w:rsid w:val="00D63442"/>
    <w:rsid w:val="00D667B8"/>
    <w:rsid w:val="00D764B0"/>
    <w:rsid w:val="00DC0C09"/>
    <w:rsid w:val="00DC2266"/>
    <w:rsid w:val="00DD0D50"/>
    <w:rsid w:val="00E12DFF"/>
    <w:rsid w:val="00E23399"/>
    <w:rsid w:val="00E23712"/>
    <w:rsid w:val="00E31003"/>
    <w:rsid w:val="00E551DE"/>
    <w:rsid w:val="00EB01CD"/>
    <w:rsid w:val="00EB40FE"/>
    <w:rsid w:val="00EC5A66"/>
    <w:rsid w:val="00ED0756"/>
    <w:rsid w:val="00EE52CC"/>
    <w:rsid w:val="00F06B63"/>
    <w:rsid w:val="00F22705"/>
    <w:rsid w:val="00F34E12"/>
    <w:rsid w:val="00F54657"/>
    <w:rsid w:val="00F7512B"/>
    <w:rsid w:val="00F81982"/>
    <w:rsid w:val="00F84195"/>
    <w:rsid w:val="00F94D38"/>
    <w:rsid w:val="00FA1C7A"/>
    <w:rsid w:val="00FB480B"/>
    <w:rsid w:val="00FC019F"/>
    <w:rsid w:val="00FF08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174AC47"/>
  <w15:chartTrackingRefBased/>
  <w15:docId w15:val="{707B03B9-B2E4-49C4-8227-D4F9C2AF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5B2"/>
    <w:pPr>
      <w:spacing w:after="0" w:line="240" w:lineRule="auto"/>
    </w:pPr>
    <w:rPr>
      <w:rFonts w:ascii="Times New Roman" w:eastAsia="Times New Roman" w:hAnsi="Times New Roman" w:cs="Times New Roman"/>
      <w:sz w:val="20"/>
      <w:szCs w:val="20"/>
      <w:lang w:val="en-AU"/>
    </w:rPr>
  </w:style>
  <w:style w:type="paragraph" w:styleId="Heading3">
    <w:name w:val="heading 3"/>
    <w:basedOn w:val="Normal"/>
    <w:next w:val="Normal"/>
    <w:link w:val="Heading3Char"/>
    <w:qFormat/>
    <w:rsid w:val="000865B2"/>
    <w:pPr>
      <w:keepNext/>
      <w:numPr>
        <w:ilvl w:val="12"/>
      </w:numPr>
      <w:outlineLvl w:val="2"/>
    </w:pPr>
    <w:rPr>
      <w:b/>
      <w:bCs/>
      <w:sz w:val="17"/>
    </w:rPr>
  </w:style>
  <w:style w:type="paragraph" w:styleId="Heading4">
    <w:name w:val="heading 4"/>
    <w:basedOn w:val="Normal"/>
    <w:next w:val="Normal"/>
    <w:link w:val="Heading4Char"/>
    <w:qFormat/>
    <w:rsid w:val="000865B2"/>
    <w:pPr>
      <w:keepNext/>
      <w:numPr>
        <w:ilvl w:val="12"/>
      </w:numPr>
      <w:outlineLvl w:val="3"/>
    </w:pPr>
    <w:rPr>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865B2"/>
    <w:rPr>
      <w:rFonts w:ascii="Times New Roman" w:eastAsia="Times New Roman" w:hAnsi="Times New Roman" w:cs="Times New Roman"/>
      <w:b/>
      <w:bCs/>
      <w:sz w:val="17"/>
      <w:szCs w:val="20"/>
      <w:lang w:val="en-AU"/>
    </w:rPr>
  </w:style>
  <w:style w:type="character" w:customStyle="1" w:styleId="Heading4Char">
    <w:name w:val="Heading 4 Char"/>
    <w:basedOn w:val="DefaultParagraphFont"/>
    <w:link w:val="Heading4"/>
    <w:rsid w:val="000865B2"/>
    <w:rPr>
      <w:rFonts w:ascii="Times New Roman" w:eastAsia="Times New Roman" w:hAnsi="Times New Roman" w:cs="Times New Roman"/>
      <w:b/>
      <w:bCs/>
      <w:sz w:val="21"/>
      <w:szCs w:val="20"/>
      <w:lang w:val="en-AU"/>
    </w:rPr>
  </w:style>
  <w:style w:type="character" w:styleId="Hyperlink">
    <w:name w:val="Hyperlink"/>
    <w:basedOn w:val="DefaultParagraphFont"/>
    <w:rsid w:val="000865B2"/>
    <w:rPr>
      <w:color w:val="0000FF"/>
      <w:u w:val="single"/>
    </w:rPr>
  </w:style>
  <w:style w:type="table" w:styleId="TableGrid">
    <w:name w:val="Table Grid"/>
    <w:basedOn w:val="TableNormal"/>
    <w:rsid w:val="000865B2"/>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865B2"/>
    <w:pPr>
      <w:spacing w:after="120"/>
    </w:pPr>
    <w:rPr>
      <w:sz w:val="24"/>
      <w:szCs w:val="24"/>
    </w:rPr>
  </w:style>
  <w:style w:type="character" w:customStyle="1" w:styleId="BodyTextChar">
    <w:name w:val="Body Text Char"/>
    <w:basedOn w:val="DefaultParagraphFont"/>
    <w:link w:val="BodyText"/>
    <w:rsid w:val="000865B2"/>
    <w:rPr>
      <w:rFonts w:ascii="Times New Roman" w:eastAsia="Times New Roman" w:hAnsi="Times New Roman" w:cs="Times New Roman"/>
      <w:sz w:val="24"/>
      <w:szCs w:val="24"/>
      <w:lang w:val="en-AU"/>
    </w:rPr>
  </w:style>
  <w:style w:type="paragraph" w:styleId="NormalWeb">
    <w:name w:val="Normal (Web)"/>
    <w:basedOn w:val="Normal"/>
    <w:rsid w:val="000865B2"/>
    <w:pPr>
      <w:spacing w:before="100" w:beforeAutospacing="1" w:after="100" w:afterAutospacing="1"/>
    </w:pPr>
    <w:rPr>
      <w:rFonts w:eastAsia="Batang"/>
      <w:sz w:val="24"/>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h.govt.nz/moh.nsf/238fd5fb4fd051844c256669006aed57/3d7504ad140c7ef0cc256d88000e5a16?OpenDocument" TargetMode="External"/><Relationship Id="rId3" Type="http://schemas.openxmlformats.org/officeDocument/2006/relationships/settings" Target="settings.xml"/><Relationship Id="rId7" Type="http://schemas.openxmlformats.org/officeDocument/2006/relationships/hyperlink" Target="http://www.moh.govt.nz/moh.nsf/ea6005dc347e7bd44c2566a40079ae6f/c024d8d149d4c168cc2569b1007679ca?Open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h.govt.nz/cancercontrol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5130</Words>
  <Characters>29245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34307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 Karunasinghe</dc:creator>
  <cp:keywords/>
  <dc:description/>
  <cp:lastModifiedBy>Nishi Karunasinghe</cp:lastModifiedBy>
  <cp:revision>6</cp:revision>
  <dcterms:created xsi:type="dcterms:W3CDTF">2019-07-31T00:39:00Z</dcterms:created>
  <dcterms:modified xsi:type="dcterms:W3CDTF">2019-07-31T01:50:00Z</dcterms:modified>
</cp:coreProperties>
</file>