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69261" w14:textId="77777777" w:rsidR="00FB26B6" w:rsidRDefault="00FB26B6" w:rsidP="00041AF2">
      <w:pPr>
        <w:pStyle w:val="Title"/>
      </w:pPr>
    </w:p>
    <w:p w14:paraId="4E7A7FA9" w14:textId="6D3FBBEF" w:rsidR="00FB26B6" w:rsidRPr="002F329A" w:rsidRDefault="00FB26B6">
      <w:pPr>
        <w:numPr>
          <w:ilvl w:val="0"/>
          <w:numId w:val="1"/>
        </w:numPr>
        <w:tabs>
          <w:tab w:val="clear" w:pos="1080"/>
          <w:tab w:val="num" w:pos="360"/>
        </w:tabs>
        <w:ind w:left="2160" w:hanging="2160"/>
        <w:rPr>
          <w:i/>
          <w:iCs/>
        </w:rPr>
      </w:pPr>
      <w:r w:rsidRPr="002F329A">
        <w:rPr>
          <w:b/>
        </w:rPr>
        <w:t>Scientific Title</w:t>
      </w:r>
      <w:r w:rsidRPr="002F329A">
        <w:rPr>
          <w:b/>
        </w:rPr>
        <w:tab/>
      </w:r>
      <w:bookmarkStart w:id="0" w:name="OLE_LINK1"/>
      <w:bookmarkStart w:id="1" w:name="OLE_LINK2"/>
      <w:r w:rsidR="002F329A" w:rsidRPr="00041AF2">
        <w:rPr>
          <w:color w:val="000000"/>
        </w:rPr>
        <w:t xml:space="preserve">A randomized comparison of the effects of Propofol versus Sevoflurane </w:t>
      </w:r>
      <w:r w:rsidR="002F329A" w:rsidRPr="002F329A">
        <w:rPr>
          <w:color w:val="000000"/>
        </w:rPr>
        <w:t xml:space="preserve">on cerebral autoregulation </w:t>
      </w:r>
      <w:r w:rsidR="002F329A" w:rsidRPr="00041AF2">
        <w:rPr>
          <w:color w:val="000000"/>
        </w:rPr>
        <w:t xml:space="preserve">when conducting general anaesthesia for </w:t>
      </w:r>
      <w:r w:rsidR="002F329A" w:rsidRPr="002F329A">
        <w:rPr>
          <w:color w:val="000000"/>
        </w:rPr>
        <w:t>robot-assisted prostate</w:t>
      </w:r>
      <w:r w:rsidR="002F329A" w:rsidRPr="00041AF2">
        <w:rPr>
          <w:color w:val="000000"/>
        </w:rPr>
        <w:t xml:space="preserve"> surgery.</w:t>
      </w:r>
      <w:bookmarkEnd w:id="0"/>
      <w:bookmarkEnd w:id="1"/>
    </w:p>
    <w:p w14:paraId="4C8049F0" w14:textId="77777777" w:rsidR="00FB26B6" w:rsidRPr="00041AF2" w:rsidRDefault="00FB26B6"/>
    <w:p w14:paraId="70A16A54" w14:textId="30A5F9F0" w:rsidR="00FB26B6" w:rsidRPr="002F329A" w:rsidRDefault="00FB26B6" w:rsidP="006E4807">
      <w:pPr>
        <w:numPr>
          <w:ilvl w:val="0"/>
          <w:numId w:val="1"/>
        </w:numPr>
        <w:tabs>
          <w:tab w:val="clear" w:pos="1080"/>
          <w:tab w:val="num" w:pos="360"/>
        </w:tabs>
        <w:ind w:left="2127" w:hanging="2127"/>
        <w:rPr>
          <w:b/>
        </w:rPr>
      </w:pPr>
      <w:r w:rsidRPr="002F329A">
        <w:rPr>
          <w:b/>
        </w:rPr>
        <w:t>Simplified Title</w:t>
      </w:r>
      <w:r w:rsidR="00B07548" w:rsidRPr="002F329A">
        <w:rPr>
          <w:b/>
        </w:rPr>
        <w:t xml:space="preserve">   </w:t>
      </w:r>
      <w:r w:rsidR="002F329A" w:rsidRPr="002F329A">
        <w:t>Effects</w:t>
      </w:r>
      <w:r w:rsidR="002F329A" w:rsidRPr="00041AF2">
        <w:t xml:space="preserve"> of </w:t>
      </w:r>
      <w:r w:rsidR="002F329A" w:rsidRPr="002F329A">
        <w:t>Propofol versus Sevoflurane on control of brain blood flow during robotic surgery.</w:t>
      </w:r>
    </w:p>
    <w:p w14:paraId="7B79192A" w14:textId="77777777" w:rsidR="00FB26B6" w:rsidRDefault="00FB26B6">
      <w:pPr>
        <w:rPr>
          <w:bCs/>
          <w:sz w:val="22"/>
          <w:szCs w:val="20"/>
        </w:rPr>
      </w:pPr>
    </w:p>
    <w:p w14:paraId="6FC75BD0" w14:textId="290B3A63" w:rsidR="00FB26B6" w:rsidRDefault="00FB26B6" w:rsidP="002F3CEE">
      <w:pPr>
        <w:numPr>
          <w:ilvl w:val="0"/>
          <w:numId w:val="1"/>
        </w:numPr>
        <w:tabs>
          <w:tab w:val="clear" w:pos="1080"/>
          <w:tab w:val="num" w:pos="360"/>
        </w:tabs>
        <w:ind w:left="2160" w:hanging="2160"/>
        <w:rPr>
          <w:b/>
          <w:szCs w:val="20"/>
        </w:rPr>
      </w:pPr>
      <w:r>
        <w:rPr>
          <w:b/>
          <w:szCs w:val="20"/>
        </w:rPr>
        <w:t>Investigators</w:t>
      </w:r>
      <w:r w:rsidR="00B07548">
        <w:rPr>
          <w:b/>
          <w:szCs w:val="20"/>
        </w:rPr>
        <w:tab/>
      </w:r>
      <w:r w:rsidR="00B07548" w:rsidRPr="00B07548">
        <w:rPr>
          <w:szCs w:val="20"/>
        </w:rPr>
        <w:t>Mr Tomas Robertson</w:t>
      </w:r>
      <w:r w:rsidR="006E4807">
        <w:rPr>
          <w:szCs w:val="20"/>
        </w:rPr>
        <w:t xml:space="preserve">, </w:t>
      </w:r>
      <w:r w:rsidR="006E4807" w:rsidRPr="00B07548">
        <w:rPr>
          <w:szCs w:val="20"/>
        </w:rPr>
        <w:t>Dr Tim McCulloch</w:t>
      </w:r>
      <w:r w:rsidR="006E4807">
        <w:rPr>
          <w:szCs w:val="20"/>
        </w:rPr>
        <w:t>, Dr Michael Paleolog</w:t>
      </w:r>
      <w:r w:rsidR="00121817">
        <w:rPr>
          <w:szCs w:val="20"/>
        </w:rPr>
        <w:t>o</w:t>
      </w:r>
      <w:r w:rsidR="006E4807">
        <w:rPr>
          <w:szCs w:val="20"/>
        </w:rPr>
        <w:t>s</w:t>
      </w:r>
      <w:r w:rsidR="002F3CEE">
        <w:rPr>
          <w:szCs w:val="20"/>
        </w:rPr>
        <w:t xml:space="preserve">, </w:t>
      </w:r>
      <w:r w:rsidR="002F3CEE">
        <w:t xml:space="preserve">Dr </w:t>
      </w:r>
      <w:proofErr w:type="spellStart"/>
      <w:r w:rsidR="002F3CEE">
        <w:t>Ruban</w:t>
      </w:r>
      <w:proofErr w:type="spellEnd"/>
      <w:r w:rsidR="002F3CEE">
        <w:t xml:space="preserve"> </w:t>
      </w:r>
      <w:proofErr w:type="spellStart"/>
      <w:r w:rsidR="002F3CEE">
        <w:t>Thanigasalam</w:t>
      </w:r>
      <w:proofErr w:type="spellEnd"/>
      <w:r w:rsidR="002F3CEE">
        <w:t xml:space="preserve"> and Dr Scott Leslie</w:t>
      </w:r>
    </w:p>
    <w:p w14:paraId="4E1A28A2" w14:textId="77777777" w:rsidR="00FB26B6" w:rsidRDefault="00FB26B6">
      <w:pPr>
        <w:rPr>
          <w:bCs/>
          <w:sz w:val="22"/>
          <w:szCs w:val="20"/>
        </w:rPr>
      </w:pPr>
    </w:p>
    <w:p w14:paraId="5C95A23F" w14:textId="60DE0D90" w:rsidR="00FB26B6" w:rsidRDefault="00FB26B6" w:rsidP="006E4807">
      <w:pPr>
        <w:numPr>
          <w:ilvl w:val="0"/>
          <w:numId w:val="1"/>
        </w:numPr>
        <w:tabs>
          <w:tab w:val="clear" w:pos="1080"/>
          <w:tab w:val="num" w:pos="360"/>
        </w:tabs>
        <w:ind w:left="2127" w:hanging="2127"/>
        <w:rPr>
          <w:i/>
          <w:szCs w:val="20"/>
        </w:rPr>
      </w:pPr>
      <w:r>
        <w:rPr>
          <w:b/>
          <w:szCs w:val="20"/>
        </w:rPr>
        <w:t>Aim</w:t>
      </w:r>
      <w:r>
        <w:rPr>
          <w:b/>
          <w:szCs w:val="20"/>
        </w:rPr>
        <w:tab/>
      </w:r>
      <w:r>
        <w:rPr>
          <w:b/>
          <w:szCs w:val="20"/>
        </w:rPr>
        <w:tab/>
      </w:r>
      <w:r w:rsidR="00B07548" w:rsidRPr="00B07548">
        <w:rPr>
          <w:szCs w:val="20"/>
        </w:rPr>
        <w:t xml:space="preserve">To </w:t>
      </w:r>
      <w:r w:rsidR="006E4807">
        <w:rPr>
          <w:szCs w:val="20"/>
        </w:rPr>
        <w:t>investigate</w:t>
      </w:r>
      <w:r w:rsidR="006E4807" w:rsidRPr="00B07548">
        <w:rPr>
          <w:szCs w:val="20"/>
        </w:rPr>
        <w:t xml:space="preserve"> </w:t>
      </w:r>
      <w:r w:rsidR="006E4807">
        <w:rPr>
          <w:szCs w:val="20"/>
        </w:rPr>
        <w:t>differences in cerebrovascular</w:t>
      </w:r>
      <w:r w:rsidR="00B07548">
        <w:rPr>
          <w:szCs w:val="20"/>
        </w:rPr>
        <w:tab/>
      </w:r>
      <w:r w:rsidR="006E4807">
        <w:rPr>
          <w:szCs w:val="20"/>
        </w:rPr>
        <w:t xml:space="preserve"> physiology between classes of anaesthetic agents in patients </w:t>
      </w:r>
      <w:r w:rsidR="00B07548">
        <w:rPr>
          <w:szCs w:val="20"/>
        </w:rPr>
        <w:t>undergoing r</w:t>
      </w:r>
      <w:r w:rsidR="00B07548" w:rsidRPr="00B07548">
        <w:rPr>
          <w:szCs w:val="20"/>
        </w:rPr>
        <w:t>obotic abdominal and pelvic surgery</w:t>
      </w:r>
    </w:p>
    <w:p w14:paraId="737E2B18" w14:textId="77777777" w:rsidR="00FB26B6" w:rsidRDefault="00FB26B6">
      <w:pPr>
        <w:rPr>
          <w:bCs/>
          <w:sz w:val="22"/>
          <w:szCs w:val="20"/>
        </w:rPr>
      </w:pPr>
    </w:p>
    <w:p w14:paraId="4A481A40" w14:textId="48CD7BCF" w:rsidR="00FB26B6" w:rsidRPr="00B07548" w:rsidRDefault="00FB26B6">
      <w:pPr>
        <w:numPr>
          <w:ilvl w:val="0"/>
          <w:numId w:val="1"/>
        </w:numPr>
        <w:tabs>
          <w:tab w:val="clear" w:pos="1080"/>
          <w:tab w:val="num" w:pos="360"/>
        </w:tabs>
        <w:ind w:left="360"/>
        <w:rPr>
          <w:i/>
          <w:szCs w:val="20"/>
        </w:rPr>
      </w:pPr>
      <w:r>
        <w:rPr>
          <w:b/>
          <w:szCs w:val="20"/>
        </w:rPr>
        <w:t>Hypothesis</w:t>
      </w:r>
      <w:r>
        <w:rPr>
          <w:b/>
          <w:szCs w:val="20"/>
        </w:rPr>
        <w:tab/>
      </w:r>
      <w:r w:rsidR="00B07548" w:rsidRPr="00B07548">
        <w:rPr>
          <w:bCs/>
          <w:iCs/>
          <w:szCs w:val="20"/>
        </w:rPr>
        <w:t>Ho</w:t>
      </w:r>
      <w:r w:rsidR="00B07548">
        <w:rPr>
          <w:bCs/>
          <w:iCs/>
          <w:szCs w:val="20"/>
        </w:rPr>
        <w:t xml:space="preserve">: There will be no difference in </w:t>
      </w:r>
      <w:r w:rsidR="006E4807">
        <w:rPr>
          <w:bCs/>
          <w:iCs/>
          <w:szCs w:val="20"/>
        </w:rPr>
        <w:t>cerebral autoregulation</w:t>
      </w:r>
      <w:r w:rsidR="00B07548">
        <w:rPr>
          <w:bCs/>
          <w:iCs/>
          <w:szCs w:val="20"/>
        </w:rPr>
        <w:t xml:space="preserve"> between the patients</w:t>
      </w:r>
      <w:r w:rsidR="00B07548">
        <w:rPr>
          <w:bCs/>
          <w:iCs/>
          <w:szCs w:val="20"/>
        </w:rPr>
        <w:tab/>
      </w:r>
      <w:r w:rsidR="00B07548">
        <w:rPr>
          <w:bCs/>
          <w:iCs/>
          <w:szCs w:val="20"/>
        </w:rPr>
        <w:tab/>
      </w:r>
      <w:r w:rsidR="00B07548">
        <w:rPr>
          <w:bCs/>
          <w:iCs/>
          <w:szCs w:val="20"/>
        </w:rPr>
        <w:tab/>
      </w:r>
      <w:r w:rsidR="00B07548">
        <w:rPr>
          <w:bCs/>
          <w:iCs/>
          <w:szCs w:val="20"/>
        </w:rPr>
        <w:tab/>
        <w:t xml:space="preserve">undergoing Propofol </w:t>
      </w:r>
      <w:proofErr w:type="spellStart"/>
      <w:r w:rsidR="00B07548">
        <w:rPr>
          <w:bCs/>
          <w:iCs/>
          <w:szCs w:val="20"/>
        </w:rPr>
        <w:t>anesthesia</w:t>
      </w:r>
      <w:proofErr w:type="spellEnd"/>
      <w:r w:rsidR="00B07548">
        <w:rPr>
          <w:bCs/>
          <w:iCs/>
          <w:szCs w:val="20"/>
        </w:rPr>
        <w:t xml:space="preserve"> versus volatile </w:t>
      </w:r>
      <w:proofErr w:type="spellStart"/>
      <w:r w:rsidR="00B07548">
        <w:rPr>
          <w:bCs/>
          <w:iCs/>
          <w:szCs w:val="20"/>
        </w:rPr>
        <w:t>anesthetic</w:t>
      </w:r>
      <w:proofErr w:type="spellEnd"/>
      <w:r w:rsidR="00B07548">
        <w:rPr>
          <w:bCs/>
          <w:iCs/>
          <w:szCs w:val="20"/>
        </w:rPr>
        <w:t xml:space="preserve"> agents.</w:t>
      </w:r>
    </w:p>
    <w:p w14:paraId="4B23DDB2" w14:textId="77777777" w:rsidR="00B07548" w:rsidRDefault="00B07548" w:rsidP="00B07548">
      <w:pPr>
        <w:pStyle w:val="ListParagraph"/>
        <w:rPr>
          <w:i/>
          <w:szCs w:val="20"/>
        </w:rPr>
      </w:pPr>
    </w:p>
    <w:p w14:paraId="39FCC457" w14:textId="640B19D9" w:rsidR="00B07548" w:rsidRPr="00B07548" w:rsidRDefault="00B07548" w:rsidP="00B07548">
      <w:pPr>
        <w:ind w:left="2160"/>
        <w:rPr>
          <w:szCs w:val="20"/>
        </w:rPr>
      </w:pPr>
      <w:r w:rsidRPr="00B07548">
        <w:rPr>
          <w:szCs w:val="20"/>
        </w:rPr>
        <w:t xml:space="preserve">Ha: </w:t>
      </w:r>
      <w:r w:rsidR="006E4807">
        <w:rPr>
          <w:szCs w:val="20"/>
        </w:rPr>
        <w:t>Cerebral autoregulation will be less likely to be impaired with</w:t>
      </w:r>
      <w:r w:rsidRPr="00B07548">
        <w:rPr>
          <w:bCs/>
          <w:iCs/>
          <w:szCs w:val="20"/>
        </w:rPr>
        <w:t xml:space="preserve"> Propofol</w:t>
      </w:r>
      <w:r w:rsidR="006E4807">
        <w:rPr>
          <w:bCs/>
          <w:iCs/>
          <w:szCs w:val="20"/>
        </w:rPr>
        <w:t>-based</w:t>
      </w:r>
      <w:r w:rsidRPr="00B07548">
        <w:rPr>
          <w:bCs/>
          <w:iCs/>
          <w:szCs w:val="20"/>
        </w:rPr>
        <w:t xml:space="preserve"> </w:t>
      </w:r>
      <w:proofErr w:type="spellStart"/>
      <w:r w:rsidRPr="00B07548">
        <w:rPr>
          <w:bCs/>
          <w:iCs/>
          <w:szCs w:val="20"/>
        </w:rPr>
        <w:t>ane</w:t>
      </w:r>
      <w:r w:rsidR="006E4807">
        <w:rPr>
          <w:bCs/>
          <w:iCs/>
          <w:szCs w:val="20"/>
        </w:rPr>
        <w:t>a</w:t>
      </w:r>
      <w:r w:rsidRPr="00B07548">
        <w:rPr>
          <w:bCs/>
          <w:iCs/>
          <w:szCs w:val="20"/>
        </w:rPr>
        <w:t>sthesia</w:t>
      </w:r>
      <w:proofErr w:type="spellEnd"/>
      <w:r w:rsidRPr="00B07548">
        <w:rPr>
          <w:bCs/>
          <w:iCs/>
          <w:szCs w:val="20"/>
        </w:rPr>
        <w:t xml:space="preserve"> </w:t>
      </w:r>
      <w:r w:rsidR="006E4807">
        <w:rPr>
          <w:bCs/>
          <w:iCs/>
          <w:szCs w:val="20"/>
        </w:rPr>
        <w:t>compared with</w:t>
      </w:r>
      <w:r w:rsidR="006E4807" w:rsidRPr="00B07548">
        <w:rPr>
          <w:bCs/>
          <w:iCs/>
          <w:szCs w:val="20"/>
        </w:rPr>
        <w:t xml:space="preserve"> </w:t>
      </w:r>
      <w:r w:rsidR="006E4807">
        <w:rPr>
          <w:bCs/>
          <w:iCs/>
          <w:szCs w:val="20"/>
        </w:rPr>
        <w:t>Sevoflurane-based anaesthesia</w:t>
      </w:r>
      <w:r w:rsidRPr="00B07548">
        <w:rPr>
          <w:bCs/>
          <w:iCs/>
          <w:szCs w:val="20"/>
        </w:rPr>
        <w:t>.</w:t>
      </w:r>
    </w:p>
    <w:p w14:paraId="31050CCE" w14:textId="77777777" w:rsidR="00FB26B6" w:rsidRDefault="00FB26B6">
      <w:pPr>
        <w:rPr>
          <w:bCs/>
          <w:sz w:val="22"/>
          <w:szCs w:val="20"/>
        </w:rPr>
      </w:pPr>
    </w:p>
    <w:p w14:paraId="29C91474" w14:textId="08AAD27D" w:rsidR="00FB26B6" w:rsidRDefault="00FB26B6">
      <w:pPr>
        <w:numPr>
          <w:ilvl w:val="0"/>
          <w:numId w:val="1"/>
        </w:numPr>
        <w:tabs>
          <w:tab w:val="clear" w:pos="1080"/>
          <w:tab w:val="num" w:pos="360"/>
        </w:tabs>
        <w:ind w:left="2160" w:hanging="2160"/>
        <w:rPr>
          <w:i/>
          <w:iCs/>
        </w:rPr>
      </w:pPr>
      <w:r>
        <w:rPr>
          <w:b/>
          <w:szCs w:val="20"/>
        </w:rPr>
        <w:t>Background</w:t>
      </w:r>
      <w:r>
        <w:rPr>
          <w:b/>
          <w:szCs w:val="20"/>
        </w:rPr>
        <w:tab/>
      </w:r>
      <w:r w:rsidR="00B07548" w:rsidRPr="00B07548">
        <w:rPr>
          <w:iCs/>
        </w:rPr>
        <w:t xml:space="preserve">Currently there is no standard </w:t>
      </w:r>
      <w:proofErr w:type="spellStart"/>
      <w:r w:rsidR="00B07548" w:rsidRPr="00B07548">
        <w:rPr>
          <w:iCs/>
        </w:rPr>
        <w:t>anesthetic</w:t>
      </w:r>
      <w:proofErr w:type="spellEnd"/>
      <w:r w:rsidR="00B07548" w:rsidRPr="00B07548">
        <w:rPr>
          <w:iCs/>
        </w:rPr>
        <w:t xml:space="preserve"> agent recommended for robotic pelvic and abdominal surgery</w:t>
      </w:r>
      <w:r w:rsidR="00B07548">
        <w:rPr>
          <w:iCs/>
        </w:rPr>
        <w:t xml:space="preserve"> (</w:t>
      </w:r>
      <w:proofErr w:type="spellStart"/>
      <w:r w:rsidR="00B07548">
        <w:rPr>
          <w:iCs/>
        </w:rPr>
        <w:t>Herling</w:t>
      </w:r>
      <w:proofErr w:type="spellEnd"/>
      <w:r w:rsidR="00B07548">
        <w:rPr>
          <w:iCs/>
        </w:rPr>
        <w:t xml:space="preserve"> </w:t>
      </w:r>
      <w:r w:rsidR="00B07548" w:rsidRPr="00B07548">
        <w:rPr>
          <w:i/>
          <w:iCs/>
        </w:rPr>
        <w:t>et al.</w:t>
      </w:r>
      <w:r w:rsidR="00B07548">
        <w:rPr>
          <w:iCs/>
        </w:rPr>
        <w:t xml:space="preserve"> 2016)</w:t>
      </w:r>
      <w:r w:rsidR="00B07548" w:rsidRPr="00B07548">
        <w:rPr>
          <w:iCs/>
        </w:rPr>
        <w:t>.</w:t>
      </w:r>
      <w:r w:rsidR="00B07548">
        <w:rPr>
          <w:i/>
          <w:iCs/>
        </w:rPr>
        <w:t xml:space="preserve"> </w:t>
      </w:r>
      <w:r w:rsidR="00E244FD" w:rsidRPr="00AB7D4B">
        <w:rPr>
          <w:iCs/>
        </w:rPr>
        <w:t>Anaesthetic agents have variable effects on the cerebral vascula</w:t>
      </w:r>
      <w:r w:rsidR="002F329A">
        <w:rPr>
          <w:iCs/>
        </w:rPr>
        <w:t>ture</w:t>
      </w:r>
      <w:r w:rsidR="00E244FD" w:rsidRPr="00AB7D4B">
        <w:rPr>
          <w:iCs/>
        </w:rPr>
        <w:t xml:space="preserve"> and as such it has been hypothesized that one may be more suitable for robotic pelvic and abdominal surgery than the others. For instance, Sevoflurane, a volatil</w:t>
      </w:r>
      <w:r w:rsidR="00AB7D4B" w:rsidRPr="00AB7D4B">
        <w:rPr>
          <w:iCs/>
        </w:rPr>
        <w:t>e</w:t>
      </w:r>
      <w:r w:rsidR="00E244FD" w:rsidRPr="00AB7D4B">
        <w:rPr>
          <w:iCs/>
        </w:rPr>
        <w:t xml:space="preserve"> </w:t>
      </w:r>
      <w:proofErr w:type="spellStart"/>
      <w:r w:rsidR="00E244FD" w:rsidRPr="00AB7D4B">
        <w:rPr>
          <w:iCs/>
        </w:rPr>
        <w:t>anesthetic</w:t>
      </w:r>
      <w:proofErr w:type="spellEnd"/>
      <w:r w:rsidR="00E244FD" w:rsidRPr="00AB7D4B">
        <w:rPr>
          <w:iCs/>
        </w:rPr>
        <w:t xml:space="preserve"> agent, </w:t>
      </w:r>
      <w:r w:rsidR="00AB7D4B" w:rsidRPr="00AB7D4B">
        <w:rPr>
          <w:iCs/>
        </w:rPr>
        <w:t>increases cerebral vasodilation and hence decreases vascular resistance</w:t>
      </w:r>
      <w:r w:rsidR="00AB7D4B">
        <w:rPr>
          <w:iCs/>
        </w:rPr>
        <w:t xml:space="preserve"> (Conti </w:t>
      </w:r>
      <w:r w:rsidR="00AB7D4B" w:rsidRPr="00AB7D4B">
        <w:rPr>
          <w:i/>
          <w:iCs/>
        </w:rPr>
        <w:t>et al.</w:t>
      </w:r>
      <w:r w:rsidR="00AB7D4B">
        <w:rPr>
          <w:iCs/>
        </w:rPr>
        <w:t xml:space="preserve"> 2006)</w:t>
      </w:r>
      <w:r w:rsidR="00AB7D4B" w:rsidRPr="00AB7D4B">
        <w:rPr>
          <w:iCs/>
        </w:rPr>
        <w:t>. This may impair cerebral autoregulation</w:t>
      </w:r>
      <w:r w:rsidR="00AB7D4B">
        <w:rPr>
          <w:iCs/>
        </w:rPr>
        <w:t xml:space="preserve"> (Conti </w:t>
      </w:r>
      <w:r w:rsidR="00AB7D4B" w:rsidRPr="00AB7D4B">
        <w:rPr>
          <w:i/>
          <w:iCs/>
        </w:rPr>
        <w:t>et al.</w:t>
      </w:r>
      <w:r w:rsidR="00AB7D4B">
        <w:rPr>
          <w:iCs/>
        </w:rPr>
        <w:t xml:space="preserve"> 2006)</w:t>
      </w:r>
      <w:r w:rsidR="00AB7D4B" w:rsidRPr="00AB7D4B">
        <w:rPr>
          <w:iCs/>
        </w:rPr>
        <w:t>.</w:t>
      </w:r>
      <w:r w:rsidR="00AB7D4B">
        <w:rPr>
          <w:iCs/>
        </w:rPr>
        <w:t xml:space="preserve"> Conversely, Propofol was not found to significantly modify cerebral </w:t>
      </w:r>
      <w:proofErr w:type="spellStart"/>
      <w:r w:rsidR="00D45AE0">
        <w:rPr>
          <w:iCs/>
        </w:rPr>
        <w:t>haemodynamic</w:t>
      </w:r>
      <w:r w:rsidR="003B3273">
        <w:rPr>
          <w:iCs/>
        </w:rPr>
        <w:t>s</w:t>
      </w:r>
      <w:proofErr w:type="spellEnd"/>
      <w:r w:rsidR="00AB7D4B">
        <w:rPr>
          <w:iCs/>
        </w:rPr>
        <w:t xml:space="preserve"> (Conti </w:t>
      </w:r>
      <w:r w:rsidR="00AB7D4B" w:rsidRPr="00AB7D4B">
        <w:rPr>
          <w:i/>
          <w:iCs/>
        </w:rPr>
        <w:t>et al.</w:t>
      </w:r>
      <w:r w:rsidR="00AB7D4B">
        <w:rPr>
          <w:iCs/>
        </w:rPr>
        <w:t xml:space="preserve"> 2006)</w:t>
      </w:r>
      <w:r w:rsidR="003B3273">
        <w:rPr>
          <w:iCs/>
        </w:rPr>
        <w:t>. I</w:t>
      </w:r>
      <w:r w:rsidR="00AB7D4B">
        <w:rPr>
          <w:iCs/>
        </w:rPr>
        <w:t xml:space="preserve">t has been reported that cerebrovascular markers have remained within safety limits under Sevoflurane maintained anaesthesia during surgery in the steep Trendelenburg position (Kalmar </w:t>
      </w:r>
      <w:r w:rsidR="00AB7D4B" w:rsidRPr="00AB7D4B">
        <w:rPr>
          <w:i/>
          <w:iCs/>
        </w:rPr>
        <w:t>et al.</w:t>
      </w:r>
      <w:r w:rsidR="00AB7D4B">
        <w:rPr>
          <w:iCs/>
        </w:rPr>
        <w:t xml:space="preserve"> 2010). </w:t>
      </w:r>
      <w:r w:rsidR="006E4807">
        <w:rPr>
          <w:iCs/>
        </w:rPr>
        <w:t xml:space="preserve">A feature of robotic surgery is the requirement for carbon dioxide pneumoperitoneum in conjunction with steep head-down positioning. </w:t>
      </w:r>
      <w:r w:rsidR="00A7176D">
        <w:rPr>
          <w:iCs/>
        </w:rPr>
        <w:t>We hypothesise that t</w:t>
      </w:r>
      <w:r w:rsidR="006E4807">
        <w:rPr>
          <w:iCs/>
        </w:rPr>
        <w:t xml:space="preserve">he </w:t>
      </w:r>
      <w:proofErr w:type="spellStart"/>
      <w:r w:rsidR="006E4807">
        <w:rPr>
          <w:iCs/>
        </w:rPr>
        <w:t>cerebrovasodilatory</w:t>
      </w:r>
      <w:proofErr w:type="spellEnd"/>
      <w:r w:rsidR="006E4807">
        <w:rPr>
          <w:iCs/>
        </w:rPr>
        <w:t xml:space="preserve"> effects of carbon dioxide combined with the potenti</w:t>
      </w:r>
      <w:r w:rsidR="00A7176D">
        <w:rPr>
          <w:iCs/>
        </w:rPr>
        <w:t>al for oedema from head-down positioning could render the brain particularly susceptible to the vasodilatory effects of volatile anaesthetics, including sevoflurane.</w:t>
      </w:r>
    </w:p>
    <w:p w14:paraId="222262E9" w14:textId="77777777" w:rsidR="00FB26B6" w:rsidRDefault="00FB26B6">
      <w:pPr>
        <w:rPr>
          <w:bCs/>
          <w:sz w:val="22"/>
          <w:szCs w:val="20"/>
        </w:rPr>
      </w:pPr>
    </w:p>
    <w:p w14:paraId="1C394409" w14:textId="77777777" w:rsidR="00FB26B6" w:rsidRDefault="00FB26B6">
      <w:pPr>
        <w:numPr>
          <w:ilvl w:val="0"/>
          <w:numId w:val="1"/>
        </w:numPr>
        <w:tabs>
          <w:tab w:val="clear" w:pos="1080"/>
          <w:tab w:val="num" w:pos="360"/>
        </w:tabs>
        <w:ind w:left="360"/>
        <w:rPr>
          <w:b/>
          <w:szCs w:val="20"/>
        </w:rPr>
      </w:pPr>
      <w:r>
        <w:rPr>
          <w:b/>
          <w:szCs w:val="20"/>
        </w:rPr>
        <w:t>Research Plan</w:t>
      </w:r>
    </w:p>
    <w:p w14:paraId="5BF3DA5F" w14:textId="77777777" w:rsidR="00FB26B6" w:rsidRDefault="00FB26B6">
      <w:pPr>
        <w:tabs>
          <w:tab w:val="left" w:pos="360"/>
        </w:tabs>
        <w:ind w:left="2160" w:hanging="2160"/>
        <w:rPr>
          <w:i/>
          <w:szCs w:val="20"/>
        </w:rPr>
      </w:pPr>
      <w:r>
        <w:rPr>
          <w:szCs w:val="20"/>
        </w:rPr>
        <w:tab/>
      </w:r>
      <w:r>
        <w:rPr>
          <w:szCs w:val="20"/>
          <w:u w:val="single"/>
        </w:rPr>
        <w:t>Study Type</w:t>
      </w:r>
      <w:r>
        <w:rPr>
          <w:szCs w:val="20"/>
        </w:rPr>
        <w:tab/>
      </w:r>
      <w:r w:rsidRPr="00B07548">
        <w:rPr>
          <w:szCs w:val="20"/>
        </w:rPr>
        <w:t>Randomised controlled trial</w:t>
      </w:r>
    </w:p>
    <w:p w14:paraId="350D44D5" w14:textId="77777777" w:rsidR="00FB26B6" w:rsidRDefault="00FB26B6">
      <w:pPr>
        <w:rPr>
          <w:bCs/>
          <w:sz w:val="16"/>
          <w:szCs w:val="20"/>
        </w:rPr>
      </w:pPr>
    </w:p>
    <w:p w14:paraId="59165C72" w14:textId="5C03D993" w:rsidR="00FB26B6" w:rsidRDefault="00FB26B6">
      <w:pPr>
        <w:pStyle w:val="Heading2"/>
        <w:tabs>
          <w:tab w:val="left" w:pos="360"/>
        </w:tabs>
        <w:ind w:left="2160" w:hanging="2160"/>
      </w:pPr>
      <w:r>
        <w:rPr>
          <w:u w:val="none"/>
        </w:rPr>
        <w:tab/>
      </w:r>
      <w:r>
        <w:t>Setting/Location</w:t>
      </w:r>
      <w:r>
        <w:rPr>
          <w:u w:val="none"/>
        </w:rPr>
        <w:tab/>
      </w:r>
      <w:r w:rsidR="00E244FD">
        <w:rPr>
          <w:iCs/>
          <w:u w:val="none"/>
        </w:rPr>
        <w:t xml:space="preserve">Theatres </w:t>
      </w:r>
      <w:r w:rsidRPr="00B07548">
        <w:rPr>
          <w:iCs/>
          <w:u w:val="none"/>
        </w:rPr>
        <w:t xml:space="preserve">at </w:t>
      </w:r>
      <w:r w:rsidR="00B07548" w:rsidRPr="00B07548">
        <w:rPr>
          <w:iCs/>
          <w:u w:val="none"/>
        </w:rPr>
        <w:t>Royal Prince Alfred Hospital (RPAH)</w:t>
      </w:r>
      <w:r w:rsidR="008104AF">
        <w:rPr>
          <w:iCs/>
          <w:u w:val="none"/>
        </w:rPr>
        <w:t xml:space="preserve"> </w:t>
      </w:r>
      <w:r w:rsidR="00112016">
        <w:rPr>
          <w:iCs/>
          <w:u w:val="none"/>
        </w:rPr>
        <w:t xml:space="preserve">and Chris O’Brien </w:t>
      </w:r>
      <w:proofErr w:type="spellStart"/>
      <w:r w:rsidR="00112016">
        <w:rPr>
          <w:iCs/>
          <w:u w:val="none"/>
        </w:rPr>
        <w:t>Lifehouse</w:t>
      </w:r>
      <w:proofErr w:type="spellEnd"/>
      <w:r w:rsidR="00112016">
        <w:rPr>
          <w:iCs/>
          <w:u w:val="none"/>
        </w:rPr>
        <w:t>.</w:t>
      </w:r>
    </w:p>
    <w:p w14:paraId="49E55CAD" w14:textId="77777777" w:rsidR="00FB26B6" w:rsidRDefault="00FB26B6">
      <w:pPr>
        <w:rPr>
          <w:bCs/>
          <w:sz w:val="16"/>
          <w:szCs w:val="20"/>
        </w:rPr>
      </w:pPr>
    </w:p>
    <w:p w14:paraId="7F213BD3" w14:textId="42DFF36C" w:rsidR="00FB26B6" w:rsidRDefault="00FB26B6">
      <w:pPr>
        <w:tabs>
          <w:tab w:val="left" w:pos="360"/>
        </w:tabs>
        <w:ind w:left="2160" w:hanging="2160"/>
        <w:rPr>
          <w:szCs w:val="20"/>
          <w:u w:val="single"/>
        </w:rPr>
      </w:pPr>
      <w:r>
        <w:rPr>
          <w:szCs w:val="20"/>
        </w:rPr>
        <w:tab/>
      </w:r>
      <w:r>
        <w:rPr>
          <w:szCs w:val="20"/>
          <w:u w:val="single"/>
        </w:rPr>
        <w:t xml:space="preserve">Duration of </w:t>
      </w:r>
      <w:r w:rsidR="001C49E8">
        <w:rPr>
          <w:szCs w:val="20"/>
          <w:u w:val="single"/>
        </w:rPr>
        <w:t>Study</w:t>
      </w:r>
      <w:r w:rsidR="001C49E8">
        <w:rPr>
          <w:szCs w:val="20"/>
        </w:rPr>
        <w:tab/>
      </w:r>
      <w:r w:rsidR="00123348">
        <w:rPr>
          <w:szCs w:val="20"/>
          <w:u w:val="single"/>
        </w:rPr>
        <w:t>12</w:t>
      </w:r>
      <w:r w:rsidR="00B07548">
        <w:rPr>
          <w:szCs w:val="20"/>
          <w:u w:val="single"/>
        </w:rPr>
        <w:t xml:space="preserve"> months</w:t>
      </w:r>
    </w:p>
    <w:p w14:paraId="39010BD5" w14:textId="77777777" w:rsidR="00FB26B6" w:rsidRDefault="00FB26B6">
      <w:pPr>
        <w:rPr>
          <w:bCs/>
          <w:sz w:val="16"/>
          <w:szCs w:val="20"/>
        </w:rPr>
      </w:pPr>
    </w:p>
    <w:p w14:paraId="782FBFB8" w14:textId="18EB8F2C" w:rsidR="00FB26B6" w:rsidRDefault="00FB26B6">
      <w:pPr>
        <w:tabs>
          <w:tab w:val="left" w:pos="360"/>
        </w:tabs>
        <w:ind w:left="2160" w:hanging="2160"/>
      </w:pPr>
      <w:r>
        <w:rPr>
          <w:szCs w:val="20"/>
        </w:rPr>
        <w:tab/>
      </w:r>
      <w:r>
        <w:rPr>
          <w:szCs w:val="20"/>
          <w:u w:val="single"/>
        </w:rPr>
        <w:t>Methods</w:t>
      </w:r>
      <w:r>
        <w:rPr>
          <w:szCs w:val="20"/>
        </w:rPr>
        <w:tab/>
      </w:r>
    </w:p>
    <w:p w14:paraId="5ADAF1C6" w14:textId="77777777" w:rsidR="00FB26B6" w:rsidRDefault="00FB26B6">
      <w:pPr>
        <w:pStyle w:val="BodyTextIndent"/>
        <w:ind w:left="0"/>
        <w:rPr>
          <w:sz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1"/>
        <w:gridCol w:w="6289"/>
      </w:tblGrid>
      <w:tr w:rsidR="00FB26B6" w14:paraId="00888C6E" w14:textId="77777777" w:rsidTr="00041AF2">
        <w:tc>
          <w:tcPr>
            <w:tcW w:w="3071" w:type="dxa"/>
          </w:tcPr>
          <w:p w14:paraId="5A5EAEDE" w14:textId="77777777" w:rsidR="00FB26B6" w:rsidRDefault="00FB26B6">
            <w:pPr>
              <w:pStyle w:val="BodyTextIndent"/>
              <w:ind w:left="0"/>
              <w:rPr>
                <w:i w:val="0"/>
                <w:iCs/>
              </w:rPr>
            </w:pPr>
            <w:r>
              <w:rPr>
                <w:i w:val="0"/>
                <w:iCs/>
              </w:rPr>
              <w:t>Study Population</w:t>
            </w:r>
          </w:p>
        </w:tc>
        <w:tc>
          <w:tcPr>
            <w:tcW w:w="6289" w:type="dxa"/>
          </w:tcPr>
          <w:p w14:paraId="7014F4FE" w14:textId="77777777" w:rsidR="00FB26B6" w:rsidRDefault="00E244FD">
            <w:pPr>
              <w:pStyle w:val="BodyTextIndent"/>
              <w:ind w:left="0"/>
              <w:rPr>
                <w:i w:val="0"/>
                <w:iCs/>
              </w:rPr>
            </w:pPr>
            <w:r w:rsidRPr="00E244FD">
              <w:rPr>
                <w:i w:val="0"/>
                <w:iCs/>
              </w:rPr>
              <w:t>Ages 18 years and over with both males and females accepted.</w:t>
            </w:r>
          </w:p>
          <w:p w14:paraId="7D67572E" w14:textId="56657166" w:rsidR="001C49E8" w:rsidRPr="00E244FD" w:rsidRDefault="001C49E8">
            <w:pPr>
              <w:pStyle w:val="BodyTextIndent"/>
              <w:ind w:left="0"/>
              <w:rPr>
                <w:i w:val="0"/>
                <w:iCs/>
              </w:rPr>
            </w:pPr>
          </w:p>
        </w:tc>
      </w:tr>
      <w:tr w:rsidR="00FB26B6" w14:paraId="65F9BC50" w14:textId="77777777" w:rsidTr="00041AF2">
        <w:tc>
          <w:tcPr>
            <w:tcW w:w="3071" w:type="dxa"/>
          </w:tcPr>
          <w:p w14:paraId="1180103C" w14:textId="77777777" w:rsidR="00FB26B6" w:rsidRDefault="00FB26B6">
            <w:pPr>
              <w:pStyle w:val="BodyTextIndent"/>
              <w:ind w:left="0"/>
              <w:rPr>
                <w:i w:val="0"/>
                <w:iCs/>
              </w:rPr>
            </w:pPr>
            <w:r>
              <w:rPr>
                <w:i w:val="0"/>
                <w:iCs/>
              </w:rPr>
              <w:t>Recruitment</w:t>
            </w:r>
          </w:p>
        </w:tc>
        <w:tc>
          <w:tcPr>
            <w:tcW w:w="6289" w:type="dxa"/>
          </w:tcPr>
          <w:p w14:paraId="1CA7C346" w14:textId="72B2161E" w:rsidR="00FB26B6" w:rsidRDefault="00E244FD">
            <w:pPr>
              <w:pStyle w:val="BodyTextIndent"/>
              <w:ind w:left="0"/>
              <w:rPr>
                <w:i w:val="0"/>
              </w:rPr>
            </w:pPr>
            <w:r w:rsidRPr="00E244FD">
              <w:rPr>
                <w:i w:val="0"/>
              </w:rPr>
              <w:t xml:space="preserve">Patients will be invited to participate upon consultation with their </w:t>
            </w:r>
            <w:r w:rsidR="003B3273">
              <w:rPr>
                <w:i w:val="0"/>
              </w:rPr>
              <w:t>surgeon</w:t>
            </w:r>
            <w:r>
              <w:rPr>
                <w:i w:val="0"/>
              </w:rPr>
              <w:t xml:space="preserve"> prior to </w:t>
            </w:r>
            <w:r w:rsidR="002F3CEE">
              <w:rPr>
                <w:i w:val="0"/>
              </w:rPr>
              <w:t xml:space="preserve">their </w:t>
            </w:r>
            <w:r>
              <w:rPr>
                <w:i w:val="0"/>
              </w:rPr>
              <w:t xml:space="preserve">surgery. </w:t>
            </w:r>
          </w:p>
          <w:p w14:paraId="18466C25" w14:textId="5ACCA8D9" w:rsidR="001C49E8" w:rsidRDefault="001C49E8" w:rsidP="001C49E8">
            <w:pPr>
              <w:pStyle w:val="BodyTextIndent"/>
              <w:ind w:left="0"/>
              <w:rPr>
                <w:i w:val="0"/>
                <w:iCs/>
              </w:rPr>
            </w:pPr>
            <w:r>
              <w:rPr>
                <w:i w:val="0"/>
                <w:iCs/>
              </w:rPr>
              <w:t>Participants at RPAH will be given the Patient Information Sheet and Consent Form prior to surgery in the RPAH Pre-Admission C</w:t>
            </w:r>
            <w:r w:rsidR="002F3CEE">
              <w:rPr>
                <w:i w:val="0"/>
                <w:iCs/>
              </w:rPr>
              <w:t>linic, with final consent obtained on the day of surgery.</w:t>
            </w:r>
          </w:p>
          <w:p w14:paraId="78FB9115" w14:textId="07446017" w:rsidR="001C49E8" w:rsidRPr="00E244FD" w:rsidRDefault="001C49E8" w:rsidP="001C49E8">
            <w:pPr>
              <w:pStyle w:val="BodyTextIndent"/>
              <w:ind w:left="0"/>
              <w:rPr>
                <w:i w:val="0"/>
              </w:rPr>
            </w:pPr>
            <w:r>
              <w:rPr>
                <w:i w:val="0"/>
                <w:iCs/>
              </w:rPr>
              <w:lastRenderedPageBreak/>
              <w:t xml:space="preserve">Participants at Chris O’Brien </w:t>
            </w:r>
            <w:proofErr w:type="spellStart"/>
            <w:r>
              <w:rPr>
                <w:i w:val="0"/>
                <w:iCs/>
              </w:rPr>
              <w:t>Lifehouse</w:t>
            </w:r>
            <w:proofErr w:type="spellEnd"/>
            <w:r>
              <w:rPr>
                <w:i w:val="0"/>
                <w:iCs/>
              </w:rPr>
              <w:t xml:space="preserve"> will receive the Patient Information Sheet and Consent Form in the surgeons’ private consulting rooms (</w:t>
            </w:r>
            <w:r w:rsidRPr="001C49E8">
              <w:rPr>
                <w:i w:val="0"/>
                <w:iCs/>
              </w:rPr>
              <w:t xml:space="preserve">Dr </w:t>
            </w:r>
            <w:proofErr w:type="spellStart"/>
            <w:r w:rsidRPr="001C49E8">
              <w:rPr>
                <w:i w:val="0"/>
                <w:iCs/>
              </w:rPr>
              <w:t>Ruban</w:t>
            </w:r>
            <w:proofErr w:type="spellEnd"/>
            <w:r w:rsidRPr="001C49E8">
              <w:rPr>
                <w:i w:val="0"/>
                <w:iCs/>
              </w:rPr>
              <w:t xml:space="preserve"> </w:t>
            </w:r>
            <w:proofErr w:type="spellStart"/>
            <w:r w:rsidRPr="001C49E8">
              <w:rPr>
                <w:i w:val="0"/>
                <w:iCs/>
              </w:rPr>
              <w:t>T</w:t>
            </w:r>
            <w:r>
              <w:rPr>
                <w:i w:val="0"/>
                <w:iCs/>
              </w:rPr>
              <w:t>hanigasalam</w:t>
            </w:r>
            <w:proofErr w:type="spellEnd"/>
            <w:r>
              <w:rPr>
                <w:i w:val="0"/>
                <w:iCs/>
              </w:rPr>
              <w:t xml:space="preserve"> and Dr Scott Leslie) prior to surgery, with final consent obtained on the day of surgery.</w:t>
            </w:r>
          </w:p>
        </w:tc>
      </w:tr>
      <w:tr w:rsidR="00FB26B6" w14:paraId="48A93BAA" w14:textId="77777777" w:rsidTr="00041AF2">
        <w:tc>
          <w:tcPr>
            <w:tcW w:w="3071" w:type="dxa"/>
          </w:tcPr>
          <w:p w14:paraId="38BA3E07" w14:textId="77777777" w:rsidR="00FB26B6" w:rsidRPr="00416ABC" w:rsidRDefault="00FB26B6">
            <w:pPr>
              <w:pStyle w:val="BodyTextIndent"/>
              <w:ind w:left="0"/>
              <w:rPr>
                <w:i w:val="0"/>
                <w:iCs/>
                <w:color w:val="000000" w:themeColor="text1"/>
              </w:rPr>
            </w:pPr>
            <w:r w:rsidRPr="00416ABC">
              <w:rPr>
                <w:i w:val="0"/>
                <w:iCs/>
                <w:color w:val="000000" w:themeColor="text1"/>
              </w:rPr>
              <w:lastRenderedPageBreak/>
              <w:t>Number of patients</w:t>
            </w:r>
          </w:p>
        </w:tc>
        <w:tc>
          <w:tcPr>
            <w:tcW w:w="6289" w:type="dxa"/>
          </w:tcPr>
          <w:p w14:paraId="5BEA5AC6" w14:textId="1A43804B" w:rsidR="00FB26B6" w:rsidRPr="00416ABC" w:rsidRDefault="00041AF2">
            <w:pPr>
              <w:pStyle w:val="BodyTextIndent"/>
              <w:ind w:left="0"/>
              <w:rPr>
                <w:i w:val="0"/>
              </w:rPr>
            </w:pPr>
            <w:r>
              <w:rPr>
                <w:i w:val="0"/>
                <w:color w:val="000000" w:themeColor="text1"/>
              </w:rPr>
              <w:t>30</w:t>
            </w:r>
          </w:p>
        </w:tc>
      </w:tr>
      <w:tr w:rsidR="00FB26B6" w14:paraId="33B6D8B8" w14:textId="77777777" w:rsidTr="00041AF2">
        <w:tc>
          <w:tcPr>
            <w:tcW w:w="3071" w:type="dxa"/>
          </w:tcPr>
          <w:p w14:paraId="1F62CB84" w14:textId="77777777" w:rsidR="00FB26B6" w:rsidRDefault="00FB26B6">
            <w:pPr>
              <w:pStyle w:val="BodyTextIndent"/>
              <w:ind w:left="0"/>
              <w:rPr>
                <w:i w:val="0"/>
                <w:iCs/>
              </w:rPr>
            </w:pPr>
            <w:r>
              <w:rPr>
                <w:i w:val="0"/>
                <w:iCs/>
              </w:rPr>
              <w:t>Key Inclusion Criteria</w:t>
            </w:r>
          </w:p>
        </w:tc>
        <w:tc>
          <w:tcPr>
            <w:tcW w:w="6289" w:type="dxa"/>
          </w:tcPr>
          <w:p w14:paraId="53EC84FE" w14:textId="5AA2E3C3" w:rsidR="00E244FD" w:rsidRPr="00E244FD" w:rsidRDefault="00E711C5">
            <w:pPr>
              <w:pStyle w:val="BodyTextIndent"/>
              <w:ind w:left="0"/>
              <w:rPr>
                <w:i w:val="0"/>
              </w:rPr>
            </w:pPr>
            <w:r w:rsidRPr="00E244FD">
              <w:rPr>
                <w:i w:val="0"/>
              </w:rPr>
              <w:t xml:space="preserve">Robotic </w:t>
            </w:r>
            <w:r w:rsidR="00FF2762">
              <w:rPr>
                <w:i w:val="0"/>
              </w:rPr>
              <w:t xml:space="preserve">prostate surgery </w:t>
            </w:r>
            <w:r w:rsidR="000614C0">
              <w:rPr>
                <w:i w:val="0"/>
              </w:rPr>
              <w:t>in the s</w:t>
            </w:r>
            <w:r w:rsidR="00E244FD" w:rsidRPr="00E244FD">
              <w:rPr>
                <w:i w:val="0"/>
              </w:rPr>
              <w:t>teep Trendelenburg position</w:t>
            </w:r>
          </w:p>
        </w:tc>
      </w:tr>
      <w:tr w:rsidR="00FB26B6" w14:paraId="18E0BCCF" w14:textId="77777777" w:rsidTr="00041AF2">
        <w:tc>
          <w:tcPr>
            <w:tcW w:w="3071" w:type="dxa"/>
          </w:tcPr>
          <w:p w14:paraId="08A4D986" w14:textId="77777777" w:rsidR="00FB26B6" w:rsidRDefault="00FB26B6">
            <w:pPr>
              <w:pStyle w:val="BodyTextIndent"/>
              <w:ind w:left="0"/>
              <w:rPr>
                <w:i w:val="0"/>
                <w:iCs/>
              </w:rPr>
            </w:pPr>
            <w:r>
              <w:rPr>
                <w:i w:val="0"/>
                <w:iCs/>
              </w:rPr>
              <w:t>Key Exclusion Criteria</w:t>
            </w:r>
          </w:p>
        </w:tc>
        <w:tc>
          <w:tcPr>
            <w:tcW w:w="6289" w:type="dxa"/>
          </w:tcPr>
          <w:p w14:paraId="5E883794" w14:textId="722EF69E" w:rsidR="00AB7D4B" w:rsidRPr="00E244FD" w:rsidRDefault="00AB7D4B">
            <w:pPr>
              <w:pStyle w:val="BodyTextIndent"/>
              <w:ind w:left="0"/>
              <w:rPr>
                <w:i w:val="0"/>
              </w:rPr>
            </w:pPr>
            <w:r>
              <w:rPr>
                <w:i w:val="0"/>
              </w:rPr>
              <w:t>History of cerebral</w:t>
            </w:r>
            <w:r w:rsidR="000A1512">
              <w:rPr>
                <w:i w:val="0"/>
              </w:rPr>
              <w:t xml:space="preserve"> vascular disease</w:t>
            </w:r>
          </w:p>
          <w:p w14:paraId="15705DF7" w14:textId="77777777" w:rsidR="00E711C5" w:rsidRDefault="00AB7D4B">
            <w:pPr>
              <w:pStyle w:val="BodyTextIndent"/>
              <w:ind w:left="0"/>
              <w:rPr>
                <w:i w:val="0"/>
              </w:rPr>
            </w:pPr>
            <w:r w:rsidRPr="00AB7D4B">
              <w:rPr>
                <w:i w:val="0"/>
              </w:rPr>
              <w:t>Intracranial pathology</w:t>
            </w:r>
          </w:p>
          <w:p w14:paraId="1F8A10C4" w14:textId="0CC267E8" w:rsidR="000614C0" w:rsidRDefault="000614C0">
            <w:pPr>
              <w:pStyle w:val="BodyTextIndent"/>
              <w:ind w:left="0"/>
              <w:rPr>
                <w:i w:val="0"/>
              </w:rPr>
            </w:pPr>
            <w:r>
              <w:rPr>
                <w:i w:val="0"/>
              </w:rPr>
              <w:t>Allergy to Propofol.</w:t>
            </w:r>
          </w:p>
          <w:p w14:paraId="36B6AB91" w14:textId="6FCAF523" w:rsidR="000614C0" w:rsidRPr="00AB7D4B" w:rsidRDefault="000614C0">
            <w:pPr>
              <w:pStyle w:val="BodyTextIndent"/>
              <w:ind w:left="0"/>
              <w:rPr>
                <w:i w:val="0"/>
              </w:rPr>
            </w:pPr>
            <w:r>
              <w:rPr>
                <w:i w:val="0"/>
              </w:rPr>
              <w:t xml:space="preserve">Contraindication to Sevoflurane, including malignant hyperthermia </w:t>
            </w:r>
            <w:r w:rsidR="00051351">
              <w:rPr>
                <w:i w:val="0"/>
              </w:rPr>
              <w:t>or</w:t>
            </w:r>
            <w:r>
              <w:rPr>
                <w:i w:val="0"/>
              </w:rPr>
              <w:t xml:space="preserve"> history of severe postoperative nausea and vomiting.</w:t>
            </w:r>
          </w:p>
        </w:tc>
      </w:tr>
      <w:tr w:rsidR="00FB26B6" w14:paraId="1D92B653" w14:textId="77777777" w:rsidTr="00041AF2">
        <w:tc>
          <w:tcPr>
            <w:tcW w:w="3071" w:type="dxa"/>
          </w:tcPr>
          <w:p w14:paraId="00B81098" w14:textId="77777777" w:rsidR="00FB26B6" w:rsidRDefault="00FB26B6">
            <w:pPr>
              <w:pStyle w:val="BodyTextIndent"/>
              <w:ind w:left="0"/>
              <w:rPr>
                <w:i w:val="0"/>
                <w:iCs/>
              </w:rPr>
            </w:pPr>
            <w:r>
              <w:rPr>
                <w:i w:val="0"/>
                <w:iCs/>
              </w:rPr>
              <w:t>Study Treatment/Intervention</w:t>
            </w:r>
          </w:p>
        </w:tc>
        <w:tc>
          <w:tcPr>
            <w:tcW w:w="6289" w:type="dxa"/>
          </w:tcPr>
          <w:p w14:paraId="2584A01D" w14:textId="4C9BCF53" w:rsidR="00051351" w:rsidRDefault="00051351" w:rsidP="00051351">
            <w:pPr>
              <w:pStyle w:val="BodyTextIndent"/>
              <w:numPr>
                <w:ilvl w:val="0"/>
                <w:numId w:val="2"/>
              </w:numPr>
              <w:rPr>
                <w:i w:val="0"/>
              </w:rPr>
            </w:pPr>
            <w:r>
              <w:rPr>
                <w:i w:val="0"/>
              </w:rPr>
              <w:t>Randomisation to either sevoflurane or propofol as the prime anaesthetic agent.</w:t>
            </w:r>
          </w:p>
          <w:p w14:paraId="30613DF5" w14:textId="041FCB74" w:rsidR="00FB26B6" w:rsidRPr="00EB6FE5" w:rsidRDefault="00051351" w:rsidP="00041AF2">
            <w:pPr>
              <w:pStyle w:val="BodyTextIndent"/>
              <w:numPr>
                <w:ilvl w:val="0"/>
                <w:numId w:val="2"/>
              </w:numPr>
              <w:rPr>
                <w:i w:val="0"/>
              </w:rPr>
            </w:pPr>
            <w:r w:rsidRPr="00EB6FE5">
              <w:rPr>
                <w:i w:val="0"/>
              </w:rPr>
              <w:t>Intraoperative cerebral autoregulation testing.</w:t>
            </w:r>
          </w:p>
        </w:tc>
      </w:tr>
      <w:tr w:rsidR="00441472" w14:paraId="5C796181" w14:textId="77777777" w:rsidTr="00041AF2">
        <w:tc>
          <w:tcPr>
            <w:tcW w:w="3071" w:type="dxa"/>
          </w:tcPr>
          <w:p w14:paraId="206956B9" w14:textId="52CCDFC8" w:rsidR="00441472" w:rsidRDefault="00441472">
            <w:pPr>
              <w:pStyle w:val="BodyTextIndent"/>
              <w:ind w:left="0"/>
              <w:rPr>
                <w:i w:val="0"/>
                <w:iCs/>
              </w:rPr>
            </w:pPr>
            <w:r>
              <w:rPr>
                <w:i w:val="0"/>
                <w:iCs/>
              </w:rPr>
              <w:t>Randomisation and blinding</w:t>
            </w:r>
          </w:p>
        </w:tc>
        <w:tc>
          <w:tcPr>
            <w:tcW w:w="6289" w:type="dxa"/>
          </w:tcPr>
          <w:p w14:paraId="6F4CBE6D" w14:textId="2FF48823" w:rsidR="00EB1FB4" w:rsidRPr="0044633D" w:rsidRDefault="00EB1FB4" w:rsidP="00EB1FB4">
            <w:r>
              <w:rPr>
                <w:color w:val="000000"/>
              </w:rPr>
              <w:t>O</w:t>
            </w:r>
            <w:r w:rsidRPr="0044633D">
              <w:rPr>
                <w:color w:val="000000"/>
              </w:rPr>
              <w:t xml:space="preserve">nline software </w:t>
            </w:r>
            <w:r>
              <w:rPr>
                <w:color w:val="000000"/>
              </w:rPr>
              <w:t xml:space="preserve">will be used </w:t>
            </w:r>
            <w:r w:rsidRPr="0044633D">
              <w:rPr>
                <w:color w:val="000000"/>
              </w:rPr>
              <w:t xml:space="preserve">to create </w:t>
            </w:r>
            <w:r w:rsidR="004B7B5E">
              <w:rPr>
                <w:color w:val="000000"/>
              </w:rPr>
              <w:t xml:space="preserve">randomised </w:t>
            </w:r>
            <w:r w:rsidRPr="0044633D">
              <w:rPr>
                <w:color w:val="000000"/>
              </w:rPr>
              <w:t>permuted blocks</w:t>
            </w:r>
            <w:r w:rsidR="004B7B5E">
              <w:rPr>
                <w:color w:val="000000"/>
              </w:rPr>
              <w:t>. We will create 3 blocks of 4 and 3 blocks of 6 (total 30 subjects) and will randomise the order of the blocks</w:t>
            </w:r>
            <w:r>
              <w:rPr>
                <w:color w:val="000000"/>
              </w:rPr>
              <w:t>.</w:t>
            </w:r>
          </w:p>
          <w:p w14:paraId="358C5D6A" w14:textId="516CDC8C" w:rsidR="00041AF2" w:rsidRPr="00EB1FB4" w:rsidRDefault="00EB1FB4" w:rsidP="00173C34">
            <w:r>
              <w:t>O</w:t>
            </w:r>
            <w:r w:rsidRPr="00C53651">
              <w:rPr>
                <w:color w:val="000000"/>
              </w:rPr>
              <w:t>paque envelopes</w:t>
            </w:r>
            <w:r w:rsidR="004B7B5E">
              <w:rPr>
                <w:color w:val="000000"/>
              </w:rPr>
              <w:t xml:space="preserve"> marked with the study number</w:t>
            </w:r>
            <w:r w:rsidRPr="00C53651">
              <w:rPr>
                <w:color w:val="000000"/>
              </w:rPr>
              <w:t xml:space="preserve"> will contain a piece of paper with the name of the allocated anaesthetic agent.</w:t>
            </w:r>
          </w:p>
          <w:p w14:paraId="4A0D23D2" w14:textId="1133421B" w:rsidR="00EB6FE5" w:rsidRDefault="00041AF2" w:rsidP="00041AF2">
            <w:pPr>
              <w:pStyle w:val="BodyTextIndent"/>
              <w:ind w:left="0"/>
              <w:rPr>
                <w:i w:val="0"/>
              </w:rPr>
            </w:pPr>
            <w:r>
              <w:rPr>
                <w:i w:val="0"/>
              </w:rPr>
              <w:t>The patient will be blind to group allocation.</w:t>
            </w:r>
          </w:p>
          <w:p w14:paraId="5B95A4FC" w14:textId="4F27AA32" w:rsidR="00EB6FE5" w:rsidRDefault="00EB6FE5">
            <w:pPr>
              <w:pStyle w:val="BodyTextIndent"/>
              <w:ind w:left="0"/>
              <w:rPr>
                <w:i w:val="0"/>
              </w:rPr>
            </w:pPr>
            <w:r>
              <w:rPr>
                <w:i w:val="0"/>
              </w:rPr>
              <w:t xml:space="preserve">The </w:t>
            </w:r>
            <w:r w:rsidR="00441472">
              <w:rPr>
                <w:i w:val="0"/>
              </w:rPr>
              <w:t>treating anaesthetist and investigator will be aware of the anaesthetic agent during data collection</w:t>
            </w:r>
            <w:r>
              <w:rPr>
                <w:i w:val="0"/>
              </w:rPr>
              <w:t>.</w:t>
            </w:r>
          </w:p>
          <w:p w14:paraId="0430BAC2" w14:textId="1A1C6C10" w:rsidR="00441472" w:rsidRPr="00661D33" w:rsidRDefault="00441472">
            <w:pPr>
              <w:pStyle w:val="BodyTextIndent"/>
              <w:ind w:left="0"/>
              <w:rPr>
                <w:i w:val="0"/>
              </w:rPr>
            </w:pPr>
            <w:r>
              <w:rPr>
                <w:i w:val="0"/>
              </w:rPr>
              <w:t>Investigators will be blind to the agent at the time of data analysis.</w:t>
            </w:r>
          </w:p>
        </w:tc>
      </w:tr>
      <w:tr w:rsidR="00441472" w14:paraId="366C2715" w14:textId="77777777" w:rsidTr="00041AF2">
        <w:trPr>
          <w:trHeight w:val="412"/>
        </w:trPr>
        <w:tc>
          <w:tcPr>
            <w:tcW w:w="3071" w:type="dxa"/>
          </w:tcPr>
          <w:p w14:paraId="60405780" w14:textId="3724BAB6" w:rsidR="00441472" w:rsidRDefault="00441472">
            <w:pPr>
              <w:pStyle w:val="BodyTextIndent"/>
              <w:ind w:left="0"/>
              <w:rPr>
                <w:i w:val="0"/>
                <w:iCs/>
              </w:rPr>
            </w:pPr>
            <w:r>
              <w:rPr>
                <w:i w:val="0"/>
                <w:iCs/>
              </w:rPr>
              <w:t>Outcome Measurement</w:t>
            </w:r>
            <w:r>
              <w:rPr>
                <w:i w:val="0"/>
                <w:iCs/>
              </w:rPr>
              <w:br/>
            </w:r>
          </w:p>
        </w:tc>
        <w:tc>
          <w:tcPr>
            <w:tcW w:w="6289" w:type="dxa"/>
          </w:tcPr>
          <w:p w14:paraId="5E410351" w14:textId="6F8ED635" w:rsidR="00441472" w:rsidRPr="00CF0043" w:rsidRDefault="00441472">
            <w:pPr>
              <w:rPr>
                <w:szCs w:val="20"/>
              </w:rPr>
            </w:pPr>
            <w:r>
              <w:rPr>
                <w:szCs w:val="20"/>
              </w:rPr>
              <w:t>The primary outcome measure in this study will be the Cerebral Autoregulation</w:t>
            </w:r>
            <w:r w:rsidRPr="00CF0043">
              <w:rPr>
                <w:szCs w:val="20"/>
              </w:rPr>
              <w:t xml:space="preserve"> </w:t>
            </w:r>
            <w:r>
              <w:rPr>
                <w:szCs w:val="20"/>
              </w:rPr>
              <w:t xml:space="preserve">Index </w:t>
            </w:r>
            <w:r w:rsidRPr="00CF0043">
              <w:rPr>
                <w:szCs w:val="20"/>
              </w:rPr>
              <w:t>(</w:t>
            </w:r>
            <w:r w:rsidR="00526341">
              <w:rPr>
                <w:szCs w:val="20"/>
              </w:rPr>
              <w:t>A</w:t>
            </w:r>
            <w:r>
              <w:rPr>
                <w:szCs w:val="20"/>
              </w:rPr>
              <w:t>RI</w:t>
            </w:r>
            <w:r w:rsidRPr="00CF0043">
              <w:rPr>
                <w:szCs w:val="20"/>
              </w:rPr>
              <w:t xml:space="preserve">) assessed using a Transcranial Doppler. </w:t>
            </w:r>
          </w:p>
          <w:p w14:paraId="1F69BC5E" w14:textId="360CA436" w:rsidR="00441472" w:rsidRPr="00CF0043" w:rsidRDefault="00441472">
            <w:pPr>
              <w:pStyle w:val="BodyTextIndent"/>
              <w:ind w:left="0"/>
              <w:rPr>
                <w:i w:val="0"/>
              </w:rPr>
            </w:pPr>
            <w:r>
              <w:rPr>
                <w:i w:val="0"/>
                <w:iCs/>
              </w:rPr>
              <w:t xml:space="preserve">. </w:t>
            </w:r>
          </w:p>
        </w:tc>
      </w:tr>
      <w:tr w:rsidR="00441472" w14:paraId="04D51329" w14:textId="77777777" w:rsidTr="00041AF2">
        <w:tc>
          <w:tcPr>
            <w:tcW w:w="3071" w:type="dxa"/>
          </w:tcPr>
          <w:p w14:paraId="6E242EA9" w14:textId="2AC6561D" w:rsidR="00441472" w:rsidRDefault="00441472">
            <w:pPr>
              <w:pStyle w:val="BodyTextIndent"/>
              <w:ind w:left="0"/>
              <w:rPr>
                <w:i w:val="0"/>
                <w:iCs/>
              </w:rPr>
            </w:pPr>
            <w:r>
              <w:rPr>
                <w:i w:val="0"/>
                <w:iCs/>
              </w:rPr>
              <w:t>Statistical Considerations/Data analysis</w:t>
            </w:r>
          </w:p>
        </w:tc>
        <w:tc>
          <w:tcPr>
            <w:tcW w:w="6289" w:type="dxa"/>
          </w:tcPr>
          <w:p w14:paraId="2587AC4C" w14:textId="77777777" w:rsidR="00441472" w:rsidRPr="00D45AE0" w:rsidRDefault="00441472" w:rsidP="000F0F4B">
            <w:pPr>
              <w:pStyle w:val="BodyTextIndent"/>
              <w:ind w:left="0"/>
              <w:rPr>
                <w:i w:val="0"/>
                <w:color w:val="000000" w:themeColor="text1"/>
                <w:szCs w:val="24"/>
              </w:rPr>
            </w:pPr>
            <w:r w:rsidRPr="00D45AE0">
              <w:rPr>
                <w:i w:val="0"/>
                <w:color w:val="000000" w:themeColor="text1"/>
                <w:szCs w:val="24"/>
              </w:rPr>
              <w:t xml:space="preserve">Minimum meaningful difference to detect </w:t>
            </w:r>
            <m:oMath>
              <m:r>
                <w:rPr>
                  <w:rFonts w:ascii="Cambria Math" w:hAnsi="Cambria Math"/>
                  <w:color w:val="000000" w:themeColor="text1"/>
                  <w:szCs w:val="24"/>
                </w:rPr>
                <m:t>δ</m:t>
              </m:r>
            </m:oMath>
            <w:r w:rsidRPr="00D45AE0">
              <w:rPr>
                <w:i w:val="0"/>
                <w:color w:val="000000" w:themeColor="text1"/>
                <w:szCs w:val="24"/>
              </w:rPr>
              <w:t xml:space="preserve">: </w:t>
            </w:r>
            <w:r>
              <w:rPr>
                <w:i w:val="0"/>
                <w:color w:val="000000" w:themeColor="text1"/>
                <w:szCs w:val="24"/>
              </w:rPr>
              <w:t xml:space="preserve">0.3 (Schramm </w:t>
            </w:r>
            <w:r w:rsidRPr="00D45AE0">
              <w:rPr>
                <w:i w:val="0"/>
                <w:color w:val="000000" w:themeColor="text1"/>
                <w:szCs w:val="24"/>
                <w:shd w:val="clear" w:color="auto" w:fill="FFFFFF"/>
              </w:rPr>
              <w:t>et al. 201</w:t>
            </w:r>
            <w:r>
              <w:rPr>
                <w:i w:val="0"/>
                <w:color w:val="000000" w:themeColor="text1"/>
                <w:szCs w:val="24"/>
                <w:shd w:val="clear" w:color="auto" w:fill="FFFFFF"/>
              </w:rPr>
              <w:t>4</w:t>
            </w:r>
            <w:r w:rsidRPr="00D45AE0">
              <w:rPr>
                <w:i w:val="0"/>
                <w:color w:val="000000" w:themeColor="text1"/>
                <w:szCs w:val="24"/>
                <w:shd w:val="clear" w:color="auto" w:fill="FFFFFF"/>
              </w:rPr>
              <w:t>)</w:t>
            </w:r>
          </w:p>
          <w:p w14:paraId="60E9A045" w14:textId="77777777" w:rsidR="00441472" w:rsidRPr="00D45AE0" w:rsidRDefault="00441472" w:rsidP="000F0F4B">
            <w:pPr>
              <w:pStyle w:val="BodyTextIndent"/>
              <w:ind w:left="0"/>
              <w:rPr>
                <w:i w:val="0"/>
                <w:color w:val="000000" w:themeColor="text1"/>
                <w:szCs w:val="24"/>
              </w:rPr>
            </w:pPr>
            <w:r w:rsidRPr="00D45AE0">
              <w:rPr>
                <w:i w:val="0"/>
                <w:color w:val="000000" w:themeColor="text1"/>
                <w:szCs w:val="24"/>
              </w:rPr>
              <w:t>Significance level (</w:t>
            </w:r>
            <m:oMath>
              <m:r>
                <w:rPr>
                  <w:rFonts w:ascii="Cambria Math" w:hAnsi="Cambria Math"/>
                  <w:color w:val="000000" w:themeColor="text1"/>
                  <w:szCs w:val="24"/>
                </w:rPr>
                <m:t>α)</m:t>
              </m:r>
            </m:oMath>
            <w:r w:rsidRPr="00D45AE0">
              <w:rPr>
                <w:i w:val="0"/>
                <w:color w:val="000000" w:themeColor="text1"/>
                <w:szCs w:val="24"/>
              </w:rPr>
              <w:t>:</w:t>
            </w:r>
            <m:oMath>
              <m:r>
                <w:rPr>
                  <w:rFonts w:ascii="Cambria Math" w:hAnsi="Cambria Math"/>
                  <w:color w:val="000000" w:themeColor="text1"/>
                  <w:szCs w:val="24"/>
                </w:rPr>
                <m:t>α=</m:t>
              </m:r>
            </m:oMath>
            <w:r w:rsidRPr="00D45AE0">
              <w:rPr>
                <w:i w:val="0"/>
                <w:color w:val="000000" w:themeColor="text1"/>
                <w:szCs w:val="24"/>
              </w:rPr>
              <w:t>0.05, z</w:t>
            </w:r>
            <m:oMath>
              <m:r>
                <w:rPr>
                  <w:rFonts w:ascii="Cambria Math" w:hAnsi="Cambria Math"/>
                  <w:color w:val="000000" w:themeColor="text1"/>
                  <w:szCs w:val="24"/>
                </w:rPr>
                <m:t xml:space="preserve">α </m:t>
              </m:r>
            </m:oMath>
            <w:r w:rsidRPr="00D45AE0">
              <w:rPr>
                <w:i w:val="0"/>
                <w:color w:val="000000" w:themeColor="text1"/>
                <w:szCs w:val="24"/>
              </w:rPr>
              <w:t>= 1.96</w:t>
            </w:r>
          </w:p>
          <w:p w14:paraId="7DB66DE6" w14:textId="77777777" w:rsidR="00441472" w:rsidRPr="00D45AE0" w:rsidRDefault="00441472" w:rsidP="000F0F4B">
            <w:pPr>
              <w:pStyle w:val="BodyTextIndent"/>
              <w:ind w:left="0"/>
              <w:rPr>
                <w:i w:val="0"/>
                <w:color w:val="000000" w:themeColor="text1"/>
                <w:szCs w:val="24"/>
              </w:rPr>
            </w:pPr>
            <w:r w:rsidRPr="00D45AE0">
              <w:rPr>
                <w:i w:val="0"/>
                <w:color w:val="000000" w:themeColor="text1"/>
                <w:szCs w:val="24"/>
              </w:rPr>
              <w:t>Power (1-</w:t>
            </w:r>
            <m:oMath>
              <m:r>
                <w:rPr>
                  <w:rFonts w:ascii="Cambria Math" w:hAnsi="Cambria Math"/>
                  <w:color w:val="000000" w:themeColor="text1"/>
                  <w:szCs w:val="24"/>
                </w:rPr>
                <m:t>β</m:t>
              </m:r>
            </m:oMath>
            <w:r w:rsidRPr="00D45AE0">
              <w:rPr>
                <w:i w:val="0"/>
                <w:color w:val="000000" w:themeColor="text1"/>
                <w:szCs w:val="24"/>
              </w:rPr>
              <w:t>): Set power at 80%, z</w:t>
            </w:r>
            <w:r w:rsidRPr="00D45AE0">
              <w:rPr>
                <w:i w:val="0"/>
                <w:color w:val="000000" w:themeColor="text1"/>
                <w:szCs w:val="24"/>
                <w:vertAlign w:val="subscript"/>
              </w:rPr>
              <w:t>2</w:t>
            </w:r>
            <m:oMath>
              <m:r>
                <w:rPr>
                  <w:rFonts w:ascii="Cambria Math" w:hAnsi="Cambria Math"/>
                  <w:color w:val="000000" w:themeColor="text1"/>
                  <w:szCs w:val="24"/>
                  <w:vertAlign w:val="subscript"/>
                </w:rPr>
                <m:t>β</m:t>
              </m:r>
            </m:oMath>
            <w:r w:rsidRPr="00D45AE0">
              <w:rPr>
                <w:i w:val="0"/>
                <w:color w:val="000000" w:themeColor="text1"/>
                <w:szCs w:val="24"/>
              </w:rPr>
              <w:t>=0.842</w:t>
            </w:r>
          </w:p>
          <w:p w14:paraId="5AA313E7" w14:textId="77777777" w:rsidR="00441472" w:rsidRPr="00D45AE0" w:rsidRDefault="00441472" w:rsidP="000F0F4B">
            <w:pPr>
              <w:pStyle w:val="BodyTextIndent"/>
              <w:ind w:left="0"/>
              <w:rPr>
                <w:i w:val="0"/>
                <w:color w:val="000000" w:themeColor="text1"/>
                <w:szCs w:val="24"/>
              </w:rPr>
            </w:pPr>
            <w:r w:rsidRPr="00D45AE0">
              <w:rPr>
                <w:i w:val="0"/>
                <w:color w:val="000000" w:themeColor="text1"/>
                <w:szCs w:val="24"/>
              </w:rPr>
              <w:t xml:space="preserve">Standard deviation: </w:t>
            </w:r>
            <m:oMath>
              <m:r>
                <w:rPr>
                  <w:rFonts w:ascii="Cambria Math" w:hAnsi="Cambria Math"/>
                  <w:color w:val="000000" w:themeColor="text1"/>
                  <w:szCs w:val="24"/>
                </w:rPr>
                <m:t>σ</m:t>
              </m:r>
            </m:oMath>
            <w:r w:rsidRPr="00D45AE0">
              <w:rPr>
                <w:i w:val="0"/>
                <w:color w:val="000000" w:themeColor="text1"/>
                <w:szCs w:val="24"/>
              </w:rPr>
              <w:t>=</w:t>
            </w:r>
            <w:r>
              <w:rPr>
                <w:i w:val="0"/>
                <w:color w:val="000000" w:themeColor="text1"/>
                <w:szCs w:val="24"/>
              </w:rPr>
              <w:t>0.25</w:t>
            </w:r>
            <w:r w:rsidRPr="00D45AE0">
              <w:rPr>
                <w:i w:val="0"/>
                <w:color w:val="000000" w:themeColor="text1"/>
                <w:szCs w:val="24"/>
              </w:rPr>
              <w:t xml:space="preserve"> (</w:t>
            </w:r>
            <w:r>
              <w:rPr>
                <w:i w:val="0"/>
                <w:color w:val="000000" w:themeColor="text1"/>
                <w:szCs w:val="24"/>
              </w:rPr>
              <w:t xml:space="preserve">Schramm </w:t>
            </w:r>
            <w:r w:rsidRPr="00D45AE0">
              <w:rPr>
                <w:i w:val="0"/>
                <w:color w:val="000000" w:themeColor="text1"/>
                <w:szCs w:val="24"/>
                <w:shd w:val="clear" w:color="auto" w:fill="FFFFFF"/>
              </w:rPr>
              <w:t>et al. 201</w:t>
            </w:r>
            <w:r>
              <w:rPr>
                <w:i w:val="0"/>
                <w:color w:val="000000" w:themeColor="text1"/>
                <w:szCs w:val="24"/>
                <w:shd w:val="clear" w:color="auto" w:fill="FFFFFF"/>
              </w:rPr>
              <w:t>4</w:t>
            </w:r>
            <w:r w:rsidRPr="00D45AE0">
              <w:rPr>
                <w:i w:val="0"/>
                <w:color w:val="000000" w:themeColor="text1"/>
                <w:szCs w:val="24"/>
              </w:rPr>
              <w:t>)</w:t>
            </w:r>
          </w:p>
          <w:p w14:paraId="3D3F6ECB" w14:textId="77777777" w:rsidR="00441472" w:rsidRPr="00D45AE0" w:rsidRDefault="00441472" w:rsidP="000F0F4B">
            <w:pPr>
              <w:pStyle w:val="BodyTextIndent"/>
              <w:ind w:left="0"/>
              <w:rPr>
                <w:i w:val="0"/>
                <w:color w:val="000000" w:themeColor="text1"/>
                <w:szCs w:val="24"/>
              </w:rPr>
            </w:pPr>
          </w:p>
          <w:p w14:paraId="458A2E79" w14:textId="77777777" w:rsidR="00441472" w:rsidRPr="00D45AE0" w:rsidRDefault="00441472" w:rsidP="000F0F4B">
            <w:pPr>
              <w:pStyle w:val="BodyTextIndent"/>
              <w:ind w:left="0"/>
              <w:rPr>
                <w:i w:val="0"/>
                <w:color w:val="000000" w:themeColor="text1"/>
                <w:szCs w:val="24"/>
                <w:vertAlign w:val="superscript"/>
              </w:rPr>
            </w:pPr>
            <w:r w:rsidRPr="00D45AE0">
              <w:rPr>
                <w:i w:val="0"/>
                <w:color w:val="000000" w:themeColor="text1"/>
                <w:szCs w:val="24"/>
              </w:rPr>
              <w:t>n</w:t>
            </w:r>
            <m:oMath>
              <m:r>
                <w:rPr>
                  <w:rFonts w:ascii="Cambria Math" w:hAnsi="Cambria Math"/>
                  <w:color w:val="000000" w:themeColor="text1"/>
                  <w:szCs w:val="24"/>
                </w:rPr>
                <m:t>≥</m:t>
              </m:r>
            </m:oMath>
            <w:r w:rsidRPr="00D45AE0">
              <w:rPr>
                <w:i w:val="0"/>
                <w:color w:val="000000" w:themeColor="text1"/>
                <w:szCs w:val="24"/>
              </w:rPr>
              <w:t>2(z</w:t>
            </w:r>
            <m:oMath>
              <m:r>
                <w:rPr>
                  <w:rFonts w:ascii="Cambria Math" w:hAnsi="Cambria Math"/>
                  <w:color w:val="000000" w:themeColor="text1"/>
                  <w:szCs w:val="24"/>
                </w:rPr>
                <m:t>α</m:t>
              </m:r>
            </m:oMath>
            <w:r w:rsidRPr="00D45AE0">
              <w:rPr>
                <w:i w:val="0"/>
                <w:color w:val="000000" w:themeColor="text1"/>
                <w:szCs w:val="24"/>
              </w:rPr>
              <w:t>+z</w:t>
            </w:r>
            <w:r w:rsidRPr="00D45AE0">
              <w:rPr>
                <w:i w:val="0"/>
                <w:color w:val="000000" w:themeColor="text1"/>
                <w:szCs w:val="24"/>
                <w:vertAlign w:val="subscript"/>
              </w:rPr>
              <w:t>2</w:t>
            </w:r>
            <m:oMath>
              <m:r>
                <w:rPr>
                  <w:rFonts w:ascii="Cambria Math" w:hAnsi="Cambria Math"/>
                  <w:color w:val="000000" w:themeColor="text1"/>
                  <w:szCs w:val="24"/>
                  <w:vertAlign w:val="subscript"/>
                </w:rPr>
                <m:t xml:space="preserve"> β</m:t>
              </m:r>
            </m:oMath>
            <w:r w:rsidRPr="00D45AE0">
              <w:rPr>
                <w:i w:val="0"/>
                <w:color w:val="000000" w:themeColor="text1"/>
                <w:szCs w:val="24"/>
                <w:vertAlign w:val="subscript"/>
              </w:rPr>
              <w:t xml:space="preserve"> </w:t>
            </w:r>
            <w:r w:rsidRPr="00D45AE0">
              <w:rPr>
                <w:i w:val="0"/>
                <w:color w:val="000000" w:themeColor="text1"/>
                <w:szCs w:val="24"/>
              </w:rPr>
              <w:t>)</w:t>
            </w:r>
            <w:r w:rsidRPr="00D45AE0">
              <w:rPr>
                <w:i w:val="0"/>
                <w:color w:val="000000" w:themeColor="text1"/>
                <w:szCs w:val="24"/>
                <w:vertAlign w:val="superscript"/>
              </w:rPr>
              <w:t>2</w:t>
            </w:r>
            <w:r w:rsidRPr="00D45AE0">
              <w:rPr>
                <w:i w:val="0"/>
                <w:color w:val="000000" w:themeColor="text1"/>
                <w:szCs w:val="24"/>
              </w:rPr>
              <w:t>(</w:t>
            </w:r>
            <m:oMath>
              <m:f>
                <m:fPr>
                  <m:ctrlPr>
                    <w:rPr>
                      <w:rFonts w:ascii="Cambria Math" w:hAnsi="Cambria Math"/>
                      <w:i w:val="0"/>
                      <w:color w:val="000000" w:themeColor="text1"/>
                      <w:szCs w:val="24"/>
                    </w:rPr>
                  </m:ctrlPr>
                </m:fPr>
                <m:num>
                  <m:r>
                    <w:rPr>
                      <w:rFonts w:ascii="Cambria Math" w:hAnsi="Cambria Math"/>
                      <w:color w:val="000000" w:themeColor="text1"/>
                      <w:szCs w:val="24"/>
                    </w:rPr>
                    <m:t>σ</m:t>
                  </m:r>
                </m:num>
                <m:den>
                  <m:r>
                    <w:rPr>
                      <w:rFonts w:ascii="Cambria Math" w:hAnsi="Cambria Math"/>
                      <w:color w:val="000000" w:themeColor="text1"/>
                      <w:szCs w:val="24"/>
                    </w:rPr>
                    <m:t>δ</m:t>
                  </m:r>
                </m:den>
              </m:f>
            </m:oMath>
            <w:r w:rsidRPr="00D45AE0">
              <w:rPr>
                <w:i w:val="0"/>
                <w:color w:val="000000" w:themeColor="text1"/>
                <w:szCs w:val="24"/>
              </w:rPr>
              <w:t>)</w:t>
            </w:r>
            <w:r w:rsidRPr="00D45AE0">
              <w:rPr>
                <w:i w:val="0"/>
                <w:color w:val="000000" w:themeColor="text1"/>
                <w:szCs w:val="24"/>
                <w:vertAlign w:val="superscript"/>
              </w:rPr>
              <w:t>2</w:t>
            </w:r>
            <w:r w:rsidRPr="00D45AE0">
              <w:rPr>
                <w:i w:val="0"/>
                <w:color w:val="000000" w:themeColor="text1"/>
                <w:szCs w:val="24"/>
              </w:rPr>
              <w:br/>
              <w:t>n</w:t>
            </w:r>
            <m:oMath>
              <m:r>
                <w:rPr>
                  <w:rFonts w:ascii="Cambria Math" w:hAnsi="Cambria Math"/>
                  <w:color w:val="000000" w:themeColor="text1"/>
                  <w:szCs w:val="24"/>
                </w:rPr>
                <m:t>≥</m:t>
              </m:r>
            </m:oMath>
            <w:r w:rsidRPr="00D45AE0">
              <w:rPr>
                <w:i w:val="0"/>
                <w:color w:val="000000" w:themeColor="text1"/>
                <w:szCs w:val="24"/>
              </w:rPr>
              <w:t xml:space="preserve"> 2(1.96+0.84</w:t>
            </w:r>
            <w:r>
              <w:rPr>
                <w:i w:val="0"/>
                <w:color w:val="000000" w:themeColor="text1"/>
                <w:szCs w:val="24"/>
              </w:rPr>
              <w:t>2</w:t>
            </w:r>
            <w:r w:rsidRPr="00D45AE0">
              <w:rPr>
                <w:i w:val="0"/>
                <w:color w:val="000000" w:themeColor="text1"/>
                <w:szCs w:val="24"/>
              </w:rPr>
              <w:t>)</w:t>
            </w:r>
            <w:r w:rsidRPr="00D45AE0">
              <w:rPr>
                <w:i w:val="0"/>
                <w:color w:val="000000" w:themeColor="text1"/>
                <w:szCs w:val="24"/>
                <w:vertAlign w:val="superscript"/>
              </w:rPr>
              <w:t>2</w:t>
            </w:r>
            <w:r w:rsidRPr="00D45AE0">
              <w:rPr>
                <w:i w:val="0"/>
                <w:color w:val="000000" w:themeColor="text1"/>
                <w:szCs w:val="24"/>
              </w:rPr>
              <w:t>(</w:t>
            </w:r>
            <m:oMath>
              <m:f>
                <m:fPr>
                  <m:ctrlPr>
                    <w:rPr>
                      <w:rFonts w:ascii="Cambria Math" w:hAnsi="Cambria Math"/>
                      <w:i w:val="0"/>
                      <w:color w:val="000000" w:themeColor="text1"/>
                      <w:szCs w:val="24"/>
                    </w:rPr>
                  </m:ctrlPr>
                </m:fPr>
                <m:num>
                  <m:r>
                    <w:rPr>
                      <w:rFonts w:ascii="Cambria Math" w:hAnsi="Cambria Math"/>
                      <w:color w:val="000000" w:themeColor="text1"/>
                      <w:szCs w:val="24"/>
                    </w:rPr>
                    <m:t>0.25</m:t>
                  </m:r>
                </m:num>
                <m:den>
                  <m:r>
                    <w:rPr>
                      <w:rFonts w:ascii="Cambria Math" w:hAnsi="Cambria Math"/>
                      <w:color w:val="000000" w:themeColor="text1"/>
                      <w:szCs w:val="24"/>
                    </w:rPr>
                    <m:t>0.3</m:t>
                  </m:r>
                </m:den>
              </m:f>
              <m:r>
                <w:rPr>
                  <w:rFonts w:ascii="Cambria Math" w:hAnsi="Cambria Math"/>
                  <w:color w:val="000000" w:themeColor="text1"/>
                  <w:szCs w:val="24"/>
                </w:rPr>
                <m:t>)</m:t>
              </m:r>
            </m:oMath>
            <w:r w:rsidRPr="00D45AE0">
              <w:rPr>
                <w:i w:val="0"/>
                <w:color w:val="000000" w:themeColor="text1"/>
                <w:szCs w:val="24"/>
                <w:vertAlign w:val="superscript"/>
              </w:rPr>
              <w:t>2</w:t>
            </w:r>
          </w:p>
          <w:p w14:paraId="6125B1CB" w14:textId="77777777" w:rsidR="00441472" w:rsidRPr="00D45AE0" w:rsidRDefault="00441472" w:rsidP="000F0F4B">
            <w:pPr>
              <w:pStyle w:val="BodyTextIndent"/>
              <w:ind w:left="0"/>
              <w:rPr>
                <w:i w:val="0"/>
                <w:color w:val="000000" w:themeColor="text1"/>
                <w:szCs w:val="24"/>
              </w:rPr>
            </w:pPr>
            <w:r w:rsidRPr="00D45AE0">
              <w:rPr>
                <w:i w:val="0"/>
                <w:color w:val="000000" w:themeColor="text1"/>
                <w:szCs w:val="24"/>
              </w:rPr>
              <w:t>n</w:t>
            </w:r>
            <m:oMath>
              <m:r>
                <w:rPr>
                  <w:rFonts w:ascii="Cambria Math" w:hAnsi="Cambria Math"/>
                  <w:color w:val="000000" w:themeColor="text1"/>
                  <w:szCs w:val="24"/>
                </w:rPr>
                <m:t>≥</m:t>
              </m:r>
            </m:oMath>
            <w:r w:rsidRPr="00D45AE0">
              <w:rPr>
                <w:i w:val="0"/>
                <w:color w:val="000000" w:themeColor="text1"/>
                <w:szCs w:val="24"/>
              </w:rPr>
              <w:t xml:space="preserve"> 10.</w:t>
            </w:r>
            <w:r>
              <w:rPr>
                <w:i w:val="0"/>
                <w:color w:val="000000" w:themeColor="text1"/>
                <w:szCs w:val="24"/>
              </w:rPr>
              <w:t>90</w:t>
            </w:r>
          </w:p>
          <w:p w14:paraId="7E22B0C7" w14:textId="06F53689" w:rsidR="00441472" w:rsidRPr="00D45AE0" w:rsidRDefault="00441472" w:rsidP="000F0F4B">
            <w:pPr>
              <w:pStyle w:val="BodyTextIndent"/>
              <w:ind w:left="0"/>
              <w:rPr>
                <w:i w:val="0"/>
                <w:color w:val="000000" w:themeColor="text1"/>
                <w:szCs w:val="24"/>
              </w:rPr>
            </w:pPr>
            <w:r w:rsidRPr="00D45AE0">
              <w:rPr>
                <w:i w:val="0"/>
                <w:color w:val="000000" w:themeColor="text1"/>
                <w:szCs w:val="24"/>
              </w:rPr>
              <w:t>Therefore</w:t>
            </w:r>
            <w:r w:rsidR="009A1F04">
              <w:rPr>
                <w:i w:val="0"/>
                <w:color w:val="000000" w:themeColor="text1"/>
                <w:szCs w:val="24"/>
              </w:rPr>
              <w:t xml:space="preserve"> a minimum of</w:t>
            </w:r>
            <w:r w:rsidRPr="00D45AE0">
              <w:rPr>
                <w:i w:val="0"/>
                <w:color w:val="000000" w:themeColor="text1"/>
                <w:szCs w:val="24"/>
              </w:rPr>
              <w:t xml:space="preserve"> 11 people </w:t>
            </w:r>
            <w:r w:rsidR="00EB6FE5">
              <w:rPr>
                <w:i w:val="0"/>
                <w:color w:val="000000" w:themeColor="text1"/>
                <w:szCs w:val="24"/>
              </w:rPr>
              <w:t>w</w:t>
            </w:r>
            <w:r w:rsidRPr="00D45AE0">
              <w:rPr>
                <w:i w:val="0"/>
                <w:color w:val="000000" w:themeColor="text1"/>
                <w:szCs w:val="24"/>
              </w:rPr>
              <w:t xml:space="preserve">ill be needed in each arm of the trial in order to have an 80% probability of finding a difference in </w:t>
            </w:r>
            <w:r>
              <w:rPr>
                <w:i w:val="0"/>
                <w:color w:val="000000" w:themeColor="text1"/>
                <w:szCs w:val="24"/>
              </w:rPr>
              <w:t>ARI</w:t>
            </w:r>
            <w:r w:rsidRPr="00D45AE0">
              <w:rPr>
                <w:i w:val="0"/>
                <w:color w:val="000000" w:themeColor="text1"/>
                <w:szCs w:val="24"/>
              </w:rPr>
              <w:t xml:space="preserve"> of </w:t>
            </w:r>
            <w:r>
              <w:rPr>
                <w:i w:val="0"/>
                <w:color w:val="000000" w:themeColor="text1"/>
                <w:szCs w:val="24"/>
              </w:rPr>
              <w:t>0.3</w:t>
            </w:r>
            <w:r w:rsidRPr="00D45AE0">
              <w:rPr>
                <w:i w:val="0"/>
                <w:color w:val="000000" w:themeColor="text1"/>
                <w:szCs w:val="24"/>
              </w:rPr>
              <w:t xml:space="preserve"> with a standard deviation of </w:t>
            </w:r>
            <w:r>
              <w:rPr>
                <w:i w:val="0"/>
                <w:color w:val="000000" w:themeColor="text1"/>
                <w:szCs w:val="24"/>
              </w:rPr>
              <w:t>0.25</w:t>
            </w:r>
          </w:p>
          <w:p w14:paraId="13E4C20C" w14:textId="77777777" w:rsidR="00441472" w:rsidRPr="00D45AE0" w:rsidRDefault="00441472" w:rsidP="000F0F4B">
            <w:pPr>
              <w:pStyle w:val="BodyTextIndent"/>
              <w:ind w:left="0"/>
              <w:rPr>
                <w:i w:val="0"/>
                <w:color w:val="FF0000"/>
                <w:szCs w:val="24"/>
              </w:rPr>
            </w:pPr>
            <w:r w:rsidRPr="00D45AE0">
              <w:rPr>
                <w:i w:val="0"/>
                <w:color w:val="FF0000"/>
                <w:szCs w:val="24"/>
              </w:rPr>
              <w:t xml:space="preserve"> </w:t>
            </w:r>
          </w:p>
          <w:p w14:paraId="33B012FC" w14:textId="26E0E207" w:rsidR="00441472" w:rsidRPr="00041AF2" w:rsidRDefault="00441472">
            <w:pPr>
              <w:pStyle w:val="BodyTextIndent"/>
              <w:ind w:left="0"/>
              <w:rPr>
                <w:i w:val="0"/>
              </w:rPr>
            </w:pPr>
            <w:r w:rsidRPr="00D45AE0">
              <w:rPr>
                <w:i w:val="0"/>
                <w:color w:val="000000" w:themeColor="text1"/>
                <w:szCs w:val="24"/>
              </w:rPr>
              <w:t xml:space="preserve">As we are comparing two independent means, a student’s two sample t-test will be used to determine if there is a significant difference between the </w:t>
            </w:r>
            <w:r>
              <w:rPr>
                <w:i w:val="0"/>
                <w:color w:val="000000" w:themeColor="text1"/>
                <w:szCs w:val="24"/>
              </w:rPr>
              <w:t xml:space="preserve">ARI </w:t>
            </w:r>
            <w:r w:rsidRPr="00D45AE0">
              <w:rPr>
                <w:i w:val="0"/>
                <w:color w:val="000000" w:themeColor="text1"/>
                <w:szCs w:val="24"/>
              </w:rPr>
              <w:t>of those under Propofol anaesthesia compared with</w:t>
            </w:r>
            <w:r>
              <w:rPr>
                <w:i w:val="0"/>
                <w:color w:val="000000" w:themeColor="text1"/>
                <w:szCs w:val="24"/>
              </w:rPr>
              <w:t xml:space="preserve"> Sevoflurane</w:t>
            </w:r>
            <w:r w:rsidRPr="00D45AE0">
              <w:rPr>
                <w:i w:val="0"/>
                <w:color w:val="000000" w:themeColor="text1"/>
                <w:szCs w:val="24"/>
              </w:rPr>
              <w:t>.</w:t>
            </w:r>
            <w:r>
              <w:rPr>
                <w:i w:val="0"/>
                <w:color w:val="000000" w:themeColor="text1"/>
              </w:rPr>
              <w:t xml:space="preserve">  </w:t>
            </w:r>
          </w:p>
        </w:tc>
      </w:tr>
    </w:tbl>
    <w:p w14:paraId="79D592B0" w14:textId="77777777" w:rsidR="001C49E8" w:rsidRDefault="001C49E8">
      <w:r>
        <w:rPr>
          <w:i/>
        </w:rPr>
        <w:br w:type="page"/>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1"/>
        <w:gridCol w:w="6289"/>
      </w:tblGrid>
      <w:tr w:rsidR="00441472" w14:paraId="1538C1DD" w14:textId="77777777" w:rsidTr="00041AF2">
        <w:tc>
          <w:tcPr>
            <w:tcW w:w="3071" w:type="dxa"/>
          </w:tcPr>
          <w:p w14:paraId="7D4CB58D" w14:textId="6DF20C7A" w:rsidR="00441472" w:rsidRDefault="00441472">
            <w:pPr>
              <w:pStyle w:val="BodyTextIndent"/>
              <w:ind w:left="0"/>
              <w:rPr>
                <w:i w:val="0"/>
                <w:iCs/>
              </w:rPr>
            </w:pPr>
            <w:r>
              <w:rPr>
                <w:i w:val="0"/>
                <w:iCs/>
              </w:rPr>
              <w:lastRenderedPageBreak/>
              <w:t>Ethical Considerations</w:t>
            </w:r>
          </w:p>
        </w:tc>
        <w:tc>
          <w:tcPr>
            <w:tcW w:w="6289" w:type="dxa"/>
          </w:tcPr>
          <w:p w14:paraId="11695936" w14:textId="77777777" w:rsidR="001C49E8" w:rsidRDefault="00EB6FE5" w:rsidP="000F0F4B">
            <w:pPr>
              <w:pStyle w:val="BodyTextIndent"/>
              <w:ind w:left="0"/>
              <w:rPr>
                <w:i w:val="0"/>
                <w:iCs/>
              </w:rPr>
            </w:pPr>
            <w:r>
              <w:rPr>
                <w:i w:val="0"/>
                <w:iCs/>
              </w:rPr>
              <w:t xml:space="preserve">The </w:t>
            </w:r>
            <w:r w:rsidR="002C5193">
              <w:rPr>
                <w:i w:val="0"/>
                <w:iCs/>
              </w:rPr>
              <w:t xml:space="preserve">main ethical consideration with perioperative anaesthetic research is contacting the patient early enough to give adequate time for the patient to consider their decision to participate. </w:t>
            </w:r>
          </w:p>
          <w:p w14:paraId="02DDE221" w14:textId="1777C9B7" w:rsidR="00441472" w:rsidRPr="00041AF2" w:rsidRDefault="001C49E8" w:rsidP="001C49E8">
            <w:pPr>
              <w:pStyle w:val="BodyTextIndent"/>
              <w:ind w:left="0"/>
              <w:rPr>
                <w:i w:val="0"/>
                <w:color w:val="FF0000"/>
              </w:rPr>
            </w:pPr>
            <w:r w:rsidRPr="00E244FD">
              <w:rPr>
                <w:i w:val="0"/>
              </w:rPr>
              <w:t xml:space="preserve">Patients will be invited to participate upon consultation with their </w:t>
            </w:r>
            <w:r>
              <w:rPr>
                <w:i w:val="0"/>
              </w:rPr>
              <w:t xml:space="preserve">surgeon prior to </w:t>
            </w:r>
            <w:r w:rsidR="002F3CEE">
              <w:rPr>
                <w:i w:val="0"/>
              </w:rPr>
              <w:t xml:space="preserve">their </w:t>
            </w:r>
            <w:r>
              <w:rPr>
                <w:i w:val="0"/>
              </w:rPr>
              <w:t>surgery</w:t>
            </w:r>
            <w:r>
              <w:rPr>
                <w:i w:val="0"/>
                <w:iCs/>
              </w:rPr>
              <w:t xml:space="preserve">.  </w:t>
            </w:r>
            <w:r w:rsidR="003B083A">
              <w:rPr>
                <w:i w:val="0"/>
                <w:iCs/>
              </w:rPr>
              <w:t xml:space="preserve">Participants at RPAH will be given the Patient information sheet and consent form prior to surgery in the pre-admission clinic. Participants at Chris O’Brien </w:t>
            </w:r>
            <w:proofErr w:type="spellStart"/>
            <w:r w:rsidR="003B083A">
              <w:rPr>
                <w:i w:val="0"/>
                <w:iCs/>
              </w:rPr>
              <w:t>Lifehouse</w:t>
            </w:r>
            <w:proofErr w:type="spellEnd"/>
            <w:r w:rsidR="003B083A">
              <w:rPr>
                <w:i w:val="0"/>
                <w:iCs/>
              </w:rPr>
              <w:t xml:space="preserve"> will receive the </w:t>
            </w:r>
            <w:r>
              <w:rPr>
                <w:i w:val="0"/>
                <w:iCs/>
              </w:rPr>
              <w:t>P</w:t>
            </w:r>
            <w:r w:rsidR="003B083A">
              <w:rPr>
                <w:i w:val="0"/>
                <w:iCs/>
              </w:rPr>
              <w:t xml:space="preserve">atient </w:t>
            </w:r>
            <w:r>
              <w:rPr>
                <w:i w:val="0"/>
                <w:iCs/>
              </w:rPr>
              <w:t>I</w:t>
            </w:r>
            <w:r w:rsidR="003B083A">
              <w:rPr>
                <w:i w:val="0"/>
                <w:iCs/>
              </w:rPr>
              <w:t xml:space="preserve">nformation </w:t>
            </w:r>
            <w:r>
              <w:rPr>
                <w:i w:val="0"/>
                <w:iCs/>
              </w:rPr>
              <w:t>S</w:t>
            </w:r>
            <w:r w:rsidR="003B083A">
              <w:rPr>
                <w:i w:val="0"/>
                <w:iCs/>
              </w:rPr>
              <w:t xml:space="preserve">heet and </w:t>
            </w:r>
            <w:r>
              <w:rPr>
                <w:i w:val="0"/>
                <w:iCs/>
              </w:rPr>
              <w:t>C</w:t>
            </w:r>
            <w:r w:rsidR="003B083A">
              <w:rPr>
                <w:i w:val="0"/>
                <w:iCs/>
              </w:rPr>
              <w:t>onsent form in the surgeons</w:t>
            </w:r>
            <w:r>
              <w:rPr>
                <w:i w:val="0"/>
                <w:iCs/>
              </w:rPr>
              <w:t>’ private consulting</w:t>
            </w:r>
            <w:r w:rsidR="003B083A">
              <w:rPr>
                <w:i w:val="0"/>
                <w:iCs/>
              </w:rPr>
              <w:t xml:space="preserve"> rooms prior to surgery</w:t>
            </w:r>
            <w:r>
              <w:rPr>
                <w:i w:val="0"/>
                <w:iCs/>
              </w:rPr>
              <w:t xml:space="preserve"> (</w:t>
            </w:r>
            <w:r>
              <w:t xml:space="preserve">Dr </w:t>
            </w:r>
            <w:proofErr w:type="spellStart"/>
            <w:r>
              <w:t>Ruban</w:t>
            </w:r>
            <w:proofErr w:type="spellEnd"/>
            <w:r>
              <w:t xml:space="preserve"> </w:t>
            </w:r>
            <w:proofErr w:type="spellStart"/>
            <w:r>
              <w:t>Thanigasalam</w:t>
            </w:r>
            <w:proofErr w:type="spellEnd"/>
            <w:r>
              <w:t xml:space="preserve"> and Dr Scott Leslie)</w:t>
            </w:r>
            <w:r w:rsidR="003B083A">
              <w:rPr>
                <w:i w:val="0"/>
                <w:iCs/>
              </w:rPr>
              <w:t>, with final consent obtained on the day of surgery.</w:t>
            </w:r>
          </w:p>
        </w:tc>
      </w:tr>
      <w:tr w:rsidR="00441472" w14:paraId="65EF6FB5" w14:textId="77777777" w:rsidTr="00041AF2">
        <w:tc>
          <w:tcPr>
            <w:tcW w:w="3071" w:type="dxa"/>
          </w:tcPr>
          <w:p w14:paraId="3D7205C4" w14:textId="0AFD9632" w:rsidR="00441472" w:rsidRDefault="00441472">
            <w:pPr>
              <w:pStyle w:val="BodyTextIndent"/>
              <w:ind w:left="0"/>
              <w:rPr>
                <w:i w:val="0"/>
                <w:iCs/>
              </w:rPr>
            </w:pPr>
            <w:r>
              <w:rPr>
                <w:i w:val="0"/>
                <w:iCs/>
              </w:rPr>
              <w:t>Safety Considerations</w:t>
            </w:r>
          </w:p>
        </w:tc>
        <w:tc>
          <w:tcPr>
            <w:tcW w:w="6289" w:type="dxa"/>
          </w:tcPr>
          <w:p w14:paraId="3977661B" w14:textId="6DB8CFF5" w:rsidR="00441472" w:rsidRDefault="002C5193">
            <w:pPr>
              <w:pStyle w:val="BodyTextIndent"/>
              <w:ind w:left="0"/>
              <w:rPr>
                <w:i w:val="0"/>
              </w:rPr>
            </w:pPr>
            <w:r>
              <w:rPr>
                <w:i w:val="0"/>
              </w:rPr>
              <w:t>There are no known safety considerations regarding the choice of anaesthetic agent. Both agents in this study are routinely used</w:t>
            </w:r>
            <w:r w:rsidR="00065A42">
              <w:rPr>
                <w:i w:val="0"/>
              </w:rPr>
              <w:t xml:space="preserve"> and there is no proof that one is superior to the other</w:t>
            </w:r>
            <w:r>
              <w:rPr>
                <w:i w:val="0"/>
              </w:rPr>
              <w:t>. Either Propofol or sevoflurane (or even a combination of the two) are given to most patients currently having this procedure.</w:t>
            </w:r>
          </w:p>
          <w:p w14:paraId="035D7AFB" w14:textId="0484DD6D" w:rsidR="002C5193" w:rsidRDefault="00441472">
            <w:pPr>
              <w:pStyle w:val="BodyTextIndent"/>
              <w:ind w:left="0"/>
              <w:rPr>
                <w:i w:val="0"/>
                <w:iCs/>
              </w:rPr>
            </w:pPr>
            <w:r>
              <w:rPr>
                <w:i w:val="0"/>
              </w:rPr>
              <w:t>Autoregulation testing involves deliberate manipulation of the blood pressure. We will use a phenylephrine infusion to control the blood pressure. Phenylephrine is a standard d</w:t>
            </w:r>
            <w:r w:rsidR="002C5193">
              <w:rPr>
                <w:i w:val="0"/>
              </w:rPr>
              <w:t>ru</w:t>
            </w:r>
            <w:r>
              <w:rPr>
                <w:i w:val="0"/>
              </w:rPr>
              <w:t>g used during anaesthesia to support blood pressure. Many patients would receive this drug, regardless of their participation in this study. The range of blood pressures used to test autoregulation (mean arterial pressure 80 mmHg to 100 mmHg) is within the normal range of blood pressure considered acceptable during general anaesthesia in patients undergoing major surgery.</w:t>
            </w:r>
          </w:p>
          <w:p w14:paraId="5A540FCF" w14:textId="388DDE8D" w:rsidR="00441472" w:rsidRPr="000A1512" w:rsidRDefault="002C5193">
            <w:pPr>
              <w:pStyle w:val="BodyTextIndent"/>
              <w:ind w:left="0"/>
              <w:rPr>
                <w:i w:val="0"/>
                <w:iCs/>
              </w:rPr>
            </w:pPr>
            <w:r>
              <w:rPr>
                <w:i w:val="0"/>
                <w:iCs/>
              </w:rPr>
              <w:t xml:space="preserve">Changes in cerebral blood flow will be detected with transcranial Doppler (TCD). This is an ultrasound technique of </w:t>
            </w:r>
            <w:r w:rsidR="0012657B">
              <w:rPr>
                <w:i w:val="0"/>
                <w:iCs/>
              </w:rPr>
              <w:t>minimal</w:t>
            </w:r>
            <w:r>
              <w:rPr>
                <w:i w:val="0"/>
                <w:iCs/>
              </w:rPr>
              <w:t xml:space="preserve"> or negligible risk. There is a theoretical possibility of tissue damage from pressure from the ultrasound probe but we have not seen this after </w:t>
            </w:r>
            <w:r w:rsidR="00B3456F">
              <w:rPr>
                <w:i w:val="0"/>
                <w:iCs/>
              </w:rPr>
              <w:t>over</w:t>
            </w:r>
            <w:r>
              <w:rPr>
                <w:i w:val="0"/>
                <w:iCs/>
              </w:rPr>
              <w:t xml:space="preserve"> decades of using TCD routinely in patients having carotid surgery.</w:t>
            </w:r>
          </w:p>
        </w:tc>
      </w:tr>
      <w:tr w:rsidR="00441472" w14:paraId="7C3BB616" w14:textId="77777777" w:rsidTr="00041AF2">
        <w:tc>
          <w:tcPr>
            <w:tcW w:w="3071" w:type="dxa"/>
          </w:tcPr>
          <w:p w14:paraId="2D9D6818" w14:textId="1A4DD893" w:rsidR="00441472" w:rsidRDefault="00441472">
            <w:pPr>
              <w:pStyle w:val="BodyTextIndent"/>
              <w:ind w:left="0"/>
              <w:rPr>
                <w:i w:val="0"/>
                <w:iCs/>
              </w:rPr>
            </w:pPr>
            <w:r>
              <w:rPr>
                <w:i w:val="0"/>
                <w:iCs/>
              </w:rPr>
              <w:t>Investigator obligations</w:t>
            </w:r>
          </w:p>
        </w:tc>
        <w:tc>
          <w:tcPr>
            <w:tcW w:w="6289" w:type="dxa"/>
          </w:tcPr>
          <w:p w14:paraId="0AAF256E" w14:textId="1D08D7FD" w:rsidR="00441472" w:rsidRPr="000A1512" w:rsidRDefault="00441472">
            <w:pPr>
              <w:pStyle w:val="BodyTextIndent"/>
              <w:ind w:left="0"/>
              <w:rPr>
                <w:i w:val="0"/>
              </w:rPr>
            </w:pPr>
            <w:r w:rsidRPr="000A1512">
              <w:rPr>
                <w:i w:val="0"/>
                <w:iCs/>
              </w:rPr>
              <w:t xml:space="preserve">Storage of data will take place on </w:t>
            </w:r>
            <w:proofErr w:type="spellStart"/>
            <w:r w:rsidRPr="000A1512">
              <w:rPr>
                <w:i w:val="0"/>
                <w:iCs/>
              </w:rPr>
              <w:t>R</w:t>
            </w:r>
            <w:r w:rsidR="00F66985">
              <w:rPr>
                <w:i w:val="0"/>
                <w:iCs/>
              </w:rPr>
              <w:t>ED</w:t>
            </w:r>
            <w:r w:rsidRPr="000A1512">
              <w:rPr>
                <w:i w:val="0"/>
                <w:iCs/>
              </w:rPr>
              <w:t>Cap</w:t>
            </w:r>
            <w:proofErr w:type="spellEnd"/>
            <w:r w:rsidRPr="000A1512">
              <w:rPr>
                <w:i w:val="0"/>
                <w:iCs/>
              </w:rPr>
              <w:t xml:space="preserve">. Any adverse outcomes </w:t>
            </w:r>
            <w:r w:rsidR="00D35866">
              <w:rPr>
                <w:i w:val="0"/>
                <w:iCs/>
              </w:rPr>
              <w:t xml:space="preserve">potentially related to the study </w:t>
            </w:r>
            <w:r w:rsidRPr="000A1512">
              <w:rPr>
                <w:i w:val="0"/>
                <w:iCs/>
              </w:rPr>
              <w:t>will immediately be notified to the SLHD</w:t>
            </w:r>
            <w:r w:rsidR="002C5193">
              <w:rPr>
                <w:i w:val="0"/>
                <w:iCs/>
              </w:rPr>
              <w:t xml:space="preserve"> HREC</w:t>
            </w:r>
            <w:r w:rsidRPr="000A1512">
              <w:rPr>
                <w:i w:val="0"/>
                <w:iCs/>
              </w:rPr>
              <w:t xml:space="preserve">. </w:t>
            </w:r>
            <w:r w:rsidR="00F66985" w:rsidRPr="00D76197">
              <w:rPr>
                <w:i w:val="0"/>
                <w:iCs/>
                <w:color w:val="000000" w:themeColor="text1"/>
              </w:rPr>
              <w:t xml:space="preserve">Adverse events will be monitored using standard observational equipment. Adverse events will be recorded on </w:t>
            </w:r>
            <w:proofErr w:type="spellStart"/>
            <w:r w:rsidR="00F66985" w:rsidRPr="00D76197">
              <w:rPr>
                <w:i w:val="0"/>
                <w:iCs/>
                <w:color w:val="000000" w:themeColor="text1"/>
              </w:rPr>
              <w:t>REDCap</w:t>
            </w:r>
            <w:proofErr w:type="spellEnd"/>
            <w:r w:rsidR="00F66985" w:rsidRPr="00D76197">
              <w:rPr>
                <w:i w:val="0"/>
                <w:iCs/>
                <w:color w:val="000000" w:themeColor="text1"/>
              </w:rPr>
              <w:t>.</w:t>
            </w:r>
          </w:p>
        </w:tc>
      </w:tr>
      <w:tr w:rsidR="00441472" w14:paraId="0E284843" w14:textId="77777777" w:rsidTr="00041AF2">
        <w:tc>
          <w:tcPr>
            <w:tcW w:w="3071" w:type="dxa"/>
          </w:tcPr>
          <w:p w14:paraId="19C574FD" w14:textId="7AC51FCF" w:rsidR="00441472" w:rsidRDefault="00441472">
            <w:pPr>
              <w:pStyle w:val="BodyTextIndent"/>
              <w:ind w:left="0"/>
              <w:rPr>
                <w:i w:val="0"/>
                <w:iCs/>
              </w:rPr>
            </w:pPr>
            <w:r>
              <w:rPr>
                <w:i w:val="0"/>
              </w:rPr>
              <w:t>Funding</w:t>
            </w:r>
          </w:p>
        </w:tc>
        <w:tc>
          <w:tcPr>
            <w:tcW w:w="6289" w:type="dxa"/>
          </w:tcPr>
          <w:p w14:paraId="4725BF4A" w14:textId="1A433FBD" w:rsidR="00441472" w:rsidRPr="000A1512" w:rsidRDefault="00441472">
            <w:pPr>
              <w:pStyle w:val="BodyTextIndent"/>
              <w:ind w:left="0"/>
              <w:rPr>
                <w:i w:val="0"/>
                <w:iCs/>
              </w:rPr>
            </w:pPr>
            <w:r w:rsidRPr="00E244FD">
              <w:rPr>
                <w:i w:val="0"/>
              </w:rPr>
              <w:t>The major sponsor of this study is the Sydney Local Health District (SLHD)</w:t>
            </w:r>
            <w:r>
              <w:rPr>
                <w:i w:val="0"/>
              </w:rPr>
              <w:t>. No additional equipment or medications are required other than those already available within the institutional re</w:t>
            </w:r>
            <w:r w:rsidR="002C5193">
              <w:rPr>
                <w:i w:val="0"/>
              </w:rPr>
              <w:t>s</w:t>
            </w:r>
            <w:r>
              <w:rPr>
                <w:i w:val="0"/>
              </w:rPr>
              <w:t>ources.</w:t>
            </w:r>
          </w:p>
        </w:tc>
      </w:tr>
      <w:tr w:rsidR="00441472" w14:paraId="533E7730" w14:textId="77777777" w:rsidTr="00041AF2">
        <w:tc>
          <w:tcPr>
            <w:tcW w:w="3071" w:type="dxa"/>
          </w:tcPr>
          <w:p w14:paraId="3A68E5AB" w14:textId="0DBD48FB" w:rsidR="00441472" w:rsidRDefault="00441472">
            <w:pPr>
              <w:pStyle w:val="BodyTextIndent"/>
              <w:ind w:left="0"/>
              <w:rPr>
                <w:i w:val="0"/>
              </w:rPr>
            </w:pPr>
            <w:r>
              <w:rPr>
                <w:i w:val="0"/>
                <w:iCs/>
              </w:rPr>
              <w:t>Conflict of Interest</w:t>
            </w:r>
          </w:p>
        </w:tc>
        <w:tc>
          <w:tcPr>
            <w:tcW w:w="6289" w:type="dxa"/>
          </w:tcPr>
          <w:p w14:paraId="653F94DB" w14:textId="3782557E" w:rsidR="00441472" w:rsidRPr="00E244FD" w:rsidRDefault="00441472">
            <w:pPr>
              <w:pStyle w:val="BodyTextIndent"/>
              <w:ind w:left="0"/>
              <w:rPr>
                <w:i w:val="0"/>
              </w:rPr>
            </w:pPr>
            <w:r w:rsidRPr="00E244FD">
              <w:rPr>
                <w:i w:val="0"/>
              </w:rPr>
              <w:t>No conflicts of interests</w:t>
            </w:r>
          </w:p>
        </w:tc>
      </w:tr>
    </w:tbl>
    <w:p w14:paraId="1636C95A" w14:textId="3A274A5E" w:rsidR="001C49E8" w:rsidRDefault="001C49E8">
      <w:pPr>
        <w:rPr>
          <w:sz w:val="20"/>
          <w:szCs w:val="20"/>
          <w:u w:val="single"/>
        </w:rPr>
      </w:pPr>
    </w:p>
    <w:p w14:paraId="105CDA15" w14:textId="77777777" w:rsidR="001C49E8" w:rsidRDefault="001C49E8">
      <w:pPr>
        <w:rPr>
          <w:sz w:val="20"/>
          <w:szCs w:val="20"/>
          <w:u w:val="single"/>
        </w:rPr>
      </w:pPr>
      <w:r>
        <w:rPr>
          <w:sz w:val="20"/>
          <w:szCs w:val="20"/>
          <w:u w:val="single"/>
        </w:rPr>
        <w:br w:type="page"/>
      </w:r>
    </w:p>
    <w:p w14:paraId="6E7C85D6" w14:textId="77777777" w:rsidR="00FB26B6" w:rsidRDefault="00FB26B6">
      <w:pPr>
        <w:rPr>
          <w:sz w:val="20"/>
          <w:szCs w:val="20"/>
          <w:u w:val="single"/>
        </w:rPr>
      </w:pPr>
    </w:p>
    <w:p w14:paraId="05AFE1E5" w14:textId="24B7C25E" w:rsidR="00D45AE0" w:rsidRDefault="00FB26B6" w:rsidP="00D45AE0">
      <w:pPr>
        <w:numPr>
          <w:ilvl w:val="0"/>
          <w:numId w:val="1"/>
        </w:numPr>
        <w:tabs>
          <w:tab w:val="clear" w:pos="1080"/>
          <w:tab w:val="num" w:pos="360"/>
        </w:tabs>
        <w:ind w:left="360"/>
        <w:rPr>
          <w:b/>
          <w:szCs w:val="20"/>
        </w:rPr>
      </w:pPr>
      <w:r>
        <w:rPr>
          <w:b/>
          <w:szCs w:val="20"/>
        </w:rPr>
        <w:t>Outcomes and Significance</w:t>
      </w:r>
    </w:p>
    <w:p w14:paraId="5E90A4D3" w14:textId="77777777" w:rsidR="00552CDF" w:rsidRDefault="00552CDF" w:rsidP="00552CDF">
      <w:pPr>
        <w:rPr>
          <w:b/>
          <w:szCs w:val="20"/>
        </w:rPr>
      </w:pPr>
    </w:p>
    <w:p w14:paraId="7AA1D996" w14:textId="124EDDE3" w:rsidR="00552CDF" w:rsidRDefault="00552CDF" w:rsidP="00D45AE0">
      <w:pPr>
        <w:ind w:left="360"/>
        <w:rPr>
          <w:szCs w:val="20"/>
        </w:rPr>
      </w:pPr>
      <w:r>
        <w:rPr>
          <w:szCs w:val="20"/>
        </w:rPr>
        <w:t xml:space="preserve">Cerebral oedema is a recognised, although rare, complication of </w:t>
      </w:r>
      <w:r w:rsidR="00CB620E">
        <w:rPr>
          <w:szCs w:val="20"/>
        </w:rPr>
        <w:t>robotic prostate surgery. These are long procedures with the patient in a steep head-down position. Previous studies have investigated some of the cerebral haemodynamic effects of general anaesthetics during this type of surgery</w:t>
      </w:r>
      <w:r w:rsidR="002F329A">
        <w:rPr>
          <w:szCs w:val="20"/>
        </w:rPr>
        <w:t>,</w:t>
      </w:r>
      <w:r w:rsidR="00CB620E">
        <w:rPr>
          <w:szCs w:val="20"/>
        </w:rPr>
        <w:t xml:space="preserve"> but we are unaware of any studies comparing different anaesthetic regimens with respect to their effects on cerebral autoregulation.</w:t>
      </w:r>
    </w:p>
    <w:p w14:paraId="74704E83" w14:textId="77777777" w:rsidR="00CB620E" w:rsidRDefault="00CB620E" w:rsidP="00D45AE0">
      <w:pPr>
        <w:ind w:left="360"/>
        <w:rPr>
          <w:szCs w:val="20"/>
        </w:rPr>
      </w:pPr>
    </w:p>
    <w:p w14:paraId="6A98E081" w14:textId="0E4F59EE" w:rsidR="00D45AE0" w:rsidRDefault="00D45AE0" w:rsidP="00D45AE0">
      <w:pPr>
        <w:ind w:left="360"/>
        <w:rPr>
          <w:szCs w:val="20"/>
        </w:rPr>
      </w:pPr>
      <w:r w:rsidRPr="009B126E">
        <w:rPr>
          <w:szCs w:val="20"/>
        </w:rPr>
        <w:t xml:space="preserve">There </w:t>
      </w:r>
      <w:r w:rsidR="00C37E71">
        <w:rPr>
          <w:szCs w:val="20"/>
        </w:rPr>
        <w:t>is</w:t>
      </w:r>
      <w:r w:rsidRPr="009B126E">
        <w:rPr>
          <w:szCs w:val="20"/>
        </w:rPr>
        <w:t xml:space="preserve"> significant </w:t>
      </w:r>
      <w:r w:rsidR="00C37E71">
        <w:rPr>
          <w:szCs w:val="20"/>
        </w:rPr>
        <w:t xml:space="preserve">potential for </w:t>
      </w:r>
      <w:r w:rsidRPr="009B126E">
        <w:rPr>
          <w:szCs w:val="20"/>
        </w:rPr>
        <w:t xml:space="preserve">adverse </w:t>
      </w:r>
      <w:r w:rsidR="009B126E" w:rsidRPr="009B126E">
        <w:rPr>
          <w:szCs w:val="20"/>
        </w:rPr>
        <w:t>post-surgical</w:t>
      </w:r>
      <w:r w:rsidRPr="009B126E">
        <w:rPr>
          <w:szCs w:val="20"/>
        </w:rPr>
        <w:t xml:space="preserve"> outcomes following robotic </w:t>
      </w:r>
      <w:r w:rsidR="004D4F5B">
        <w:rPr>
          <w:szCs w:val="20"/>
        </w:rPr>
        <w:t xml:space="preserve">prostate </w:t>
      </w:r>
      <w:r w:rsidRPr="009B126E">
        <w:rPr>
          <w:szCs w:val="20"/>
        </w:rPr>
        <w:t xml:space="preserve">surgery </w:t>
      </w:r>
      <w:r w:rsidR="00C37E71">
        <w:rPr>
          <w:szCs w:val="20"/>
        </w:rPr>
        <w:t xml:space="preserve">(Kalmar </w:t>
      </w:r>
      <w:r w:rsidR="00C37E71" w:rsidRPr="00C37E71">
        <w:rPr>
          <w:i/>
          <w:szCs w:val="20"/>
        </w:rPr>
        <w:t>et al.</w:t>
      </w:r>
      <w:r w:rsidR="00C37E71">
        <w:rPr>
          <w:szCs w:val="20"/>
        </w:rPr>
        <w:t xml:space="preserve"> 2010). It has been suggested by several studies that further research is needed into the different outcomes of anaesthetics used in robotic pelvic and abdominal surgery in order to minimise complications (Kalmar </w:t>
      </w:r>
      <w:r w:rsidR="00C37E71" w:rsidRPr="00C37E71">
        <w:rPr>
          <w:i/>
          <w:szCs w:val="20"/>
        </w:rPr>
        <w:t>et al.</w:t>
      </w:r>
      <w:r w:rsidR="00C37E71">
        <w:rPr>
          <w:szCs w:val="20"/>
        </w:rPr>
        <w:t xml:space="preserve"> 2010, </w:t>
      </w:r>
      <w:proofErr w:type="spellStart"/>
      <w:r w:rsidR="00C37E71">
        <w:rPr>
          <w:szCs w:val="20"/>
        </w:rPr>
        <w:t>Herling</w:t>
      </w:r>
      <w:proofErr w:type="spellEnd"/>
      <w:r w:rsidR="00C37E71">
        <w:rPr>
          <w:szCs w:val="20"/>
        </w:rPr>
        <w:t xml:space="preserve"> </w:t>
      </w:r>
      <w:r w:rsidR="00C37E71" w:rsidRPr="00C37E71">
        <w:rPr>
          <w:i/>
          <w:szCs w:val="20"/>
        </w:rPr>
        <w:t>et al.</w:t>
      </w:r>
      <w:r w:rsidR="00C37E71">
        <w:rPr>
          <w:i/>
          <w:szCs w:val="20"/>
        </w:rPr>
        <w:t xml:space="preserve"> </w:t>
      </w:r>
      <w:r w:rsidR="00C37E71" w:rsidRPr="00C37E71">
        <w:rPr>
          <w:szCs w:val="20"/>
        </w:rPr>
        <w:t>2017)</w:t>
      </w:r>
      <w:r w:rsidR="00C37E71">
        <w:rPr>
          <w:szCs w:val="20"/>
        </w:rPr>
        <w:t xml:space="preserve">. This </w:t>
      </w:r>
      <w:r w:rsidR="004D4F5B">
        <w:rPr>
          <w:szCs w:val="20"/>
        </w:rPr>
        <w:t>study</w:t>
      </w:r>
      <w:r w:rsidR="00C37E71">
        <w:rPr>
          <w:szCs w:val="20"/>
        </w:rPr>
        <w:t xml:space="preserve"> </w:t>
      </w:r>
      <w:r w:rsidR="00AD4511">
        <w:rPr>
          <w:szCs w:val="20"/>
        </w:rPr>
        <w:t xml:space="preserve">will add to the knowledge of the cerebrovascular effects of general </w:t>
      </w:r>
      <w:r w:rsidR="00C37E71">
        <w:rPr>
          <w:szCs w:val="20"/>
        </w:rPr>
        <w:t>anaesthetic</w:t>
      </w:r>
      <w:r w:rsidR="00AD4511">
        <w:rPr>
          <w:szCs w:val="20"/>
        </w:rPr>
        <w:t>s</w:t>
      </w:r>
      <w:r w:rsidR="00C37E71">
        <w:rPr>
          <w:szCs w:val="20"/>
        </w:rPr>
        <w:t xml:space="preserve"> </w:t>
      </w:r>
      <w:r w:rsidR="00AD4511">
        <w:rPr>
          <w:szCs w:val="20"/>
        </w:rPr>
        <w:t xml:space="preserve">during </w:t>
      </w:r>
      <w:r w:rsidR="00C37E71">
        <w:rPr>
          <w:szCs w:val="20"/>
        </w:rPr>
        <w:t>robotic pelvic and abdominal surgery, for which there is no currently recommended first line anaesthetic (</w:t>
      </w:r>
      <w:proofErr w:type="spellStart"/>
      <w:r w:rsidR="00C37E71">
        <w:rPr>
          <w:szCs w:val="20"/>
        </w:rPr>
        <w:t>Herling</w:t>
      </w:r>
      <w:proofErr w:type="spellEnd"/>
      <w:r w:rsidR="00C37E71">
        <w:rPr>
          <w:szCs w:val="20"/>
        </w:rPr>
        <w:t xml:space="preserve"> et al. 2017). </w:t>
      </w:r>
    </w:p>
    <w:p w14:paraId="47DE248D" w14:textId="1AFBECBE" w:rsidR="00AD4511" w:rsidRPr="00041AF2" w:rsidRDefault="00AD4511" w:rsidP="00041AF2">
      <w:pPr>
        <w:ind w:left="360"/>
      </w:pPr>
    </w:p>
    <w:p w14:paraId="4DB5ECFF" w14:textId="5751C069" w:rsidR="00AD4511" w:rsidRDefault="00AD4511" w:rsidP="00D45AE0">
      <w:pPr>
        <w:ind w:left="360"/>
        <w:rPr>
          <w:szCs w:val="20"/>
        </w:rPr>
      </w:pPr>
    </w:p>
    <w:p w14:paraId="3687DEEA" w14:textId="44123849" w:rsidR="00AD4511" w:rsidRPr="003C05FD" w:rsidRDefault="00AD4511" w:rsidP="00C66EB0">
      <w:pPr>
        <w:rPr>
          <w:b/>
          <w:szCs w:val="20"/>
        </w:rPr>
      </w:pPr>
      <w:r w:rsidRPr="00AD4511">
        <w:rPr>
          <w:b/>
          <w:szCs w:val="20"/>
        </w:rPr>
        <w:t xml:space="preserve">Study </w:t>
      </w:r>
      <w:r w:rsidR="003C05FD">
        <w:rPr>
          <w:b/>
          <w:szCs w:val="20"/>
        </w:rPr>
        <w:t>Design</w:t>
      </w:r>
      <w:r w:rsidRPr="00AD4511">
        <w:rPr>
          <w:b/>
          <w:szCs w:val="20"/>
        </w:rPr>
        <w:t>:</w:t>
      </w:r>
    </w:p>
    <w:p w14:paraId="5B4ED635" w14:textId="72FD15D6" w:rsidR="00AD4511" w:rsidRDefault="00AD4511" w:rsidP="00D45AE0">
      <w:pPr>
        <w:ind w:left="360"/>
        <w:rPr>
          <w:szCs w:val="20"/>
        </w:rPr>
      </w:pPr>
      <w:r>
        <w:rPr>
          <w:szCs w:val="20"/>
        </w:rPr>
        <w:t>Inclusion criteria:</w:t>
      </w:r>
    </w:p>
    <w:p w14:paraId="723BB9AF" w14:textId="56A2DFA6" w:rsidR="00AD4511" w:rsidRDefault="00AD4511" w:rsidP="00AD4511">
      <w:pPr>
        <w:pStyle w:val="ListParagraph"/>
        <w:numPr>
          <w:ilvl w:val="0"/>
          <w:numId w:val="3"/>
        </w:numPr>
        <w:rPr>
          <w:szCs w:val="20"/>
        </w:rPr>
      </w:pPr>
      <w:r>
        <w:rPr>
          <w:szCs w:val="20"/>
        </w:rPr>
        <w:t>Age 18 years or older</w:t>
      </w:r>
    </w:p>
    <w:p w14:paraId="416AD067" w14:textId="7D59D78A" w:rsidR="00AD4511" w:rsidRDefault="00AD4511" w:rsidP="00AD4511">
      <w:pPr>
        <w:pStyle w:val="ListParagraph"/>
        <w:numPr>
          <w:ilvl w:val="0"/>
          <w:numId w:val="3"/>
        </w:numPr>
        <w:rPr>
          <w:szCs w:val="20"/>
        </w:rPr>
      </w:pPr>
      <w:r>
        <w:rPr>
          <w:szCs w:val="20"/>
        </w:rPr>
        <w:t>Scheduled for robot-assisted prostatectomy at RPAH</w:t>
      </w:r>
      <w:r w:rsidR="008104AF">
        <w:rPr>
          <w:szCs w:val="20"/>
        </w:rPr>
        <w:t xml:space="preserve"> </w:t>
      </w:r>
      <w:r w:rsidR="00112016">
        <w:rPr>
          <w:szCs w:val="20"/>
        </w:rPr>
        <w:t xml:space="preserve">and Chris O’Brien </w:t>
      </w:r>
      <w:proofErr w:type="spellStart"/>
      <w:r w:rsidR="00112016">
        <w:rPr>
          <w:szCs w:val="20"/>
        </w:rPr>
        <w:t>Lifehouse</w:t>
      </w:r>
      <w:proofErr w:type="spellEnd"/>
    </w:p>
    <w:p w14:paraId="20151957" w14:textId="1A78A5DE" w:rsidR="00AD4511" w:rsidRDefault="00AD4511" w:rsidP="00AD4511">
      <w:pPr>
        <w:pStyle w:val="ListParagraph"/>
        <w:numPr>
          <w:ilvl w:val="0"/>
          <w:numId w:val="3"/>
        </w:numPr>
        <w:rPr>
          <w:szCs w:val="20"/>
        </w:rPr>
      </w:pPr>
      <w:r>
        <w:rPr>
          <w:szCs w:val="20"/>
        </w:rPr>
        <w:t>Capable of giving informed consent</w:t>
      </w:r>
    </w:p>
    <w:p w14:paraId="217FF14B" w14:textId="77777777" w:rsidR="00AD4511" w:rsidRDefault="00AD4511" w:rsidP="00AD4511">
      <w:pPr>
        <w:pStyle w:val="ListParagraph"/>
        <w:ind w:left="1080"/>
        <w:rPr>
          <w:szCs w:val="20"/>
        </w:rPr>
      </w:pPr>
    </w:p>
    <w:p w14:paraId="1C0F7049" w14:textId="137FC0B0" w:rsidR="00AD4511" w:rsidRDefault="00AD4511" w:rsidP="00025199">
      <w:pPr>
        <w:keepNext/>
        <w:ind w:left="357"/>
        <w:rPr>
          <w:szCs w:val="20"/>
        </w:rPr>
      </w:pPr>
      <w:r>
        <w:rPr>
          <w:szCs w:val="20"/>
        </w:rPr>
        <w:t>Exclusion criteria:</w:t>
      </w:r>
    </w:p>
    <w:p w14:paraId="17535F76" w14:textId="1B24EF77" w:rsidR="00AD4511" w:rsidRDefault="00AD4511" w:rsidP="00AD4511">
      <w:pPr>
        <w:pStyle w:val="ListParagraph"/>
        <w:numPr>
          <w:ilvl w:val="0"/>
          <w:numId w:val="3"/>
        </w:numPr>
        <w:rPr>
          <w:szCs w:val="20"/>
        </w:rPr>
      </w:pPr>
      <w:r>
        <w:rPr>
          <w:szCs w:val="20"/>
        </w:rPr>
        <w:t>Contraindication to sevoflurane, e.g. susceptibility to malignant hyperthermia, history of severe postoperative nausea and vomiting.</w:t>
      </w:r>
    </w:p>
    <w:p w14:paraId="730374E1" w14:textId="38EFB278" w:rsidR="00AD4511" w:rsidRDefault="00AD4511" w:rsidP="00AD4511">
      <w:pPr>
        <w:pStyle w:val="ListParagraph"/>
        <w:numPr>
          <w:ilvl w:val="0"/>
          <w:numId w:val="3"/>
        </w:numPr>
        <w:rPr>
          <w:szCs w:val="20"/>
        </w:rPr>
      </w:pPr>
      <w:r>
        <w:rPr>
          <w:szCs w:val="20"/>
        </w:rPr>
        <w:t>Contraindication to Propofol, e.g. history of allergy to Propofol</w:t>
      </w:r>
    </w:p>
    <w:p w14:paraId="45425EAC" w14:textId="46AAF9DF" w:rsidR="00AD4511" w:rsidRDefault="00AD4511" w:rsidP="00AD4511">
      <w:pPr>
        <w:pStyle w:val="ListParagraph"/>
        <w:numPr>
          <w:ilvl w:val="0"/>
          <w:numId w:val="3"/>
        </w:numPr>
        <w:rPr>
          <w:szCs w:val="20"/>
        </w:rPr>
      </w:pPr>
      <w:r>
        <w:rPr>
          <w:szCs w:val="20"/>
        </w:rPr>
        <w:t>Intracranial pathology</w:t>
      </w:r>
    </w:p>
    <w:p w14:paraId="2840B788" w14:textId="48F3519F" w:rsidR="002409CA" w:rsidRDefault="002409CA" w:rsidP="00AD4511">
      <w:pPr>
        <w:pStyle w:val="ListParagraph"/>
        <w:numPr>
          <w:ilvl w:val="0"/>
          <w:numId w:val="3"/>
        </w:numPr>
        <w:rPr>
          <w:szCs w:val="20"/>
        </w:rPr>
      </w:pPr>
      <w:r>
        <w:rPr>
          <w:szCs w:val="20"/>
        </w:rPr>
        <w:t>Cerebrovascular disease</w:t>
      </w:r>
    </w:p>
    <w:p w14:paraId="398F0E3D" w14:textId="7C22FF8A" w:rsidR="004C73CC" w:rsidRDefault="004C73CC" w:rsidP="00AD4511">
      <w:pPr>
        <w:pStyle w:val="ListParagraph"/>
        <w:numPr>
          <w:ilvl w:val="0"/>
          <w:numId w:val="3"/>
        </w:numPr>
        <w:rPr>
          <w:szCs w:val="20"/>
        </w:rPr>
      </w:pPr>
      <w:r>
        <w:rPr>
          <w:szCs w:val="20"/>
        </w:rPr>
        <w:t>Morbid obesity (BMI &gt;</w:t>
      </w:r>
      <w:r w:rsidR="006233EB">
        <w:rPr>
          <w:szCs w:val="20"/>
        </w:rPr>
        <w:t>35)</w:t>
      </w:r>
    </w:p>
    <w:p w14:paraId="77106209" w14:textId="77777777" w:rsidR="002409CA" w:rsidRPr="00E8027A" w:rsidRDefault="002409CA" w:rsidP="00E8027A">
      <w:pPr>
        <w:rPr>
          <w:szCs w:val="20"/>
        </w:rPr>
      </w:pPr>
    </w:p>
    <w:p w14:paraId="0C3606C2" w14:textId="77CDF4C0" w:rsidR="00AD4511" w:rsidRDefault="00AD4511" w:rsidP="00AD4511">
      <w:pPr>
        <w:ind w:left="360"/>
        <w:rPr>
          <w:szCs w:val="20"/>
        </w:rPr>
      </w:pPr>
      <w:r>
        <w:rPr>
          <w:szCs w:val="20"/>
        </w:rPr>
        <w:t>Conduct of general anaesthesia</w:t>
      </w:r>
    </w:p>
    <w:p w14:paraId="33335E90" w14:textId="2D87AA47" w:rsidR="00AD4511" w:rsidRDefault="00AD4511" w:rsidP="00AD4511">
      <w:pPr>
        <w:pStyle w:val="ListParagraph"/>
        <w:numPr>
          <w:ilvl w:val="0"/>
          <w:numId w:val="4"/>
        </w:numPr>
        <w:rPr>
          <w:szCs w:val="20"/>
        </w:rPr>
      </w:pPr>
      <w:r>
        <w:rPr>
          <w:szCs w:val="20"/>
        </w:rPr>
        <w:t xml:space="preserve">Monitoring of vital functions will be according to standard practice </w:t>
      </w:r>
      <w:r w:rsidR="008104AF">
        <w:rPr>
          <w:szCs w:val="20"/>
        </w:rPr>
        <w:t xml:space="preserve">at RPAH </w:t>
      </w:r>
      <w:r w:rsidR="00112016">
        <w:rPr>
          <w:szCs w:val="20"/>
        </w:rPr>
        <w:t xml:space="preserve">and Chris O’Brien </w:t>
      </w:r>
      <w:proofErr w:type="spellStart"/>
      <w:r w:rsidR="00112016">
        <w:rPr>
          <w:szCs w:val="20"/>
        </w:rPr>
        <w:t>Lifehouse</w:t>
      </w:r>
      <w:proofErr w:type="spellEnd"/>
      <w:r w:rsidR="00112016">
        <w:rPr>
          <w:szCs w:val="20"/>
        </w:rPr>
        <w:t xml:space="preserve"> </w:t>
      </w:r>
      <w:r>
        <w:rPr>
          <w:szCs w:val="20"/>
        </w:rPr>
        <w:t>for robotic surgery and will include invasive arterial pressure monitoring via a radial artery catheter, respiratory gas monitoring including carbon dioxide, inspired oxygen, and end-tidal agent monitoring (in the Sevoflurane group).</w:t>
      </w:r>
    </w:p>
    <w:p w14:paraId="69808B8E" w14:textId="4CBB2B55" w:rsidR="00D814CD" w:rsidRDefault="00D814CD" w:rsidP="00AD4511">
      <w:pPr>
        <w:pStyle w:val="ListParagraph"/>
        <w:numPr>
          <w:ilvl w:val="0"/>
          <w:numId w:val="4"/>
        </w:numPr>
        <w:rPr>
          <w:szCs w:val="20"/>
        </w:rPr>
      </w:pPr>
      <w:r>
        <w:rPr>
          <w:szCs w:val="20"/>
        </w:rPr>
        <w:t xml:space="preserve">The effect of the general anaesthetic agent on the frontal encephalogram will be monitored with a BIS® monitor. </w:t>
      </w:r>
      <w:r w:rsidR="00327454">
        <w:rPr>
          <w:szCs w:val="20"/>
        </w:rPr>
        <w:t>To ensure comparable doses of the anaesthetic agents, at</w:t>
      </w:r>
      <w:r>
        <w:rPr>
          <w:szCs w:val="20"/>
        </w:rPr>
        <w:t xml:space="preserve"> the time of autoregulation testing the dose of general anaesthetic agent will be adjusted to target a BIS score of 45 ± 5.</w:t>
      </w:r>
    </w:p>
    <w:p w14:paraId="16D761FD" w14:textId="05BD3B34" w:rsidR="00D814CD" w:rsidRDefault="00D814CD" w:rsidP="00AD4511">
      <w:pPr>
        <w:pStyle w:val="ListParagraph"/>
        <w:numPr>
          <w:ilvl w:val="0"/>
          <w:numId w:val="4"/>
        </w:numPr>
        <w:rPr>
          <w:szCs w:val="20"/>
        </w:rPr>
      </w:pPr>
      <w:r>
        <w:rPr>
          <w:szCs w:val="20"/>
        </w:rPr>
        <w:t>Propofol group: propofol, which is an intravenous anaesthetic agent, will be administered by a commercial microprocessor-controlled pump running a target-controlled infusion algorithm. This is routine practice at RPAH</w:t>
      </w:r>
      <w:r w:rsidR="00112016">
        <w:rPr>
          <w:szCs w:val="20"/>
        </w:rPr>
        <w:t xml:space="preserve"> and Chris O’Brien </w:t>
      </w:r>
      <w:proofErr w:type="spellStart"/>
      <w:r w:rsidR="00112016">
        <w:rPr>
          <w:szCs w:val="20"/>
        </w:rPr>
        <w:t>Lifehouse</w:t>
      </w:r>
      <w:proofErr w:type="spellEnd"/>
      <w:r w:rsidR="00112016">
        <w:rPr>
          <w:szCs w:val="20"/>
        </w:rPr>
        <w:t>.</w:t>
      </w:r>
    </w:p>
    <w:p w14:paraId="381BC7EC" w14:textId="5E572996" w:rsidR="00D814CD" w:rsidRDefault="00D814CD" w:rsidP="00AD4511">
      <w:pPr>
        <w:pStyle w:val="ListParagraph"/>
        <w:numPr>
          <w:ilvl w:val="0"/>
          <w:numId w:val="4"/>
        </w:numPr>
        <w:rPr>
          <w:szCs w:val="20"/>
        </w:rPr>
      </w:pPr>
      <w:r>
        <w:rPr>
          <w:szCs w:val="20"/>
        </w:rPr>
        <w:t>Sevoflurane group: Induction of anaesthesia will be with a bolus of propofol, after which anaesthesia will be maintained via inhalation of sevoflurane.</w:t>
      </w:r>
      <w:r w:rsidR="00585BB2">
        <w:rPr>
          <w:szCs w:val="20"/>
        </w:rPr>
        <w:t xml:space="preserve"> </w:t>
      </w:r>
      <w:r w:rsidR="00614D1C">
        <w:rPr>
          <w:szCs w:val="20"/>
        </w:rPr>
        <w:t>T</w:t>
      </w:r>
      <w:r w:rsidR="00585BB2">
        <w:rPr>
          <w:szCs w:val="20"/>
        </w:rPr>
        <w:t>he</w:t>
      </w:r>
      <w:r w:rsidR="00F2127A">
        <w:rPr>
          <w:szCs w:val="20"/>
        </w:rPr>
        <w:t>re will be no residual</w:t>
      </w:r>
      <w:r w:rsidR="00585BB2">
        <w:rPr>
          <w:szCs w:val="20"/>
        </w:rPr>
        <w:t xml:space="preserve"> effects of the induction</w:t>
      </w:r>
      <w:r w:rsidR="00327454">
        <w:rPr>
          <w:szCs w:val="20"/>
        </w:rPr>
        <w:t>-</w:t>
      </w:r>
      <w:r w:rsidR="00585BB2">
        <w:rPr>
          <w:szCs w:val="20"/>
        </w:rPr>
        <w:t>dose of propofol</w:t>
      </w:r>
      <w:r w:rsidR="00614D1C">
        <w:rPr>
          <w:szCs w:val="20"/>
        </w:rPr>
        <w:t xml:space="preserve"> by the time autoregulation testing commences. Whilst induction by inhalation of sevoflurane would be possible, inhalational inductions is sometimes poorly tolerated and it is more common at RPAH </w:t>
      </w:r>
      <w:r w:rsidR="00112016">
        <w:rPr>
          <w:szCs w:val="20"/>
        </w:rPr>
        <w:t xml:space="preserve">and Chris O’Brien </w:t>
      </w:r>
      <w:proofErr w:type="spellStart"/>
      <w:r w:rsidR="00112016">
        <w:rPr>
          <w:szCs w:val="20"/>
        </w:rPr>
        <w:t>Lifehouse</w:t>
      </w:r>
      <w:proofErr w:type="spellEnd"/>
      <w:r w:rsidR="00112016">
        <w:rPr>
          <w:szCs w:val="20"/>
        </w:rPr>
        <w:t xml:space="preserve"> </w:t>
      </w:r>
      <w:r w:rsidR="00614D1C">
        <w:rPr>
          <w:szCs w:val="20"/>
        </w:rPr>
        <w:t>for patients receiving sevoflurane to be induced with a small dose of propofol.</w:t>
      </w:r>
    </w:p>
    <w:p w14:paraId="7B520012" w14:textId="534870D4" w:rsidR="00D814CD" w:rsidRDefault="00D814CD" w:rsidP="00AD4511">
      <w:pPr>
        <w:pStyle w:val="ListParagraph"/>
        <w:numPr>
          <w:ilvl w:val="0"/>
          <w:numId w:val="4"/>
        </w:numPr>
        <w:rPr>
          <w:szCs w:val="20"/>
        </w:rPr>
      </w:pPr>
      <w:r>
        <w:rPr>
          <w:szCs w:val="20"/>
        </w:rPr>
        <w:t>Both groups:</w:t>
      </w:r>
    </w:p>
    <w:p w14:paraId="4AEB51FE" w14:textId="617D4EE5" w:rsidR="005342EE" w:rsidRDefault="00D814CD" w:rsidP="005342EE">
      <w:pPr>
        <w:pStyle w:val="ListParagraph"/>
        <w:numPr>
          <w:ilvl w:val="1"/>
          <w:numId w:val="4"/>
        </w:numPr>
        <w:rPr>
          <w:szCs w:val="20"/>
        </w:rPr>
      </w:pPr>
      <w:r>
        <w:rPr>
          <w:szCs w:val="20"/>
        </w:rPr>
        <w:t xml:space="preserve">The intraoperative opioid will be remifentanil, administered by a target-controlled infusion </w:t>
      </w:r>
      <w:r w:rsidR="00585BB2">
        <w:rPr>
          <w:szCs w:val="20"/>
        </w:rPr>
        <w:t>with a targeted</w:t>
      </w:r>
      <w:r>
        <w:rPr>
          <w:szCs w:val="20"/>
        </w:rPr>
        <w:t xml:space="preserve"> effect-site concentration of 2</w:t>
      </w:r>
      <w:r w:rsidR="00585BB2">
        <w:rPr>
          <w:szCs w:val="20"/>
        </w:rPr>
        <w:t xml:space="preserve"> mcg/mL </w:t>
      </w:r>
      <w:r>
        <w:rPr>
          <w:szCs w:val="20"/>
        </w:rPr>
        <w:t>-</w:t>
      </w:r>
      <w:r w:rsidR="00585BB2">
        <w:rPr>
          <w:szCs w:val="20"/>
        </w:rPr>
        <w:t xml:space="preserve"> </w:t>
      </w:r>
      <w:r>
        <w:rPr>
          <w:szCs w:val="20"/>
        </w:rPr>
        <w:t>4 mcg/</w:t>
      </w:r>
      <w:proofErr w:type="spellStart"/>
      <w:r>
        <w:rPr>
          <w:szCs w:val="20"/>
        </w:rPr>
        <w:t>mL</w:t>
      </w:r>
      <w:r w:rsidR="00585BB2">
        <w:rPr>
          <w:szCs w:val="20"/>
        </w:rPr>
        <w:t>.</w:t>
      </w:r>
      <w:proofErr w:type="spellEnd"/>
      <w:r w:rsidR="00585BB2">
        <w:rPr>
          <w:szCs w:val="20"/>
        </w:rPr>
        <w:t xml:space="preserve"> After </w:t>
      </w:r>
      <w:r w:rsidR="00585BB2">
        <w:rPr>
          <w:szCs w:val="20"/>
        </w:rPr>
        <w:lastRenderedPageBreak/>
        <w:t>completion of the study, the treating anaesthetist may choose to change the intraoperative opioid, and/or add other analgesic therapies (e.g. ketamine).</w:t>
      </w:r>
    </w:p>
    <w:p w14:paraId="1F4883F4" w14:textId="50099A4C" w:rsidR="005342EE" w:rsidRDefault="005342EE" w:rsidP="005342EE">
      <w:pPr>
        <w:pStyle w:val="ListParagraph"/>
        <w:numPr>
          <w:ilvl w:val="1"/>
          <w:numId w:val="4"/>
        </w:numPr>
        <w:rPr>
          <w:szCs w:val="20"/>
        </w:rPr>
      </w:pPr>
      <w:r>
        <w:rPr>
          <w:szCs w:val="20"/>
        </w:rPr>
        <w:t>The general anaesthetic will consist of either sevoflurane or propofol combined with remifentanil. This will preclude co-administration of nitrous oxide, ketamine, and any other general anaesthetic agent. After completion of autoregulation testing, the study is completed and these or other anaesthetic drugs can be administered at the discretion of the treating anaesthetist.</w:t>
      </w:r>
    </w:p>
    <w:p w14:paraId="7FE6CD26" w14:textId="3D15AB12" w:rsidR="00585BB2" w:rsidRDefault="00585BB2" w:rsidP="00D814CD">
      <w:pPr>
        <w:pStyle w:val="ListParagraph"/>
        <w:numPr>
          <w:ilvl w:val="1"/>
          <w:numId w:val="4"/>
        </w:numPr>
        <w:rPr>
          <w:szCs w:val="20"/>
        </w:rPr>
      </w:pPr>
      <w:r>
        <w:rPr>
          <w:szCs w:val="20"/>
        </w:rPr>
        <w:t>At the time of autoregulation testing, inspired oxygen will be standardised at 30</w:t>
      </w:r>
      <w:r w:rsidR="00327454">
        <w:rPr>
          <w:szCs w:val="20"/>
        </w:rPr>
        <w:t> </w:t>
      </w:r>
      <w:r>
        <w:rPr>
          <w:szCs w:val="20"/>
        </w:rPr>
        <w:t>mmHg – 35 mmHg</w:t>
      </w:r>
      <w:r w:rsidR="00327454">
        <w:rPr>
          <w:szCs w:val="20"/>
        </w:rPr>
        <w:t>,</w:t>
      </w:r>
      <w:r>
        <w:rPr>
          <w:szCs w:val="20"/>
        </w:rPr>
        <w:t xml:space="preserve"> unless a higher concentration is required to maintain arterial oxygen saturation ≥ 94%.</w:t>
      </w:r>
    </w:p>
    <w:p w14:paraId="6B4E761E" w14:textId="739A0747" w:rsidR="00585BB2" w:rsidRDefault="00585BB2" w:rsidP="00D814CD">
      <w:pPr>
        <w:pStyle w:val="ListParagraph"/>
        <w:numPr>
          <w:ilvl w:val="1"/>
          <w:numId w:val="4"/>
        </w:numPr>
        <w:rPr>
          <w:szCs w:val="20"/>
        </w:rPr>
      </w:pPr>
      <w:r w:rsidRPr="00585BB2">
        <w:rPr>
          <w:szCs w:val="20"/>
        </w:rPr>
        <w:t>At the time of autoregulation testing,</w:t>
      </w:r>
      <w:r>
        <w:rPr>
          <w:szCs w:val="20"/>
        </w:rPr>
        <w:t xml:space="preserve"> ventilation</w:t>
      </w:r>
      <w:r w:rsidRPr="00585BB2">
        <w:rPr>
          <w:szCs w:val="20"/>
        </w:rPr>
        <w:t xml:space="preserve"> </w:t>
      </w:r>
      <w:r>
        <w:rPr>
          <w:szCs w:val="20"/>
        </w:rPr>
        <w:t>will adjusted to achieve arterial partial pressure of carbon dioxide of 40 ± 2 mmHg, confirmed on arterial blood gas analysis.</w:t>
      </w:r>
    </w:p>
    <w:p w14:paraId="7716324A" w14:textId="335B1082" w:rsidR="00585BB2" w:rsidRDefault="00585BB2" w:rsidP="00D814CD">
      <w:pPr>
        <w:pStyle w:val="ListParagraph"/>
        <w:numPr>
          <w:ilvl w:val="1"/>
          <w:numId w:val="4"/>
        </w:numPr>
        <w:rPr>
          <w:szCs w:val="20"/>
        </w:rPr>
      </w:pPr>
      <w:r>
        <w:rPr>
          <w:szCs w:val="20"/>
        </w:rPr>
        <w:t>A phenylephrine infusion will be administered if vasopressor support is required for blood pressure control prior to autoregulation testing.</w:t>
      </w:r>
    </w:p>
    <w:p w14:paraId="47952823" w14:textId="0327EF42" w:rsidR="00585BB2" w:rsidRDefault="00585BB2" w:rsidP="00025199">
      <w:pPr>
        <w:pStyle w:val="ListParagraph"/>
        <w:keepNext/>
        <w:numPr>
          <w:ilvl w:val="1"/>
          <w:numId w:val="4"/>
        </w:numPr>
        <w:ind w:left="1797" w:hanging="357"/>
        <w:rPr>
          <w:szCs w:val="20"/>
        </w:rPr>
      </w:pPr>
      <w:r>
        <w:rPr>
          <w:szCs w:val="20"/>
        </w:rPr>
        <w:t xml:space="preserve">Transcranial Doppler </w:t>
      </w:r>
      <w:r w:rsidR="00F2127A">
        <w:rPr>
          <w:szCs w:val="20"/>
        </w:rPr>
        <w:t xml:space="preserve">(TCD) </w:t>
      </w:r>
      <w:r>
        <w:rPr>
          <w:szCs w:val="20"/>
        </w:rPr>
        <w:t xml:space="preserve">monitoring will be established </w:t>
      </w:r>
      <w:r w:rsidR="00F2127A">
        <w:rPr>
          <w:szCs w:val="20"/>
        </w:rPr>
        <w:t>after positioning of the patient and after commencement of the surgery.</w:t>
      </w:r>
      <w:r w:rsidR="00327454">
        <w:rPr>
          <w:szCs w:val="20"/>
        </w:rPr>
        <w:t xml:space="preserve"> TCD monitoring involves:</w:t>
      </w:r>
    </w:p>
    <w:p w14:paraId="7A03AAA9" w14:textId="30F93A6E" w:rsidR="00F2127A" w:rsidRDefault="00F2127A" w:rsidP="00F2127A">
      <w:pPr>
        <w:pStyle w:val="ListParagraph"/>
        <w:numPr>
          <w:ilvl w:val="2"/>
          <w:numId w:val="4"/>
        </w:numPr>
        <w:rPr>
          <w:szCs w:val="20"/>
        </w:rPr>
      </w:pPr>
      <w:r>
        <w:rPr>
          <w:szCs w:val="20"/>
        </w:rPr>
        <w:t>A p</w:t>
      </w:r>
      <w:r w:rsidR="00327454">
        <w:rPr>
          <w:szCs w:val="20"/>
        </w:rPr>
        <w:t>added p</w:t>
      </w:r>
      <w:r>
        <w:rPr>
          <w:szCs w:val="20"/>
        </w:rPr>
        <w:t>lastic frame is snuggly placed around the patient’s head.</w:t>
      </w:r>
    </w:p>
    <w:p w14:paraId="6067C43D" w14:textId="60BFF4C9" w:rsidR="00F2127A" w:rsidRDefault="00F2127A" w:rsidP="00F2127A">
      <w:pPr>
        <w:pStyle w:val="ListParagraph"/>
        <w:numPr>
          <w:ilvl w:val="2"/>
          <w:numId w:val="4"/>
        </w:numPr>
        <w:rPr>
          <w:szCs w:val="20"/>
        </w:rPr>
      </w:pPr>
      <w:r>
        <w:rPr>
          <w:szCs w:val="20"/>
        </w:rPr>
        <w:t xml:space="preserve">The TCD probe is </w:t>
      </w:r>
      <w:r w:rsidR="00327454">
        <w:rPr>
          <w:szCs w:val="20"/>
        </w:rPr>
        <w:t xml:space="preserve">attached to the frame and positioned </w:t>
      </w:r>
      <w:r>
        <w:rPr>
          <w:szCs w:val="20"/>
        </w:rPr>
        <w:t xml:space="preserve">against the skin overlying the temporal bone </w:t>
      </w:r>
      <w:r w:rsidR="00327454">
        <w:rPr>
          <w:szCs w:val="20"/>
        </w:rPr>
        <w:t xml:space="preserve">on one side of the head </w:t>
      </w:r>
      <w:r>
        <w:rPr>
          <w:szCs w:val="20"/>
        </w:rPr>
        <w:t>and adjusted to acquire a Doppler signal from the middle cerebral artery.</w:t>
      </w:r>
    </w:p>
    <w:p w14:paraId="716A2C22" w14:textId="784A0DDE" w:rsidR="00F2127A" w:rsidRDefault="00F2127A" w:rsidP="00F2127A">
      <w:pPr>
        <w:pStyle w:val="ListParagraph"/>
        <w:numPr>
          <w:ilvl w:val="2"/>
          <w:numId w:val="4"/>
        </w:numPr>
        <w:rPr>
          <w:szCs w:val="20"/>
        </w:rPr>
      </w:pPr>
      <w:r>
        <w:rPr>
          <w:szCs w:val="20"/>
        </w:rPr>
        <w:t>The ultrasound power is reduced to the minimum required to maintain a reliable signal.</w:t>
      </w:r>
    </w:p>
    <w:p w14:paraId="2C5B53FB" w14:textId="6BA0D0DE" w:rsidR="00585BB2" w:rsidRDefault="00585BB2" w:rsidP="00025199">
      <w:pPr>
        <w:pStyle w:val="ListParagraph"/>
        <w:keepNext/>
        <w:numPr>
          <w:ilvl w:val="0"/>
          <w:numId w:val="4"/>
        </w:numPr>
        <w:ind w:left="1077" w:hanging="357"/>
        <w:rPr>
          <w:szCs w:val="20"/>
        </w:rPr>
      </w:pPr>
      <w:r>
        <w:rPr>
          <w:szCs w:val="20"/>
        </w:rPr>
        <w:t>Autoregulation testing:</w:t>
      </w:r>
    </w:p>
    <w:p w14:paraId="1E3472A9" w14:textId="57E06AEE" w:rsidR="00F6518A" w:rsidRDefault="00F6518A" w:rsidP="00585BB2">
      <w:pPr>
        <w:pStyle w:val="ListParagraph"/>
        <w:numPr>
          <w:ilvl w:val="1"/>
          <w:numId w:val="4"/>
        </w:numPr>
        <w:rPr>
          <w:szCs w:val="20"/>
        </w:rPr>
      </w:pPr>
      <w:r>
        <w:rPr>
          <w:szCs w:val="20"/>
        </w:rPr>
        <w:t>Autoregulation testing will be performed at time</w:t>
      </w:r>
      <w:r w:rsidR="00614D1C">
        <w:rPr>
          <w:szCs w:val="20"/>
        </w:rPr>
        <w:t>s</w:t>
      </w:r>
      <w:r>
        <w:rPr>
          <w:szCs w:val="20"/>
        </w:rPr>
        <w:t xml:space="preserve"> when there is minimal or constant surgical stimulation and the patient is judged to be </w:t>
      </w:r>
      <w:proofErr w:type="spellStart"/>
      <w:r>
        <w:rPr>
          <w:szCs w:val="20"/>
        </w:rPr>
        <w:t>haemodynamically</w:t>
      </w:r>
      <w:proofErr w:type="spellEnd"/>
      <w:r>
        <w:rPr>
          <w:szCs w:val="20"/>
        </w:rPr>
        <w:t xml:space="preserve"> stable.</w:t>
      </w:r>
    </w:p>
    <w:p w14:paraId="5773210C" w14:textId="73EFE93E" w:rsidR="00614D1C" w:rsidRDefault="00614D1C" w:rsidP="00585BB2">
      <w:pPr>
        <w:pStyle w:val="ListParagraph"/>
        <w:numPr>
          <w:ilvl w:val="1"/>
          <w:numId w:val="4"/>
        </w:numPr>
        <w:rPr>
          <w:szCs w:val="20"/>
        </w:rPr>
      </w:pPr>
      <w:r>
        <w:rPr>
          <w:szCs w:val="20"/>
        </w:rPr>
        <w:t>Autoregulation testing will be performed:</w:t>
      </w:r>
    </w:p>
    <w:p w14:paraId="55D3D593" w14:textId="0378BCF3" w:rsidR="00614D1C" w:rsidRDefault="00614D1C" w:rsidP="00614D1C">
      <w:pPr>
        <w:pStyle w:val="ListParagraph"/>
        <w:numPr>
          <w:ilvl w:val="2"/>
          <w:numId w:val="4"/>
        </w:numPr>
        <w:rPr>
          <w:szCs w:val="20"/>
        </w:rPr>
      </w:pPr>
      <w:r>
        <w:rPr>
          <w:szCs w:val="20"/>
        </w:rPr>
        <w:t>Immediately prior to moving the patient to the steep head down position.</w:t>
      </w:r>
    </w:p>
    <w:p w14:paraId="616362FE" w14:textId="4F352ED4" w:rsidR="00614D1C" w:rsidRDefault="00614D1C" w:rsidP="00614D1C">
      <w:pPr>
        <w:pStyle w:val="ListParagraph"/>
        <w:numPr>
          <w:ilvl w:val="2"/>
          <w:numId w:val="4"/>
        </w:numPr>
        <w:rPr>
          <w:szCs w:val="20"/>
        </w:rPr>
      </w:pPr>
      <w:r>
        <w:rPr>
          <w:szCs w:val="20"/>
        </w:rPr>
        <w:t>Hourly while in the steep head-down position.</w:t>
      </w:r>
    </w:p>
    <w:p w14:paraId="1379CC76" w14:textId="041113E2" w:rsidR="00585BB2" w:rsidRDefault="00585BB2" w:rsidP="00585BB2">
      <w:pPr>
        <w:pStyle w:val="ListParagraph"/>
        <w:numPr>
          <w:ilvl w:val="1"/>
          <w:numId w:val="4"/>
        </w:numPr>
        <w:rPr>
          <w:szCs w:val="20"/>
        </w:rPr>
      </w:pPr>
      <w:r>
        <w:rPr>
          <w:szCs w:val="20"/>
        </w:rPr>
        <w:t>If mean arterial pressure (MAP) is &gt;80 mmHg, the phenylephrine infusion will be reduced and/or the remifentanil infusion increased until MAP is ≤80 mmHg.</w:t>
      </w:r>
    </w:p>
    <w:p w14:paraId="54C7F313" w14:textId="2839316A" w:rsidR="00585BB2" w:rsidRDefault="00F2127A" w:rsidP="00585BB2">
      <w:pPr>
        <w:pStyle w:val="ListParagraph"/>
        <w:numPr>
          <w:ilvl w:val="1"/>
          <w:numId w:val="4"/>
        </w:numPr>
        <w:rPr>
          <w:szCs w:val="20"/>
        </w:rPr>
      </w:pPr>
      <w:r>
        <w:rPr>
          <w:szCs w:val="20"/>
        </w:rPr>
        <w:t xml:space="preserve">While recording middle cerebral artery blood velocity, the phenylephrine infusion will be gradually increased until MAP </w:t>
      </w:r>
      <w:r w:rsidR="00327454">
        <w:rPr>
          <w:szCs w:val="20"/>
        </w:rPr>
        <w:t>is ≥</w:t>
      </w:r>
      <w:r>
        <w:rPr>
          <w:szCs w:val="20"/>
        </w:rPr>
        <w:t>100 mmHg.</w:t>
      </w:r>
    </w:p>
    <w:p w14:paraId="32E77326" w14:textId="77777777" w:rsidR="00041AF2" w:rsidRPr="00D76197" w:rsidRDefault="00041AF2" w:rsidP="00041AF2">
      <w:pPr>
        <w:pStyle w:val="ListParagraph"/>
        <w:numPr>
          <w:ilvl w:val="0"/>
          <w:numId w:val="4"/>
        </w:numPr>
        <w:rPr>
          <w:color w:val="000000" w:themeColor="text1"/>
          <w:szCs w:val="20"/>
        </w:rPr>
      </w:pPr>
      <w:r w:rsidRPr="00D76197">
        <w:rPr>
          <w:color w:val="000000" w:themeColor="text1"/>
          <w:szCs w:val="20"/>
        </w:rPr>
        <w:t>Data management</w:t>
      </w:r>
    </w:p>
    <w:p w14:paraId="74395A49" w14:textId="77777777" w:rsidR="00041AF2" w:rsidRPr="00D76197" w:rsidRDefault="00041AF2" w:rsidP="00041AF2">
      <w:pPr>
        <w:pStyle w:val="ListParagraph"/>
        <w:numPr>
          <w:ilvl w:val="1"/>
          <w:numId w:val="4"/>
        </w:numPr>
        <w:rPr>
          <w:color w:val="000000" w:themeColor="text1"/>
          <w:szCs w:val="20"/>
        </w:rPr>
      </w:pPr>
      <w:r w:rsidRPr="00D76197">
        <w:rPr>
          <w:color w:val="000000" w:themeColor="text1"/>
          <w:szCs w:val="20"/>
        </w:rPr>
        <w:t>Data analysis</w:t>
      </w:r>
    </w:p>
    <w:p w14:paraId="5749886C" w14:textId="77777777" w:rsidR="00041AF2" w:rsidRPr="00D76197" w:rsidRDefault="00041AF2" w:rsidP="00041AF2">
      <w:pPr>
        <w:pStyle w:val="ListParagraph"/>
        <w:numPr>
          <w:ilvl w:val="2"/>
          <w:numId w:val="4"/>
        </w:numPr>
        <w:rPr>
          <w:color w:val="000000" w:themeColor="text1"/>
          <w:szCs w:val="20"/>
        </w:rPr>
      </w:pPr>
      <w:r w:rsidRPr="00D76197">
        <w:rPr>
          <w:color w:val="000000" w:themeColor="text1"/>
          <w:szCs w:val="20"/>
        </w:rPr>
        <w:t>The TCD waveform and the arterial pressure waveform will be digitally recorded to a laptop computer.</w:t>
      </w:r>
    </w:p>
    <w:p w14:paraId="3B037246" w14:textId="77777777" w:rsidR="00041AF2" w:rsidRPr="00D76197" w:rsidRDefault="00041AF2" w:rsidP="00041AF2">
      <w:pPr>
        <w:pStyle w:val="ListParagraph"/>
        <w:numPr>
          <w:ilvl w:val="2"/>
          <w:numId w:val="4"/>
        </w:numPr>
        <w:rPr>
          <w:color w:val="000000" w:themeColor="text1"/>
          <w:szCs w:val="20"/>
        </w:rPr>
      </w:pPr>
      <w:r w:rsidRPr="00D76197">
        <w:rPr>
          <w:color w:val="000000" w:themeColor="text1"/>
          <w:szCs w:val="20"/>
        </w:rPr>
        <w:t>In subsequent data analysis, the autoregulation index (ARI) is calculated using a standard formula and patients will be classified as having either normal autoregulation, ARI &gt;0.4, or impaired autoregulation, ARI≤0.4. (Constant cerebral blood flow despite the change in MAP gives an ARI = 1.0, whereas cerebral blood flow changing completely passively with MAP gives an ARI = 0.0)</w:t>
      </w:r>
    </w:p>
    <w:p w14:paraId="0E43B582" w14:textId="77777777" w:rsidR="00041AF2" w:rsidRPr="00D76197" w:rsidRDefault="00041AF2" w:rsidP="00041AF2">
      <w:pPr>
        <w:pStyle w:val="ListParagraph"/>
        <w:numPr>
          <w:ilvl w:val="1"/>
          <w:numId w:val="4"/>
        </w:numPr>
        <w:rPr>
          <w:color w:val="000000" w:themeColor="text1"/>
          <w:szCs w:val="20"/>
        </w:rPr>
      </w:pPr>
      <w:r w:rsidRPr="00D76197">
        <w:rPr>
          <w:color w:val="000000" w:themeColor="text1"/>
          <w:szCs w:val="20"/>
        </w:rPr>
        <w:t>Data storage and security</w:t>
      </w:r>
    </w:p>
    <w:p w14:paraId="5696FA0B" w14:textId="77777777" w:rsidR="00041AF2" w:rsidRPr="00D76197" w:rsidRDefault="00041AF2" w:rsidP="00041AF2">
      <w:pPr>
        <w:pStyle w:val="ListParagraph"/>
        <w:widowControl w:val="0"/>
        <w:numPr>
          <w:ilvl w:val="2"/>
          <w:numId w:val="4"/>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rPr>
          <w:color w:val="000000" w:themeColor="text1"/>
        </w:rPr>
      </w:pPr>
      <w:r w:rsidRPr="00D76197">
        <w:rPr>
          <w:color w:val="000000" w:themeColor="text1"/>
        </w:rPr>
        <w:t xml:space="preserve">Data will be stored on a </w:t>
      </w:r>
      <w:proofErr w:type="spellStart"/>
      <w:r w:rsidRPr="00D76197">
        <w:rPr>
          <w:color w:val="000000" w:themeColor="text1"/>
        </w:rPr>
        <w:t>REDCap</w:t>
      </w:r>
      <w:proofErr w:type="spellEnd"/>
      <w:r w:rsidRPr="00D76197">
        <w:rPr>
          <w:color w:val="000000" w:themeColor="text1"/>
        </w:rPr>
        <w:t xml:space="preserve"> Database saved on the secure SLHD server.</w:t>
      </w:r>
    </w:p>
    <w:p w14:paraId="79034C36" w14:textId="77777777" w:rsidR="00041AF2" w:rsidRPr="00D76197" w:rsidRDefault="00041AF2" w:rsidP="00041AF2">
      <w:pPr>
        <w:pStyle w:val="ListParagraph"/>
        <w:numPr>
          <w:ilvl w:val="1"/>
          <w:numId w:val="4"/>
        </w:numPr>
        <w:rPr>
          <w:color w:val="000000" w:themeColor="text1"/>
          <w:szCs w:val="20"/>
        </w:rPr>
      </w:pPr>
      <w:r w:rsidRPr="00D76197">
        <w:rPr>
          <w:color w:val="000000" w:themeColor="text1"/>
        </w:rPr>
        <w:t>Access, sharing, reuse of data</w:t>
      </w:r>
    </w:p>
    <w:p w14:paraId="0E8FBA1E" w14:textId="77777777" w:rsidR="00041AF2" w:rsidRPr="00D76197" w:rsidRDefault="00041AF2" w:rsidP="00041AF2">
      <w:pPr>
        <w:pStyle w:val="ListParagraph"/>
        <w:widowControl w:val="0"/>
        <w:numPr>
          <w:ilvl w:val="2"/>
          <w:numId w:val="4"/>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rPr>
          <w:color w:val="000000" w:themeColor="text1"/>
        </w:rPr>
      </w:pPr>
      <w:r w:rsidRPr="00D76197">
        <w:rPr>
          <w:color w:val="000000" w:themeColor="text1"/>
        </w:rPr>
        <w:t>All paper records will be stored in a central location with restricted access in locked file cabinets within the Anaesthetics Department, RPAH. Access will only be granted to designated research staff. The data will be stored on the password protected PC located in the Anaesthetics Department.  The access to this room is restricted to the personnel included in the protocol and the data will be stored on the secure SLHD server.</w:t>
      </w:r>
      <w:r w:rsidRPr="00D76197">
        <w:rPr>
          <w:color w:val="000000" w:themeColor="text1"/>
        </w:rPr>
        <w:tab/>
      </w:r>
      <w:r w:rsidRPr="00D76197">
        <w:rPr>
          <w:color w:val="000000" w:themeColor="text1"/>
        </w:rPr>
        <w:tab/>
      </w:r>
      <w:r w:rsidRPr="00D76197">
        <w:rPr>
          <w:color w:val="000000" w:themeColor="text1"/>
        </w:rPr>
        <w:tab/>
      </w:r>
    </w:p>
    <w:p w14:paraId="3AE3C62C" w14:textId="77777777" w:rsidR="00041AF2" w:rsidRPr="00D76197" w:rsidRDefault="00041AF2" w:rsidP="00041AF2">
      <w:pPr>
        <w:pStyle w:val="ListParagraph"/>
        <w:widowControl w:val="0"/>
        <w:numPr>
          <w:ilvl w:val="1"/>
          <w:numId w:val="4"/>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rPr>
          <w:color w:val="000000" w:themeColor="text1"/>
        </w:rPr>
      </w:pPr>
      <w:r w:rsidRPr="00D76197">
        <w:rPr>
          <w:color w:val="000000" w:themeColor="text1"/>
        </w:rPr>
        <w:lastRenderedPageBreak/>
        <w:t>Data retention and disposal</w:t>
      </w:r>
    </w:p>
    <w:p w14:paraId="4F366571" w14:textId="77777777" w:rsidR="00041AF2" w:rsidRPr="00D76197" w:rsidRDefault="00041AF2" w:rsidP="00041AF2">
      <w:pPr>
        <w:pStyle w:val="ListParagraph"/>
        <w:widowControl w:val="0"/>
        <w:numPr>
          <w:ilvl w:val="2"/>
          <w:numId w:val="4"/>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rPr>
          <w:color w:val="000000" w:themeColor="text1"/>
        </w:rPr>
      </w:pPr>
      <w:r w:rsidRPr="00D76197">
        <w:rPr>
          <w:color w:val="000000" w:themeColor="text1"/>
        </w:rPr>
        <w:t>All data and written records related to the study will be kept for a minimum of 15 years before being destroyed.</w:t>
      </w:r>
    </w:p>
    <w:p w14:paraId="74DE899F" w14:textId="77777777" w:rsidR="00041AF2" w:rsidRPr="00D76197" w:rsidRDefault="00041AF2" w:rsidP="00041AF2">
      <w:pPr>
        <w:pStyle w:val="ListParagraph"/>
        <w:numPr>
          <w:ilvl w:val="0"/>
          <w:numId w:val="4"/>
        </w:numPr>
        <w:rPr>
          <w:color w:val="000000" w:themeColor="text1"/>
          <w:szCs w:val="20"/>
        </w:rPr>
      </w:pPr>
      <w:r w:rsidRPr="00D76197">
        <w:rPr>
          <w:color w:val="000000" w:themeColor="text1"/>
          <w:szCs w:val="20"/>
        </w:rPr>
        <w:t>Adverse events</w:t>
      </w:r>
    </w:p>
    <w:p w14:paraId="18529658" w14:textId="77777777" w:rsidR="00041AF2" w:rsidRPr="00D76197" w:rsidRDefault="00041AF2" w:rsidP="00041AF2">
      <w:pPr>
        <w:pStyle w:val="ListParagraph"/>
        <w:numPr>
          <w:ilvl w:val="1"/>
          <w:numId w:val="4"/>
        </w:numPr>
        <w:rPr>
          <w:color w:val="000000" w:themeColor="text1"/>
          <w:szCs w:val="20"/>
        </w:rPr>
      </w:pPr>
      <w:r w:rsidRPr="00D76197">
        <w:rPr>
          <w:color w:val="000000" w:themeColor="text1"/>
          <w:szCs w:val="20"/>
        </w:rPr>
        <w:t>Adverse events will be monitored using standard surgical observation equipment including: Blood pressure monitoring, arterial oxygen saturation, arterial carbon dioxide partial pressure and ventilation rate.</w:t>
      </w:r>
    </w:p>
    <w:p w14:paraId="335E71EE" w14:textId="6C488EB3" w:rsidR="00041AF2" w:rsidRDefault="00041AF2" w:rsidP="00041AF2">
      <w:pPr>
        <w:pStyle w:val="ListParagraph"/>
        <w:numPr>
          <w:ilvl w:val="1"/>
          <w:numId w:val="4"/>
        </w:numPr>
        <w:rPr>
          <w:color w:val="000000" w:themeColor="text1"/>
          <w:szCs w:val="20"/>
        </w:rPr>
      </w:pPr>
      <w:r w:rsidRPr="00D76197">
        <w:rPr>
          <w:color w:val="000000" w:themeColor="text1"/>
          <w:szCs w:val="20"/>
        </w:rPr>
        <w:t xml:space="preserve">Adverse events will be recorded in </w:t>
      </w:r>
      <w:proofErr w:type="spellStart"/>
      <w:r w:rsidRPr="00D76197">
        <w:rPr>
          <w:color w:val="000000" w:themeColor="text1"/>
          <w:szCs w:val="20"/>
        </w:rPr>
        <w:t>REDCap</w:t>
      </w:r>
      <w:proofErr w:type="spellEnd"/>
      <w:r w:rsidRPr="00D76197">
        <w:rPr>
          <w:color w:val="000000" w:themeColor="text1"/>
          <w:szCs w:val="20"/>
        </w:rPr>
        <w:t xml:space="preserve"> after both attending anaesthetist and surgeon are informed. </w:t>
      </w:r>
    </w:p>
    <w:p w14:paraId="683CDEBB" w14:textId="77777777" w:rsidR="00B74998" w:rsidRDefault="00B74998" w:rsidP="00B74998">
      <w:pPr>
        <w:pStyle w:val="ListParagraph"/>
        <w:numPr>
          <w:ilvl w:val="1"/>
          <w:numId w:val="4"/>
        </w:numPr>
        <w:rPr>
          <w:color w:val="000000" w:themeColor="text1"/>
          <w:szCs w:val="20"/>
        </w:rPr>
      </w:pPr>
      <w:r>
        <w:rPr>
          <w:color w:val="000000" w:themeColor="text1"/>
          <w:szCs w:val="20"/>
        </w:rPr>
        <w:t>Serious Adverse Events (SAE)</w:t>
      </w:r>
    </w:p>
    <w:p w14:paraId="6B7B8F92" w14:textId="77777777" w:rsidR="00345659" w:rsidRPr="005105C9" w:rsidRDefault="00345659" w:rsidP="00345659">
      <w:pPr>
        <w:pStyle w:val="ListParagraph"/>
        <w:widowControl w:val="0"/>
        <w:numPr>
          <w:ilvl w:val="2"/>
          <w:numId w:val="4"/>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rPr>
          <w:color w:val="000000" w:themeColor="text1"/>
        </w:rPr>
      </w:pPr>
      <w:r w:rsidRPr="005105C9">
        <w:rPr>
          <w:iCs/>
        </w:rPr>
        <w:t>All Single case Adverse Events (AEs), Serious Adverse Events (SAEs)/Serious Adverse Reactions (SARs), significant safety issues (SSIs), any local SUSARs/ Unanticipated Serious Adverse Device Effects (USADEs)/ Unexpected and Related Serious Adverse Event (URSAEs) arising from the site and any research-related events that meet the definition of an incident will be submitted by the investigator to the local RGO.</w:t>
      </w:r>
    </w:p>
    <w:p w14:paraId="36975FA4" w14:textId="77777777" w:rsidR="00B74998" w:rsidRPr="00D76197" w:rsidRDefault="00B74998" w:rsidP="00173C34">
      <w:pPr>
        <w:pStyle w:val="ListParagraph"/>
        <w:ind w:left="1800"/>
        <w:rPr>
          <w:color w:val="000000" w:themeColor="text1"/>
          <w:szCs w:val="20"/>
        </w:rPr>
      </w:pPr>
    </w:p>
    <w:p w14:paraId="494587A2" w14:textId="77777777" w:rsidR="00041AF2" w:rsidRPr="00D76197" w:rsidRDefault="00041AF2" w:rsidP="00041AF2">
      <w:pPr>
        <w:pStyle w:val="ListParagraph"/>
        <w:numPr>
          <w:ilvl w:val="0"/>
          <w:numId w:val="4"/>
        </w:numPr>
        <w:rPr>
          <w:color w:val="000000" w:themeColor="text1"/>
          <w:szCs w:val="20"/>
        </w:rPr>
      </w:pPr>
      <w:r w:rsidRPr="00D76197">
        <w:rPr>
          <w:color w:val="000000" w:themeColor="text1"/>
          <w:szCs w:val="20"/>
        </w:rPr>
        <w:t>Dissemination strategy</w:t>
      </w:r>
    </w:p>
    <w:p w14:paraId="0B713955" w14:textId="77777777" w:rsidR="00041AF2" w:rsidRPr="00D76197" w:rsidRDefault="00041AF2" w:rsidP="00041AF2">
      <w:pPr>
        <w:pStyle w:val="ListParagraph"/>
        <w:widowControl w:val="0"/>
        <w:numPr>
          <w:ilvl w:val="1"/>
          <w:numId w:val="4"/>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rPr>
          <w:color w:val="000000" w:themeColor="text1"/>
        </w:rPr>
      </w:pPr>
      <w:r w:rsidRPr="00D76197">
        <w:rPr>
          <w:color w:val="000000" w:themeColor="text1"/>
        </w:rPr>
        <w:t>Study participants:</w:t>
      </w:r>
    </w:p>
    <w:p w14:paraId="11B11F70" w14:textId="77777777" w:rsidR="00041AF2" w:rsidRPr="00D76197" w:rsidRDefault="00041AF2" w:rsidP="00041AF2">
      <w:pPr>
        <w:pStyle w:val="ListParagraph"/>
        <w:widowControl w:val="0"/>
        <w:numPr>
          <w:ilvl w:val="2"/>
          <w:numId w:val="4"/>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rPr>
          <w:color w:val="000000" w:themeColor="text1"/>
        </w:rPr>
      </w:pPr>
      <w:r w:rsidRPr="00D76197">
        <w:rPr>
          <w:color w:val="000000" w:themeColor="text1"/>
        </w:rPr>
        <w:t xml:space="preserve">Study participants will receive a lay summary of the results of the study </w:t>
      </w:r>
    </w:p>
    <w:p w14:paraId="530FCFF2" w14:textId="77777777" w:rsidR="00041AF2" w:rsidRPr="00D76197" w:rsidRDefault="00041AF2" w:rsidP="00041AF2">
      <w:pPr>
        <w:pStyle w:val="ListParagraph"/>
        <w:widowControl w:val="0"/>
        <w:numPr>
          <w:ilvl w:val="1"/>
          <w:numId w:val="4"/>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rPr>
          <w:color w:val="000000" w:themeColor="text1"/>
        </w:rPr>
      </w:pPr>
      <w:r w:rsidRPr="00D76197">
        <w:rPr>
          <w:color w:val="000000" w:themeColor="text1"/>
        </w:rPr>
        <w:t>Healthcare professionals</w:t>
      </w:r>
    </w:p>
    <w:p w14:paraId="20A962F7" w14:textId="77777777" w:rsidR="00041AF2" w:rsidRPr="00D76197" w:rsidRDefault="00041AF2" w:rsidP="00041AF2">
      <w:pPr>
        <w:pStyle w:val="ListParagraph"/>
        <w:widowControl w:val="0"/>
        <w:numPr>
          <w:ilvl w:val="2"/>
          <w:numId w:val="4"/>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rPr>
          <w:color w:val="000000" w:themeColor="text1"/>
        </w:rPr>
      </w:pPr>
      <w:r w:rsidRPr="00D76197">
        <w:rPr>
          <w:color w:val="000000" w:themeColor="text1"/>
        </w:rPr>
        <w:t>The results of the research will be published in the relevant journal.</w:t>
      </w:r>
    </w:p>
    <w:p w14:paraId="1D464E5D" w14:textId="77777777" w:rsidR="00041AF2" w:rsidRPr="00D76197" w:rsidRDefault="00041AF2" w:rsidP="00041AF2">
      <w:pPr>
        <w:pStyle w:val="ListParagraph"/>
        <w:widowControl w:val="0"/>
        <w:numPr>
          <w:ilvl w:val="1"/>
          <w:numId w:val="4"/>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rPr>
          <w:color w:val="000000" w:themeColor="text1"/>
        </w:rPr>
      </w:pPr>
      <w:r w:rsidRPr="00D76197">
        <w:rPr>
          <w:color w:val="000000" w:themeColor="text1"/>
        </w:rPr>
        <w:t>Limitations on publication will be determined once the appropriate journal is selected</w:t>
      </w:r>
    </w:p>
    <w:p w14:paraId="70E2FF1E" w14:textId="77777777" w:rsidR="002200B7" w:rsidRPr="00073385" w:rsidRDefault="002200B7" w:rsidP="00073385">
      <w:pPr>
        <w:rPr>
          <w:color w:val="FF0000"/>
          <w:szCs w:val="20"/>
        </w:rPr>
      </w:pPr>
    </w:p>
    <w:p w14:paraId="575C57EA" w14:textId="77777777" w:rsidR="002200B7" w:rsidRPr="002200B7" w:rsidRDefault="002200B7" w:rsidP="002200B7">
      <w:pPr>
        <w:ind w:left="720"/>
        <w:rPr>
          <w:color w:val="FF0000"/>
          <w:szCs w:val="20"/>
        </w:rPr>
      </w:pPr>
    </w:p>
    <w:p w14:paraId="59F9365A" w14:textId="77777777" w:rsidR="00327454" w:rsidRPr="00327454" w:rsidRDefault="00327454" w:rsidP="00327454">
      <w:pPr>
        <w:rPr>
          <w:szCs w:val="20"/>
        </w:rPr>
      </w:pPr>
    </w:p>
    <w:p w14:paraId="5EE9C9BC" w14:textId="046008F1" w:rsidR="00327454" w:rsidRDefault="00327454" w:rsidP="00327454">
      <w:pPr>
        <w:ind w:left="360"/>
        <w:rPr>
          <w:szCs w:val="20"/>
        </w:rPr>
      </w:pPr>
      <w:r>
        <w:rPr>
          <w:szCs w:val="20"/>
        </w:rPr>
        <w:t>Demographic and other data. The following data will be collected for each patient:</w:t>
      </w:r>
    </w:p>
    <w:p w14:paraId="70A62F2A" w14:textId="0607CE0D" w:rsidR="00327454" w:rsidRDefault="00327454" w:rsidP="00327454">
      <w:pPr>
        <w:pStyle w:val="ListParagraph"/>
        <w:numPr>
          <w:ilvl w:val="0"/>
          <w:numId w:val="5"/>
        </w:numPr>
        <w:rPr>
          <w:szCs w:val="20"/>
        </w:rPr>
      </w:pPr>
      <w:r>
        <w:rPr>
          <w:szCs w:val="20"/>
        </w:rPr>
        <w:t>Age</w:t>
      </w:r>
    </w:p>
    <w:p w14:paraId="747874B4" w14:textId="4D1CAD4B" w:rsidR="00327454" w:rsidRDefault="00327454" w:rsidP="00327454">
      <w:pPr>
        <w:pStyle w:val="ListParagraph"/>
        <w:numPr>
          <w:ilvl w:val="0"/>
          <w:numId w:val="5"/>
        </w:numPr>
        <w:rPr>
          <w:szCs w:val="20"/>
        </w:rPr>
      </w:pPr>
      <w:r>
        <w:rPr>
          <w:szCs w:val="20"/>
        </w:rPr>
        <w:t>Gender (all patients will be male)</w:t>
      </w:r>
    </w:p>
    <w:p w14:paraId="6030E1B2" w14:textId="1749516E" w:rsidR="00327454" w:rsidRDefault="00327454" w:rsidP="00327454">
      <w:pPr>
        <w:pStyle w:val="ListParagraph"/>
        <w:numPr>
          <w:ilvl w:val="0"/>
          <w:numId w:val="5"/>
        </w:numPr>
        <w:rPr>
          <w:szCs w:val="20"/>
        </w:rPr>
      </w:pPr>
      <w:r>
        <w:rPr>
          <w:szCs w:val="20"/>
        </w:rPr>
        <w:t>Weight</w:t>
      </w:r>
    </w:p>
    <w:p w14:paraId="72C5AF77" w14:textId="4F408EF4" w:rsidR="00327454" w:rsidRDefault="00327454" w:rsidP="00327454">
      <w:pPr>
        <w:pStyle w:val="ListParagraph"/>
        <w:numPr>
          <w:ilvl w:val="0"/>
          <w:numId w:val="5"/>
        </w:numPr>
        <w:rPr>
          <w:szCs w:val="20"/>
        </w:rPr>
      </w:pPr>
      <w:r>
        <w:rPr>
          <w:szCs w:val="20"/>
        </w:rPr>
        <w:t>Height</w:t>
      </w:r>
    </w:p>
    <w:p w14:paraId="7AB8F7B6" w14:textId="50939621" w:rsidR="00327454" w:rsidRDefault="00327454" w:rsidP="00327454">
      <w:pPr>
        <w:pStyle w:val="ListParagraph"/>
        <w:numPr>
          <w:ilvl w:val="0"/>
          <w:numId w:val="5"/>
        </w:numPr>
        <w:rPr>
          <w:szCs w:val="20"/>
        </w:rPr>
      </w:pPr>
      <w:r>
        <w:rPr>
          <w:szCs w:val="20"/>
        </w:rPr>
        <w:t xml:space="preserve">Routine </w:t>
      </w:r>
      <w:r w:rsidR="004C73CC">
        <w:rPr>
          <w:szCs w:val="20"/>
        </w:rPr>
        <w:t xml:space="preserve">preop </w:t>
      </w:r>
      <w:r>
        <w:rPr>
          <w:szCs w:val="20"/>
        </w:rPr>
        <w:t>medications</w:t>
      </w:r>
    </w:p>
    <w:p w14:paraId="0CA0E74A" w14:textId="4F23D4E7" w:rsidR="00327454" w:rsidRDefault="00327454" w:rsidP="00327454">
      <w:pPr>
        <w:pStyle w:val="ListParagraph"/>
        <w:numPr>
          <w:ilvl w:val="0"/>
          <w:numId w:val="5"/>
        </w:numPr>
        <w:rPr>
          <w:szCs w:val="20"/>
        </w:rPr>
      </w:pPr>
      <w:r>
        <w:rPr>
          <w:szCs w:val="20"/>
        </w:rPr>
        <w:t>Co-morbidities:</w:t>
      </w:r>
    </w:p>
    <w:p w14:paraId="2CAB8486" w14:textId="44A98FFD" w:rsidR="00327454" w:rsidRDefault="00327454" w:rsidP="00327454">
      <w:pPr>
        <w:pStyle w:val="ListParagraph"/>
        <w:numPr>
          <w:ilvl w:val="1"/>
          <w:numId w:val="5"/>
        </w:numPr>
        <w:rPr>
          <w:szCs w:val="20"/>
        </w:rPr>
      </w:pPr>
      <w:r>
        <w:rPr>
          <w:szCs w:val="20"/>
        </w:rPr>
        <w:t>Cardiovascular: hypertension, known ischaemic heart disease</w:t>
      </w:r>
    </w:p>
    <w:p w14:paraId="3805BEB1" w14:textId="5E268615" w:rsidR="00327454" w:rsidRDefault="00327454" w:rsidP="00327454">
      <w:pPr>
        <w:pStyle w:val="ListParagraph"/>
        <w:numPr>
          <w:ilvl w:val="1"/>
          <w:numId w:val="5"/>
        </w:numPr>
        <w:rPr>
          <w:szCs w:val="20"/>
        </w:rPr>
      </w:pPr>
      <w:r>
        <w:rPr>
          <w:szCs w:val="20"/>
        </w:rPr>
        <w:t>Respiratory: asthma, chronic obstructive airways disease</w:t>
      </w:r>
    </w:p>
    <w:p w14:paraId="06F2B94F" w14:textId="58C4F097" w:rsidR="00327454" w:rsidRDefault="00327454" w:rsidP="00327454">
      <w:pPr>
        <w:pStyle w:val="ListParagraph"/>
        <w:numPr>
          <w:ilvl w:val="1"/>
          <w:numId w:val="5"/>
        </w:numPr>
        <w:rPr>
          <w:szCs w:val="20"/>
        </w:rPr>
      </w:pPr>
      <w:r>
        <w:rPr>
          <w:szCs w:val="20"/>
        </w:rPr>
        <w:t>Diabetes</w:t>
      </w:r>
    </w:p>
    <w:p w14:paraId="164EAE25" w14:textId="6411ED66" w:rsidR="00327454" w:rsidRDefault="00327454" w:rsidP="00327454">
      <w:pPr>
        <w:pStyle w:val="ListParagraph"/>
        <w:numPr>
          <w:ilvl w:val="0"/>
          <w:numId w:val="5"/>
        </w:numPr>
        <w:rPr>
          <w:szCs w:val="20"/>
        </w:rPr>
      </w:pPr>
      <w:r>
        <w:rPr>
          <w:szCs w:val="20"/>
        </w:rPr>
        <w:t>Time of induction of anaesthesia</w:t>
      </w:r>
    </w:p>
    <w:p w14:paraId="1DA579D4" w14:textId="0EE3CA48" w:rsidR="00E8027A" w:rsidRDefault="00E8027A" w:rsidP="00E8027A">
      <w:pPr>
        <w:pStyle w:val="ListParagraph"/>
        <w:numPr>
          <w:ilvl w:val="0"/>
          <w:numId w:val="5"/>
        </w:numPr>
        <w:rPr>
          <w:szCs w:val="20"/>
        </w:rPr>
      </w:pPr>
      <w:r>
        <w:rPr>
          <w:szCs w:val="20"/>
        </w:rPr>
        <w:t>At the t</w:t>
      </w:r>
      <w:r w:rsidR="00327454">
        <w:rPr>
          <w:szCs w:val="20"/>
        </w:rPr>
        <w:t xml:space="preserve">ime of </w:t>
      </w:r>
      <w:r>
        <w:rPr>
          <w:szCs w:val="20"/>
        </w:rPr>
        <w:t xml:space="preserve">each </w:t>
      </w:r>
      <w:r w:rsidR="00327454">
        <w:rPr>
          <w:szCs w:val="20"/>
        </w:rPr>
        <w:t>autoregulation test</w:t>
      </w:r>
      <w:r>
        <w:rPr>
          <w:szCs w:val="20"/>
        </w:rPr>
        <w:t>:</w:t>
      </w:r>
      <w:r w:rsidRPr="00E8027A">
        <w:rPr>
          <w:szCs w:val="20"/>
        </w:rPr>
        <w:t xml:space="preserve"> </w:t>
      </w:r>
    </w:p>
    <w:p w14:paraId="477E98CB" w14:textId="05A54E7F" w:rsidR="00E8027A" w:rsidRDefault="00E8027A" w:rsidP="00E8027A">
      <w:pPr>
        <w:pStyle w:val="ListParagraph"/>
        <w:numPr>
          <w:ilvl w:val="1"/>
          <w:numId w:val="5"/>
        </w:numPr>
        <w:rPr>
          <w:szCs w:val="20"/>
        </w:rPr>
      </w:pPr>
      <w:r>
        <w:rPr>
          <w:szCs w:val="20"/>
        </w:rPr>
        <w:t>BIS score, End-Tidal CO</w:t>
      </w:r>
      <w:r w:rsidRPr="00E8027A">
        <w:rPr>
          <w:szCs w:val="20"/>
          <w:vertAlign w:val="subscript"/>
        </w:rPr>
        <w:t>2</w:t>
      </w:r>
      <w:r>
        <w:rPr>
          <w:szCs w:val="20"/>
        </w:rPr>
        <w:t>, PaCO</w:t>
      </w:r>
      <w:r>
        <w:rPr>
          <w:szCs w:val="20"/>
          <w:vertAlign w:val="subscript"/>
        </w:rPr>
        <w:t>2</w:t>
      </w:r>
    </w:p>
    <w:p w14:paraId="005CD0DE" w14:textId="3D24CAA3" w:rsidR="00E8027A" w:rsidRDefault="00E8027A" w:rsidP="00E8027A">
      <w:pPr>
        <w:pStyle w:val="ListParagraph"/>
        <w:numPr>
          <w:ilvl w:val="1"/>
          <w:numId w:val="5"/>
        </w:numPr>
        <w:rPr>
          <w:szCs w:val="20"/>
        </w:rPr>
      </w:pPr>
      <w:r>
        <w:rPr>
          <w:szCs w:val="20"/>
        </w:rPr>
        <w:t>Dose of remifentanil (effect site target concentration)</w:t>
      </w:r>
    </w:p>
    <w:p w14:paraId="53D3D345" w14:textId="5F71A59C" w:rsidR="00E8027A" w:rsidRPr="00E8027A" w:rsidRDefault="00E8027A" w:rsidP="00E8027A">
      <w:pPr>
        <w:pStyle w:val="ListParagraph"/>
        <w:numPr>
          <w:ilvl w:val="1"/>
          <w:numId w:val="5"/>
        </w:numPr>
        <w:rPr>
          <w:szCs w:val="20"/>
        </w:rPr>
      </w:pPr>
      <w:r>
        <w:rPr>
          <w:szCs w:val="20"/>
        </w:rPr>
        <w:t>Dose of propofol (effect site target) or sevoflurane (end-tidal and age-adjusted MAC))</w:t>
      </w:r>
    </w:p>
    <w:p w14:paraId="1ECD609C" w14:textId="5E617310" w:rsidR="00327454" w:rsidRPr="00E8027A" w:rsidRDefault="00E8027A" w:rsidP="00E8027A">
      <w:pPr>
        <w:pStyle w:val="ListParagraph"/>
        <w:numPr>
          <w:ilvl w:val="1"/>
          <w:numId w:val="5"/>
        </w:numPr>
        <w:rPr>
          <w:szCs w:val="20"/>
        </w:rPr>
      </w:pPr>
      <w:r>
        <w:rPr>
          <w:szCs w:val="20"/>
        </w:rPr>
        <w:t xml:space="preserve">Volume of intravenous crystalloids infused </w:t>
      </w:r>
    </w:p>
    <w:p w14:paraId="61EA7FEF" w14:textId="636640AF" w:rsidR="00327454" w:rsidRDefault="00327454" w:rsidP="00327454">
      <w:pPr>
        <w:pStyle w:val="ListParagraph"/>
        <w:numPr>
          <w:ilvl w:val="0"/>
          <w:numId w:val="5"/>
        </w:numPr>
        <w:rPr>
          <w:szCs w:val="20"/>
        </w:rPr>
      </w:pPr>
      <w:r>
        <w:rPr>
          <w:szCs w:val="20"/>
        </w:rPr>
        <w:t>Any anaesthesia-related complications</w:t>
      </w:r>
    </w:p>
    <w:p w14:paraId="0C64450F" w14:textId="7DBA166E" w:rsidR="00327454" w:rsidRDefault="00327454" w:rsidP="00327454">
      <w:pPr>
        <w:ind w:left="360"/>
        <w:rPr>
          <w:szCs w:val="20"/>
        </w:rPr>
      </w:pPr>
      <w:r>
        <w:rPr>
          <w:szCs w:val="20"/>
        </w:rPr>
        <w:tab/>
      </w:r>
    </w:p>
    <w:p w14:paraId="68EA2E7C" w14:textId="77777777" w:rsidR="00F2127A" w:rsidRPr="00AD4511" w:rsidRDefault="00F2127A" w:rsidP="00F2127A">
      <w:pPr>
        <w:pStyle w:val="ListParagraph"/>
        <w:ind w:left="1800"/>
        <w:rPr>
          <w:szCs w:val="20"/>
        </w:rPr>
      </w:pPr>
    </w:p>
    <w:p w14:paraId="79CE0AC6" w14:textId="77777777" w:rsidR="00FB26B6" w:rsidRDefault="00FB26B6">
      <w:pPr>
        <w:rPr>
          <w:i/>
          <w:sz w:val="20"/>
          <w:szCs w:val="20"/>
        </w:rPr>
      </w:pPr>
    </w:p>
    <w:p w14:paraId="4DB6E6CF" w14:textId="77777777" w:rsidR="00E8027A" w:rsidRDefault="00E8027A">
      <w:pPr>
        <w:rPr>
          <w:b/>
          <w:szCs w:val="20"/>
        </w:rPr>
      </w:pPr>
      <w:r>
        <w:rPr>
          <w:b/>
          <w:szCs w:val="20"/>
        </w:rPr>
        <w:br w:type="page"/>
      </w:r>
    </w:p>
    <w:p w14:paraId="70803E8B" w14:textId="25EB44B0" w:rsidR="00FB26B6" w:rsidRDefault="00FB26B6">
      <w:pPr>
        <w:numPr>
          <w:ilvl w:val="0"/>
          <w:numId w:val="1"/>
        </w:numPr>
        <w:tabs>
          <w:tab w:val="clear" w:pos="1080"/>
          <w:tab w:val="num" w:pos="360"/>
        </w:tabs>
        <w:ind w:left="360"/>
        <w:rPr>
          <w:b/>
          <w:szCs w:val="20"/>
        </w:rPr>
      </w:pPr>
      <w:r>
        <w:rPr>
          <w:b/>
          <w:szCs w:val="20"/>
        </w:rPr>
        <w:lastRenderedPageBreak/>
        <w:t>References</w:t>
      </w:r>
    </w:p>
    <w:p w14:paraId="02EC5B01" w14:textId="78EB636D" w:rsidR="00FB26B6" w:rsidRDefault="00FB26B6">
      <w:pPr>
        <w:rPr>
          <w:szCs w:val="20"/>
        </w:rPr>
      </w:pPr>
    </w:p>
    <w:p w14:paraId="7897BFD1" w14:textId="77777777" w:rsidR="00AB7D4B" w:rsidRPr="00041AF2" w:rsidRDefault="00AB7D4B" w:rsidP="00AB7D4B">
      <w:r>
        <w:rPr>
          <w:rFonts w:ascii="Arial" w:hAnsi="Arial" w:cs="Arial"/>
          <w:color w:val="222222"/>
          <w:sz w:val="20"/>
          <w:szCs w:val="20"/>
          <w:shd w:val="clear" w:color="auto" w:fill="FFFFFF"/>
        </w:rPr>
        <w:t xml:space="preserve">Conti, A., </w:t>
      </w:r>
      <w:proofErr w:type="spellStart"/>
      <w:r>
        <w:rPr>
          <w:rFonts w:ascii="Arial" w:hAnsi="Arial" w:cs="Arial"/>
          <w:color w:val="222222"/>
          <w:sz w:val="20"/>
          <w:szCs w:val="20"/>
          <w:shd w:val="clear" w:color="auto" w:fill="FFFFFF"/>
        </w:rPr>
        <w:t>Iacopino</w:t>
      </w:r>
      <w:proofErr w:type="spellEnd"/>
      <w:r>
        <w:rPr>
          <w:rFonts w:ascii="Arial" w:hAnsi="Arial" w:cs="Arial"/>
          <w:color w:val="222222"/>
          <w:sz w:val="20"/>
          <w:szCs w:val="20"/>
          <w:shd w:val="clear" w:color="auto" w:fill="FFFFFF"/>
        </w:rPr>
        <w:t xml:space="preserve">, D.G., </w:t>
      </w:r>
      <w:proofErr w:type="spellStart"/>
      <w:r>
        <w:rPr>
          <w:rFonts w:ascii="Arial" w:hAnsi="Arial" w:cs="Arial"/>
          <w:color w:val="222222"/>
          <w:sz w:val="20"/>
          <w:szCs w:val="20"/>
          <w:shd w:val="clear" w:color="auto" w:fill="FFFFFF"/>
        </w:rPr>
        <w:t>Fodale</w:t>
      </w:r>
      <w:proofErr w:type="spellEnd"/>
      <w:r>
        <w:rPr>
          <w:rFonts w:ascii="Arial" w:hAnsi="Arial" w:cs="Arial"/>
          <w:color w:val="222222"/>
          <w:sz w:val="20"/>
          <w:szCs w:val="20"/>
          <w:shd w:val="clear" w:color="auto" w:fill="FFFFFF"/>
        </w:rPr>
        <w:t xml:space="preserve">, V., </w:t>
      </w:r>
      <w:proofErr w:type="spellStart"/>
      <w:r>
        <w:rPr>
          <w:rFonts w:ascii="Arial" w:hAnsi="Arial" w:cs="Arial"/>
          <w:color w:val="222222"/>
          <w:sz w:val="20"/>
          <w:szCs w:val="20"/>
          <w:shd w:val="clear" w:color="auto" w:fill="FFFFFF"/>
        </w:rPr>
        <w:t>Micalizzi</w:t>
      </w:r>
      <w:proofErr w:type="spellEnd"/>
      <w:r>
        <w:rPr>
          <w:rFonts w:ascii="Arial" w:hAnsi="Arial" w:cs="Arial"/>
          <w:color w:val="222222"/>
          <w:sz w:val="20"/>
          <w:szCs w:val="20"/>
          <w:shd w:val="clear" w:color="auto" w:fill="FFFFFF"/>
        </w:rPr>
        <w:t xml:space="preserve">, S., Penna, O. and Santamaria, L.B., 2006. Cerebral haemodynamic changes during propofol–remifentanil or sevoflurane anaesthesia: transcranial Doppler study under </w:t>
      </w:r>
      <w:proofErr w:type="spellStart"/>
      <w:r>
        <w:rPr>
          <w:rFonts w:ascii="Arial" w:hAnsi="Arial" w:cs="Arial"/>
          <w:color w:val="222222"/>
          <w:sz w:val="20"/>
          <w:szCs w:val="20"/>
          <w:shd w:val="clear" w:color="auto" w:fill="FFFFFF"/>
        </w:rPr>
        <w:t>bispectral</w:t>
      </w:r>
      <w:proofErr w:type="spellEnd"/>
      <w:r>
        <w:rPr>
          <w:rFonts w:ascii="Arial" w:hAnsi="Arial" w:cs="Arial"/>
          <w:color w:val="222222"/>
          <w:sz w:val="20"/>
          <w:szCs w:val="20"/>
          <w:shd w:val="clear" w:color="auto" w:fill="FFFFFF"/>
        </w:rPr>
        <w:t xml:space="preserve"> index monitoring.</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rPr>
        <w:t>BJA: British Journal of Anaesthesia</w:t>
      </w:r>
      <w:r>
        <w:rPr>
          <w:rFonts w:ascii="Arial" w:hAnsi="Arial" w:cs="Arial"/>
          <w:color w:val="222222"/>
          <w:sz w:val="20"/>
          <w:szCs w:val="20"/>
          <w:shd w:val="clear" w:color="auto" w:fill="FFFFFF"/>
        </w:rPr>
        <w:t>,</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rPr>
        <w:t>97</w:t>
      </w:r>
      <w:r>
        <w:rPr>
          <w:rFonts w:ascii="Arial" w:hAnsi="Arial" w:cs="Arial"/>
          <w:color w:val="222222"/>
          <w:sz w:val="20"/>
          <w:szCs w:val="20"/>
          <w:shd w:val="clear" w:color="auto" w:fill="FFFFFF"/>
        </w:rPr>
        <w:t>(3), pp.333-339.</w:t>
      </w:r>
    </w:p>
    <w:p w14:paraId="795240BC" w14:textId="77777777" w:rsidR="00AB7D4B" w:rsidRDefault="00AB7D4B">
      <w:pPr>
        <w:rPr>
          <w:szCs w:val="20"/>
        </w:rPr>
      </w:pPr>
    </w:p>
    <w:p w14:paraId="406BD642" w14:textId="1A338D07" w:rsidR="00B07548" w:rsidRDefault="00B07548" w:rsidP="00B07548">
      <w:pPr>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Herling</w:t>
      </w:r>
      <w:proofErr w:type="spellEnd"/>
      <w:r>
        <w:rPr>
          <w:rFonts w:ascii="Arial" w:hAnsi="Arial" w:cs="Arial"/>
          <w:color w:val="222222"/>
          <w:sz w:val="20"/>
          <w:szCs w:val="20"/>
          <w:shd w:val="clear" w:color="auto" w:fill="FFFFFF"/>
        </w:rPr>
        <w:t xml:space="preserve">, S.F., </w:t>
      </w:r>
      <w:proofErr w:type="spellStart"/>
      <w:r>
        <w:rPr>
          <w:rFonts w:ascii="Arial" w:hAnsi="Arial" w:cs="Arial"/>
          <w:color w:val="222222"/>
          <w:sz w:val="20"/>
          <w:szCs w:val="20"/>
          <w:shd w:val="clear" w:color="auto" w:fill="FFFFFF"/>
        </w:rPr>
        <w:t>Dreijer</w:t>
      </w:r>
      <w:proofErr w:type="spellEnd"/>
      <w:r>
        <w:rPr>
          <w:rFonts w:ascii="Arial" w:hAnsi="Arial" w:cs="Arial"/>
          <w:color w:val="222222"/>
          <w:sz w:val="20"/>
          <w:szCs w:val="20"/>
          <w:shd w:val="clear" w:color="auto" w:fill="FFFFFF"/>
        </w:rPr>
        <w:t xml:space="preserve">, B., Lam, G.W., Thomsen, T. and </w:t>
      </w:r>
      <w:proofErr w:type="spellStart"/>
      <w:r>
        <w:rPr>
          <w:rFonts w:ascii="Arial" w:hAnsi="Arial" w:cs="Arial"/>
          <w:color w:val="222222"/>
          <w:sz w:val="20"/>
          <w:szCs w:val="20"/>
          <w:shd w:val="clear" w:color="auto" w:fill="FFFFFF"/>
        </w:rPr>
        <w:t>Møller</w:t>
      </w:r>
      <w:proofErr w:type="spellEnd"/>
      <w:r>
        <w:rPr>
          <w:rFonts w:ascii="Arial" w:hAnsi="Arial" w:cs="Arial"/>
          <w:color w:val="222222"/>
          <w:sz w:val="20"/>
          <w:szCs w:val="20"/>
          <w:shd w:val="clear" w:color="auto" w:fill="FFFFFF"/>
        </w:rPr>
        <w:t>, A.M., 2017. Total intravenous anaesthesia versus inhalational anaesthesia for adults undergoing transabdominal robotic assisted laparoscopic surgery.</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rPr>
        <w:t>Cochrane Database of Systematic Reviews</w:t>
      </w:r>
      <w:r>
        <w:rPr>
          <w:rFonts w:ascii="Arial" w:hAnsi="Arial" w:cs="Arial"/>
          <w:color w:val="222222"/>
          <w:sz w:val="20"/>
          <w:szCs w:val="20"/>
          <w:shd w:val="clear" w:color="auto" w:fill="FFFFFF"/>
        </w:rPr>
        <w:t>, (4).</w:t>
      </w:r>
    </w:p>
    <w:p w14:paraId="46B6041C" w14:textId="4FC87359" w:rsidR="00AB7D4B" w:rsidRDefault="00AB7D4B" w:rsidP="00B07548">
      <w:pPr>
        <w:rPr>
          <w:rFonts w:ascii="Arial" w:hAnsi="Arial" w:cs="Arial"/>
          <w:color w:val="222222"/>
          <w:sz w:val="20"/>
          <w:szCs w:val="20"/>
          <w:shd w:val="clear" w:color="auto" w:fill="FFFFFF"/>
        </w:rPr>
      </w:pPr>
    </w:p>
    <w:p w14:paraId="4E50F6C9" w14:textId="65D36C50" w:rsidR="00AB7D4B" w:rsidRDefault="00AB7D4B" w:rsidP="00AB7D4B">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Kalmar, A.F., </w:t>
      </w:r>
      <w:proofErr w:type="spellStart"/>
      <w:r>
        <w:rPr>
          <w:rFonts w:ascii="Arial" w:hAnsi="Arial" w:cs="Arial"/>
          <w:color w:val="222222"/>
          <w:sz w:val="20"/>
          <w:szCs w:val="20"/>
          <w:shd w:val="clear" w:color="auto" w:fill="FFFFFF"/>
        </w:rPr>
        <w:t>Foubert</w:t>
      </w:r>
      <w:proofErr w:type="spellEnd"/>
      <w:r>
        <w:rPr>
          <w:rFonts w:ascii="Arial" w:hAnsi="Arial" w:cs="Arial"/>
          <w:color w:val="222222"/>
          <w:sz w:val="20"/>
          <w:szCs w:val="20"/>
          <w:shd w:val="clear" w:color="auto" w:fill="FFFFFF"/>
        </w:rPr>
        <w:t xml:space="preserve">, L., </w:t>
      </w:r>
      <w:proofErr w:type="spellStart"/>
      <w:r>
        <w:rPr>
          <w:rFonts w:ascii="Arial" w:hAnsi="Arial" w:cs="Arial"/>
          <w:color w:val="222222"/>
          <w:sz w:val="20"/>
          <w:szCs w:val="20"/>
          <w:shd w:val="clear" w:color="auto" w:fill="FFFFFF"/>
        </w:rPr>
        <w:t>Hendrickx</w:t>
      </w:r>
      <w:proofErr w:type="spellEnd"/>
      <w:r>
        <w:rPr>
          <w:rFonts w:ascii="Arial" w:hAnsi="Arial" w:cs="Arial"/>
          <w:color w:val="222222"/>
          <w:sz w:val="20"/>
          <w:szCs w:val="20"/>
          <w:shd w:val="clear" w:color="auto" w:fill="FFFFFF"/>
        </w:rPr>
        <w:t xml:space="preserve">, J.F., </w:t>
      </w:r>
      <w:proofErr w:type="spellStart"/>
      <w:r>
        <w:rPr>
          <w:rFonts w:ascii="Arial" w:hAnsi="Arial" w:cs="Arial"/>
          <w:color w:val="222222"/>
          <w:sz w:val="20"/>
          <w:szCs w:val="20"/>
          <w:shd w:val="clear" w:color="auto" w:fill="FFFFFF"/>
        </w:rPr>
        <w:t>Mottrie</w:t>
      </w:r>
      <w:proofErr w:type="spellEnd"/>
      <w:r>
        <w:rPr>
          <w:rFonts w:ascii="Arial" w:hAnsi="Arial" w:cs="Arial"/>
          <w:color w:val="222222"/>
          <w:sz w:val="20"/>
          <w:szCs w:val="20"/>
          <w:shd w:val="clear" w:color="auto" w:fill="FFFFFF"/>
        </w:rPr>
        <w:t xml:space="preserve">, A., Absalom, A., Mortier, E.P. and </w:t>
      </w:r>
      <w:proofErr w:type="spellStart"/>
      <w:r>
        <w:rPr>
          <w:rFonts w:ascii="Arial" w:hAnsi="Arial" w:cs="Arial"/>
          <w:color w:val="222222"/>
          <w:sz w:val="20"/>
          <w:szCs w:val="20"/>
          <w:shd w:val="clear" w:color="auto" w:fill="FFFFFF"/>
        </w:rPr>
        <w:t>Struys</w:t>
      </w:r>
      <w:proofErr w:type="spellEnd"/>
      <w:r>
        <w:rPr>
          <w:rFonts w:ascii="Arial" w:hAnsi="Arial" w:cs="Arial"/>
          <w:color w:val="222222"/>
          <w:sz w:val="20"/>
          <w:szCs w:val="20"/>
          <w:shd w:val="clear" w:color="auto" w:fill="FFFFFF"/>
        </w:rPr>
        <w:t>, M.M., 2010. Influence of steep Trendelenburg position and CO2 pneumoperitoneum on cardiovascular, cerebrovascular, and respiratory homeostasis during robotic prostatectomy.</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rPr>
        <w:t>British journal of anaesthesia</w:t>
      </w:r>
      <w:r>
        <w:rPr>
          <w:rFonts w:ascii="Arial" w:hAnsi="Arial" w:cs="Arial"/>
          <w:color w:val="222222"/>
          <w:sz w:val="20"/>
          <w:szCs w:val="20"/>
          <w:shd w:val="clear" w:color="auto" w:fill="FFFFFF"/>
        </w:rPr>
        <w:t>,</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rPr>
        <w:t>104</w:t>
      </w:r>
      <w:r>
        <w:rPr>
          <w:rFonts w:ascii="Arial" w:hAnsi="Arial" w:cs="Arial"/>
          <w:color w:val="222222"/>
          <w:sz w:val="20"/>
          <w:szCs w:val="20"/>
          <w:shd w:val="clear" w:color="auto" w:fill="FFFFFF"/>
        </w:rPr>
        <w:t>(4), pp.433-439.</w:t>
      </w:r>
    </w:p>
    <w:p w14:paraId="5A355432" w14:textId="77777777" w:rsidR="000B7ACC" w:rsidRDefault="000B7ACC" w:rsidP="00AB7D4B"/>
    <w:p w14:paraId="04FAFAEA" w14:textId="77777777" w:rsidR="000F0F4B" w:rsidRDefault="000F0F4B" w:rsidP="000F0F4B">
      <w:r>
        <w:rPr>
          <w:rFonts w:ascii="Arial" w:hAnsi="Arial" w:cs="Arial"/>
          <w:color w:val="222222"/>
          <w:sz w:val="20"/>
          <w:szCs w:val="20"/>
          <w:shd w:val="clear" w:color="auto" w:fill="FFFFFF"/>
        </w:rPr>
        <w:t xml:space="preserve">Schramm P, </w:t>
      </w:r>
      <w:proofErr w:type="spellStart"/>
      <w:r>
        <w:rPr>
          <w:rFonts w:ascii="Arial" w:hAnsi="Arial" w:cs="Arial"/>
          <w:color w:val="222222"/>
          <w:sz w:val="20"/>
          <w:szCs w:val="20"/>
          <w:shd w:val="clear" w:color="auto" w:fill="FFFFFF"/>
        </w:rPr>
        <w:t>Treiber</w:t>
      </w:r>
      <w:proofErr w:type="spellEnd"/>
      <w:r>
        <w:rPr>
          <w:rFonts w:ascii="Arial" w:hAnsi="Arial" w:cs="Arial"/>
          <w:color w:val="222222"/>
          <w:sz w:val="20"/>
          <w:szCs w:val="20"/>
          <w:shd w:val="clear" w:color="auto" w:fill="FFFFFF"/>
        </w:rPr>
        <w:t xml:space="preserve"> AH, </w:t>
      </w:r>
      <w:proofErr w:type="spellStart"/>
      <w:r>
        <w:rPr>
          <w:rFonts w:ascii="Arial" w:hAnsi="Arial" w:cs="Arial"/>
          <w:color w:val="222222"/>
          <w:sz w:val="20"/>
          <w:szCs w:val="20"/>
          <w:shd w:val="clear" w:color="auto" w:fill="FFFFFF"/>
        </w:rPr>
        <w:t>Berres</w:t>
      </w:r>
      <w:proofErr w:type="spellEnd"/>
      <w:r>
        <w:rPr>
          <w:rFonts w:ascii="Arial" w:hAnsi="Arial" w:cs="Arial"/>
          <w:color w:val="222222"/>
          <w:sz w:val="20"/>
          <w:szCs w:val="20"/>
          <w:shd w:val="clear" w:color="auto" w:fill="FFFFFF"/>
        </w:rPr>
        <w:t xml:space="preserve"> M, </w:t>
      </w:r>
      <w:proofErr w:type="spellStart"/>
      <w:r>
        <w:rPr>
          <w:rFonts w:ascii="Arial" w:hAnsi="Arial" w:cs="Arial"/>
          <w:color w:val="222222"/>
          <w:sz w:val="20"/>
          <w:szCs w:val="20"/>
          <w:shd w:val="clear" w:color="auto" w:fill="FFFFFF"/>
        </w:rPr>
        <w:t>Pestel</w:t>
      </w:r>
      <w:proofErr w:type="spellEnd"/>
      <w:r>
        <w:rPr>
          <w:rFonts w:ascii="Arial" w:hAnsi="Arial" w:cs="Arial"/>
          <w:color w:val="222222"/>
          <w:sz w:val="20"/>
          <w:szCs w:val="20"/>
          <w:shd w:val="clear" w:color="auto" w:fill="FFFFFF"/>
        </w:rPr>
        <w:t xml:space="preserve"> G, Engelhard K, Werner C, </w:t>
      </w:r>
      <w:proofErr w:type="spellStart"/>
      <w:r>
        <w:rPr>
          <w:rFonts w:ascii="Arial" w:hAnsi="Arial" w:cs="Arial"/>
          <w:color w:val="222222"/>
          <w:sz w:val="20"/>
          <w:szCs w:val="20"/>
          <w:shd w:val="clear" w:color="auto" w:fill="FFFFFF"/>
        </w:rPr>
        <w:t>Closhen</w:t>
      </w:r>
      <w:proofErr w:type="spellEnd"/>
      <w:r>
        <w:rPr>
          <w:rFonts w:ascii="Arial" w:hAnsi="Arial" w:cs="Arial"/>
          <w:color w:val="222222"/>
          <w:sz w:val="20"/>
          <w:szCs w:val="20"/>
          <w:shd w:val="clear" w:color="auto" w:fill="FFFFFF"/>
        </w:rPr>
        <w:t xml:space="preserve"> D. Time course of cerebrovascular autoregulation during extreme Trendelenburg position for robotic</w:t>
      </w:r>
      <w:r>
        <w:rPr>
          <w:rFonts w:ascii="Cambria Math" w:hAnsi="Cambria Math" w:cs="Cambria Math"/>
          <w:color w:val="222222"/>
          <w:sz w:val="20"/>
          <w:szCs w:val="20"/>
          <w:shd w:val="clear" w:color="auto" w:fill="FFFFFF"/>
        </w:rPr>
        <w:t>‐</w:t>
      </w:r>
      <w:r>
        <w:rPr>
          <w:rFonts w:ascii="Arial" w:hAnsi="Arial" w:cs="Arial"/>
          <w:color w:val="222222"/>
          <w:sz w:val="20"/>
          <w:szCs w:val="20"/>
          <w:shd w:val="clear" w:color="auto" w:fill="FFFFFF"/>
        </w:rPr>
        <w:t>assisted prostatic surgery. Anaesthesia. 2014 Jan;69(1):58-63.</w:t>
      </w:r>
    </w:p>
    <w:p w14:paraId="040771DB" w14:textId="77777777" w:rsidR="00B07548" w:rsidRDefault="00B07548">
      <w:pPr>
        <w:rPr>
          <w:szCs w:val="20"/>
        </w:rPr>
      </w:pPr>
    </w:p>
    <w:sectPr w:rsidR="00B07548" w:rsidSect="001C49E8">
      <w:headerReference w:type="even" r:id="rId7"/>
      <w:headerReference w:type="default" r:id="rId8"/>
      <w:footerReference w:type="even" r:id="rId9"/>
      <w:footerReference w:type="default" r:id="rId10"/>
      <w:headerReference w:type="first" r:id="rId11"/>
      <w:footerReference w:type="first" r:id="rId12"/>
      <w:pgSz w:w="11907" w:h="16839" w:code="9"/>
      <w:pgMar w:top="1259" w:right="902" w:bottom="993" w:left="902"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252CF" w14:textId="77777777" w:rsidR="008B5055" w:rsidRDefault="008B5055">
      <w:r>
        <w:separator/>
      </w:r>
    </w:p>
  </w:endnote>
  <w:endnote w:type="continuationSeparator" w:id="0">
    <w:p w14:paraId="0EB014AF" w14:textId="77777777" w:rsidR="008B5055" w:rsidRDefault="008B5055">
      <w:r>
        <w:continuationSeparator/>
      </w:r>
    </w:p>
  </w:endnote>
  <w:endnote w:type="continuationNotice" w:id="1">
    <w:p w14:paraId="32BACD84" w14:textId="77777777" w:rsidR="008B5055" w:rsidRDefault="008B50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0602346"/>
      <w:docPartObj>
        <w:docPartGallery w:val="Page Numbers (Bottom of Page)"/>
        <w:docPartUnique/>
      </w:docPartObj>
    </w:sdtPr>
    <w:sdtEndPr>
      <w:rPr>
        <w:rStyle w:val="PageNumber"/>
      </w:rPr>
    </w:sdtEndPr>
    <w:sdtContent>
      <w:p w14:paraId="1608032B" w14:textId="3F45F740" w:rsidR="00C70AFA" w:rsidRDefault="00C70AFA" w:rsidP="009855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AEBD4A" w14:textId="77777777" w:rsidR="00C70AFA" w:rsidRDefault="00C70AFA" w:rsidP="00173C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64956765"/>
      <w:docPartObj>
        <w:docPartGallery w:val="Page Numbers (Bottom of Page)"/>
        <w:docPartUnique/>
      </w:docPartObj>
    </w:sdtPr>
    <w:sdtEndPr>
      <w:rPr>
        <w:rStyle w:val="PageNumber"/>
      </w:rPr>
    </w:sdtEndPr>
    <w:sdtContent>
      <w:p w14:paraId="3C3946E6" w14:textId="15749474" w:rsidR="00C70AFA" w:rsidRDefault="00C70AFA" w:rsidP="009855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F3CEE">
          <w:rPr>
            <w:rStyle w:val="PageNumber"/>
            <w:noProof/>
          </w:rPr>
          <w:t>7</w:t>
        </w:r>
        <w:r>
          <w:rPr>
            <w:rStyle w:val="PageNumber"/>
          </w:rPr>
          <w:fldChar w:fldCharType="end"/>
        </w:r>
      </w:p>
    </w:sdtContent>
  </w:sdt>
  <w:p w14:paraId="653B3A81" w14:textId="77777777" w:rsidR="00FB26B6" w:rsidRDefault="00FB26B6" w:rsidP="00C70AFA">
    <w:pPr>
      <w:pStyle w:val="Footer"/>
      <w:ind w:right="360"/>
      <w:rPr>
        <w:sz w:val="16"/>
      </w:rPr>
    </w:pPr>
  </w:p>
  <w:p w14:paraId="2C404EA4" w14:textId="1A67CAED" w:rsidR="00FB26B6" w:rsidRDefault="002B7275" w:rsidP="00041AF2">
    <w:pPr>
      <w:pStyle w:val="Footer"/>
      <w:tabs>
        <w:tab w:val="clear" w:pos="8306"/>
        <w:tab w:val="right" w:pos="10080"/>
      </w:tabs>
      <w:jc w:val="center"/>
      <w:rPr>
        <w:sz w:val="16"/>
      </w:rPr>
    </w:pPr>
    <w:r>
      <w:rPr>
        <w:sz w:val="16"/>
      </w:rPr>
      <w:t xml:space="preserve">Version </w:t>
    </w:r>
    <w:r w:rsidR="001C49E8">
      <w:rPr>
        <w:sz w:val="16"/>
      </w:rPr>
      <w:t>5</w:t>
    </w:r>
    <w:r w:rsidR="00FB26B6">
      <w:rPr>
        <w:sz w:val="16"/>
      </w:rPr>
      <w:t xml:space="preserve">, </w:t>
    </w:r>
    <w:r>
      <w:rPr>
        <w:sz w:val="16"/>
      </w:rPr>
      <w:t xml:space="preserve">dated </w:t>
    </w:r>
    <w:bookmarkStart w:id="2" w:name="_GoBack"/>
    <w:r w:rsidR="001C49E8">
      <w:rPr>
        <w:sz w:val="16"/>
      </w:rPr>
      <w:t>06/08</w:t>
    </w:r>
    <w:bookmarkEnd w:id="2"/>
    <w:r>
      <w:rPr>
        <w:sz w:val="16"/>
      </w:rPr>
      <w:t>/20</w:t>
    </w:r>
    <w:r w:rsidR="00A506C3">
      <w:rPr>
        <w:sz w:val="16"/>
      </w:rPr>
      <w:t>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A3244" w14:textId="77777777" w:rsidR="00A7551E" w:rsidRDefault="00A755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E16C0" w14:textId="77777777" w:rsidR="008B5055" w:rsidRDefault="008B5055">
      <w:r>
        <w:separator/>
      </w:r>
    </w:p>
  </w:footnote>
  <w:footnote w:type="continuationSeparator" w:id="0">
    <w:p w14:paraId="5821076D" w14:textId="77777777" w:rsidR="008B5055" w:rsidRDefault="008B5055">
      <w:r>
        <w:continuationSeparator/>
      </w:r>
    </w:p>
  </w:footnote>
  <w:footnote w:type="continuationNotice" w:id="1">
    <w:p w14:paraId="161334A4" w14:textId="77777777" w:rsidR="008B5055" w:rsidRDefault="008B50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0067E" w14:textId="77777777" w:rsidR="00A7551E" w:rsidRDefault="00A755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B5C28" w14:textId="77777777" w:rsidR="00A7551E" w:rsidRDefault="00A755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C5246" w14:textId="77777777" w:rsidR="00A7551E" w:rsidRDefault="00A755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B0017"/>
    <w:multiLevelType w:val="hybridMultilevel"/>
    <w:tmpl w:val="5E7415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7F84140"/>
    <w:multiLevelType w:val="hybridMultilevel"/>
    <w:tmpl w:val="5678B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BE55AB"/>
    <w:multiLevelType w:val="hybridMultilevel"/>
    <w:tmpl w:val="7C0E92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6380F3F"/>
    <w:multiLevelType w:val="hybridMultilevel"/>
    <w:tmpl w:val="191CBE58"/>
    <w:lvl w:ilvl="0" w:tplc="07966678">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4E1B22"/>
    <w:multiLevelType w:val="hybridMultilevel"/>
    <w:tmpl w:val="43706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FEF"/>
    <w:rsid w:val="00025199"/>
    <w:rsid w:val="00041AF2"/>
    <w:rsid w:val="00050CBA"/>
    <w:rsid w:val="00051351"/>
    <w:rsid w:val="000568C5"/>
    <w:rsid w:val="000614C0"/>
    <w:rsid w:val="00065A42"/>
    <w:rsid w:val="000731FF"/>
    <w:rsid w:val="00073385"/>
    <w:rsid w:val="000A1512"/>
    <w:rsid w:val="000B7ACC"/>
    <w:rsid w:val="000F0F4B"/>
    <w:rsid w:val="00102365"/>
    <w:rsid w:val="00103FEF"/>
    <w:rsid w:val="00112016"/>
    <w:rsid w:val="00121817"/>
    <w:rsid w:val="00122AA9"/>
    <w:rsid w:val="00123348"/>
    <w:rsid w:val="0012657B"/>
    <w:rsid w:val="00134FFE"/>
    <w:rsid w:val="00143D33"/>
    <w:rsid w:val="001461B1"/>
    <w:rsid w:val="001509AE"/>
    <w:rsid w:val="00173C34"/>
    <w:rsid w:val="001C49E8"/>
    <w:rsid w:val="001F1B72"/>
    <w:rsid w:val="001F6B53"/>
    <w:rsid w:val="002200B7"/>
    <w:rsid w:val="002409CA"/>
    <w:rsid w:val="002B7275"/>
    <w:rsid w:val="002C5193"/>
    <w:rsid w:val="002F329A"/>
    <w:rsid w:val="002F3CEE"/>
    <w:rsid w:val="002F4D8A"/>
    <w:rsid w:val="00327454"/>
    <w:rsid w:val="00345659"/>
    <w:rsid w:val="003A7979"/>
    <w:rsid w:val="003B083A"/>
    <w:rsid w:val="003B3273"/>
    <w:rsid w:val="003C05FD"/>
    <w:rsid w:val="003C2FC4"/>
    <w:rsid w:val="003C58A3"/>
    <w:rsid w:val="0040119F"/>
    <w:rsid w:val="00413CEC"/>
    <w:rsid w:val="00416ABC"/>
    <w:rsid w:val="00441472"/>
    <w:rsid w:val="004B7B5E"/>
    <w:rsid w:val="004C73CC"/>
    <w:rsid w:val="004D4F5B"/>
    <w:rsid w:val="004F4DFB"/>
    <w:rsid w:val="004F6E3A"/>
    <w:rsid w:val="005018B4"/>
    <w:rsid w:val="00526341"/>
    <w:rsid w:val="005342EE"/>
    <w:rsid w:val="00552CDF"/>
    <w:rsid w:val="00585BB2"/>
    <w:rsid w:val="005C3C33"/>
    <w:rsid w:val="005D57A5"/>
    <w:rsid w:val="006021D6"/>
    <w:rsid w:val="00614D1C"/>
    <w:rsid w:val="006233EB"/>
    <w:rsid w:val="00661D33"/>
    <w:rsid w:val="006C1595"/>
    <w:rsid w:val="006E4807"/>
    <w:rsid w:val="007348CC"/>
    <w:rsid w:val="00790875"/>
    <w:rsid w:val="00791836"/>
    <w:rsid w:val="007922B4"/>
    <w:rsid w:val="007F3CDB"/>
    <w:rsid w:val="00805EA7"/>
    <w:rsid w:val="008104AF"/>
    <w:rsid w:val="008273F8"/>
    <w:rsid w:val="0083098E"/>
    <w:rsid w:val="008B5055"/>
    <w:rsid w:val="00924389"/>
    <w:rsid w:val="00955CCE"/>
    <w:rsid w:val="0099760F"/>
    <w:rsid w:val="009A1F04"/>
    <w:rsid w:val="009A23AE"/>
    <w:rsid w:val="009B126E"/>
    <w:rsid w:val="009F63C9"/>
    <w:rsid w:val="00A506C3"/>
    <w:rsid w:val="00A7176D"/>
    <w:rsid w:val="00A7551E"/>
    <w:rsid w:val="00AB7D4B"/>
    <w:rsid w:val="00AC0BA7"/>
    <w:rsid w:val="00AD4511"/>
    <w:rsid w:val="00B01490"/>
    <w:rsid w:val="00B07548"/>
    <w:rsid w:val="00B3456F"/>
    <w:rsid w:val="00B36EBF"/>
    <w:rsid w:val="00B74998"/>
    <w:rsid w:val="00B8131D"/>
    <w:rsid w:val="00BB0C79"/>
    <w:rsid w:val="00C37E71"/>
    <w:rsid w:val="00C66EB0"/>
    <w:rsid w:val="00C70AFA"/>
    <w:rsid w:val="00CB620E"/>
    <w:rsid w:val="00CF0043"/>
    <w:rsid w:val="00D23C1B"/>
    <w:rsid w:val="00D352B5"/>
    <w:rsid w:val="00D35866"/>
    <w:rsid w:val="00D45AE0"/>
    <w:rsid w:val="00D76197"/>
    <w:rsid w:val="00D814CD"/>
    <w:rsid w:val="00E244FD"/>
    <w:rsid w:val="00E315FA"/>
    <w:rsid w:val="00E32AEB"/>
    <w:rsid w:val="00E711C5"/>
    <w:rsid w:val="00E739D0"/>
    <w:rsid w:val="00E8027A"/>
    <w:rsid w:val="00EB1FB4"/>
    <w:rsid w:val="00EB6FE5"/>
    <w:rsid w:val="00F2127A"/>
    <w:rsid w:val="00F4515C"/>
    <w:rsid w:val="00F6518A"/>
    <w:rsid w:val="00F66985"/>
    <w:rsid w:val="00FB26B6"/>
    <w:rsid w:val="00FF27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2E086F"/>
  <w15:docId w15:val="{C1E2D749-B127-164A-94FD-A71B89FD3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0F4B"/>
    <w:rPr>
      <w:sz w:val="24"/>
      <w:szCs w:val="24"/>
    </w:rPr>
  </w:style>
  <w:style w:type="paragraph" w:styleId="Heading1">
    <w:name w:val="heading 1"/>
    <w:basedOn w:val="Normal"/>
    <w:next w:val="Normal"/>
    <w:qFormat/>
    <w:pPr>
      <w:keepNext/>
      <w:outlineLvl w:val="0"/>
    </w:pPr>
    <w:rPr>
      <w:b/>
      <w:szCs w:val="20"/>
    </w:rPr>
  </w:style>
  <w:style w:type="paragraph" w:styleId="Heading2">
    <w:name w:val="heading 2"/>
    <w:basedOn w:val="Normal"/>
    <w:next w:val="Normal"/>
    <w:qFormat/>
    <w:pPr>
      <w:keepNext/>
      <w:outlineLvl w:val="1"/>
    </w:pPr>
    <w:rPr>
      <w:szCs w:val="20"/>
      <w:u w:val="single"/>
    </w:rPr>
  </w:style>
  <w:style w:type="paragraph" w:styleId="Heading3">
    <w:name w:val="heading 3"/>
    <w:basedOn w:val="Normal"/>
    <w:next w:val="Normal"/>
    <w:qFormat/>
    <w:pPr>
      <w:keepNext/>
      <w:ind w:left="720"/>
      <w:outlineLvl w:val="2"/>
    </w:pPr>
    <w:rPr>
      <w:i/>
      <w:szCs w:val="20"/>
    </w:rPr>
  </w:style>
  <w:style w:type="paragraph" w:styleId="Heading4">
    <w:name w:val="heading 4"/>
    <w:basedOn w:val="Normal"/>
    <w:next w:val="Normal"/>
    <w:qFormat/>
    <w:pPr>
      <w:keepNext/>
      <w:ind w:firstLine="720"/>
      <w:outlineLvl w:val="3"/>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i/>
      <w:iCs/>
      <w:sz w:val="28"/>
      <w:szCs w:val="20"/>
      <w:u w:val="singl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jc w:val="center"/>
    </w:pPr>
    <w:rPr>
      <w:sz w:val="28"/>
      <w:szCs w:val="20"/>
    </w:rPr>
  </w:style>
  <w:style w:type="paragraph" w:styleId="BodyText2">
    <w:name w:val="Body Text 2"/>
    <w:basedOn w:val="Normal"/>
    <w:semiHidden/>
    <w:rPr>
      <w:i/>
      <w:szCs w:val="20"/>
    </w:rPr>
  </w:style>
  <w:style w:type="paragraph" w:styleId="BodyTextIndent">
    <w:name w:val="Body Text Indent"/>
    <w:basedOn w:val="Normal"/>
    <w:semiHidden/>
    <w:pPr>
      <w:ind w:left="720"/>
    </w:pPr>
    <w:rPr>
      <w:i/>
      <w:szCs w:val="20"/>
    </w:rPr>
  </w:style>
  <w:style w:type="paragraph" w:styleId="ListParagraph">
    <w:name w:val="List Paragraph"/>
    <w:basedOn w:val="Normal"/>
    <w:uiPriority w:val="34"/>
    <w:qFormat/>
    <w:rsid w:val="00B07548"/>
    <w:pPr>
      <w:ind w:left="720"/>
    </w:pPr>
  </w:style>
  <w:style w:type="character" w:customStyle="1" w:styleId="apple-converted-space">
    <w:name w:val="apple-converted-space"/>
    <w:rsid w:val="00B07548"/>
  </w:style>
  <w:style w:type="character" w:styleId="PlaceholderText">
    <w:name w:val="Placeholder Text"/>
    <w:basedOn w:val="DefaultParagraphFont"/>
    <w:uiPriority w:val="99"/>
    <w:semiHidden/>
    <w:rsid w:val="00AC0BA7"/>
    <w:rPr>
      <w:color w:val="808080"/>
    </w:rPr>
  </w:style>
  <w:style w:type="paragraph" w:styleId="BalloonText">
    <w:name w:val="Balloon Text"/>
    <w:basedOn w:val="Normal"/>
    <w:link w:val="BalloonTextChar"/>
    <w:uiPriority w:val="99"/>
    <w:semiHidden/>
    <w:unhideWhenUsed/>
    <w:rsid w:val="000568C5"/>
    <w:rPr>
      <w:sz w:val="18"/>
      <w:szCs w:val="18"/>
    </w:rPr>
  </w:style>
  <w:style w:type="character" w:customStyle="1" w:styleId="BalloonTextChar">
    <w:name w:val="Balloon Text Char"/>
    <w:basedOn w:val="DefaultParagraphFont"/>
    <w:link w:val="BalloonText"/>
    <w:uiPriority w:val="99"/>
    <w:semiHidden/>
    <w:rsid w:val="000568C5"/>
    <w:rPr>
      <w:sz w:val="18"/>
      <w:szCs w:val="18"/>
    </w:rPr>
  </w:style>
  <w:style w:type="character" w:styleId="CommentReference">
    <w:name w:val="annotation reference"/>
    <w:basedOn w:val="DefaultParagraphFont"/>
    <w:uiPriority w:val="99"/>
    <w:semiHidden/>
    <w:unhideWhenUsed/>
    <w:rsid w:val="00A7176D"/>
    <w:rPr>
      <w:sz w:val="16"/>
      <w:szCs w:val="16"/>
    </w:rPr>
  </w:style>
  <w:style w:type="paragraph" w:styleId="CommentText">
    <w:name w:val="annotation text"/>
    <w:basedOn w:val="Normal"/>
    <w:link w:val="CommentTextChar"/>
    <w:uiPriority w:val="99"/>
    <w:semiHidden/>
    <w:unhideWhenUsed/>
    <w:rsid w:val="00A7176D"/>
    <w:rPr>
      <w:sz w:val="20"/>
      <w:szCs w:val="20"/>
    </w:rPr>
  </w:style>
  <w:style w:type="character" w:customStyle="1" w:styleId="CommentTextChar">
    <w:name w:val="Comment Text Char"/>
    <w:basedOn w:val="DefaultParagraphFont"/>
    <w:link w:val="CommentText"/>
    <w:uiPriority w:val="99"/>
    <w:semiHidden/>
    <w:rsid w:val="00A7176D"/>
  </w:style>
  <w:style w:type="paragraph" w:styleId="CommentSubject">
    <w:name w:val="annotation subject"/>
    <w:basedOn w:val="CommentText"/>
    <w:next w:val="CommentText"/>
    <w:link w:val="CommentSubjectChar"/>
    <w:uiPriority w:val="99"/>
    <w:semiHidden/>
    <w:unhideWhenUsed/>
    <w:rsid w:val="00A7176D"/>
    <w:rPr>
      <w:b/>
      <w:bCs/>
    </w:rPr>
  </w:style>
  <w:style w:type="character" w:customStyle="1" w:styleId="CommentSubjectChar">
    <w:name w:val="Comment Subject Char"/>
    <w:basedOn w:val="CommentTextChar"/>
    <w:link w:val="CommentSubject"/>
    <w:uiPriority w:val="99"/>
    <w:semiHidden/>
    <w:rsid w:val="00A7176D"/>
    <w:rPr>
      <w:b/>
      <w:bCs/>
    </w:rPr>
  </w:style>
  <w:style w:type="character" w:styleId="PageNumber">
    <w:name w:val="page number"/>
    <w:basedOn w:val="DefaultParagraphFont"/>
    <w:uiPriority w:val="99"/>
    <w:semiHidden/>
    <w:unhideWhenUsed/>
    <w:rsid w:val="00C70AFA"/>
  </w:style>
  <w:style w:type="paragraph" w:styleId="Revision">
    <w:name w:val="Revision"/>
    <w:hidden/>
    <w:uiPriority w:val="99"/>
    <w:semiHidden/>
    <w:rsid w:val="00041A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57439">
      <w:bodyDiv w:val="1"/>
      <w:marLeft w:val="0"/>
      <w:marRight w:val="0"/>
      <w:marTop w:val="0"/>
      <w:marBottom w:val="0"/>
      <w:divBdr>
        <w:top w:val="none" w:sz="0" w:space="0" w:color="auto"/>
        <w:left w:val="none" w:sz="0" w:space="0" w:color="auto"/>
        <w:bottom w:val="none" w:sz="0" w:space="0" w:color="auto"/>
        <w:right w:val="none" w:sz="0" w:space="0" w:color="auto"/>
      </w:divBdr>
    </w:div>
    <w:div w:id="350375158">
      <w:bodyDiv w:val="1"/>
      <w:marLeft w:val="0"/>
      <w:marRight w:val="0"/>
      <w:marTop w:val="0"/>
      <w:marBottom w:val="0"/>
      <w:divBdr>
        <w:top w:val="none" w:sz="0" w:space="0" w:color="auto"/>
        <w:left w:val="none" w:sz="0" w:space="0" w:color="auto"/>
        <w:bottom w:val="none" w:sz="0" w:space="0" w:color="auto"/>
        <w:right w:val="none" w:sz="0" w:space="0" w:color="auto"/>
      </w:divBdr>
    </w:div>
    <w:div w:id="487330111">
      <w:bodyDiv w:val="1"/>
      <w:marLeft w:val="0"/>
      <w:marRight w:val="0"/>
      <w:marTop w:val="0"/>
      <w:marBottom w:val="0"/>
      <w:divBdr>
        <w:top w:val="none" w:sz="0" w:space="0" w:color="auto"/>
        <w:left w:val="none" w:sz="0" w:space="0" w:color="auto"/>
        <w:bottom w:val="none" w:sz="0" w:space="0" w:color="auto"/>
        <w:right w:val="none" w:sz="0" w:space="0" w:color="auto"/>
      </w:divBdr>
    </w:div>
    <w:div w:id="696662542">
      <w:bodyDiv w:val="1"/>
      <w:marLeft w:val="0"/>
      <w:marRight w:val="0"/>
      <w:marTop w:val="0"/>
      <w:marBottom w:val="0"/>
      <w:divBdr>
        <w:top w:val="none" w:sz="0" w:space="0" w:color="auto"/>
        <w:left w:val="none" w:sz="0" w:space="0" w:color="auto"/>
        <w:bottom w:val="none" w:sz="0" w:space="0" w:color="auto"/>
        <w:right w:val="none" w:sz="0" w:space="0" w:color="auto"/>
      </w:divBdr>
    </w:div>
    <w:div w:id="832261078">
      <w:bodyDiv w:val="1"/>
      <w:marLeft w:val="0"/>
      <w:marRight w:val="0"/>
      <w:marTop w:val="0"/>
      <w:marBottom w:val="0"/>
      <w:divBdr>
        <w:top w:val="none" w:sz="0" w:space="0" w:color="auto"/>
        <w:left w:val="none" w:sz="0" w:space="0" w:color="auto"/>
        <w:bottom w:val="none" w:sz="0" w:space="0" w:color="auto"/>
        <w:right w:val="none" w:sz="0" w:space="0" w:color="auto"/>
      </w:divBdr>
    </w:div>
    <w:div w:id="860900163">
      <w:bodyDiv w:val="1"/>
      <w:marLeft w:val="0"/>
      <w:marRight w:val="0"/>
      <w:marTop w:val="0"/>
      <w:marBottom w:val="0"/>
      <w:divBdr>
        <w:top w:val="none" w:sz="0" w:space="0" w:color="auto"/>
        <w:left w:val="none" w:sz="0" w:space="0" w:color="auto"/>
        <w:bottom w:val="none" w:sz="0" w:space="0" w:color="auto"/>
        <w:right w:val="none" w:sz="0" w:space="0" w:color="auto"/>
      </w:divBdr>
    </w:div>
    <w:div w:id="1089040924">
      <w:bodyDiv w:val="1"/>
      <w:marLeft w:val="0"/>
      <w:marRight w:val="0"/>
      <w:marTop w:val="0"/>
      <w:marBottom w:val="0"/>
      <w:divBdr>
        <w:top w:val="none" w:sz="0" w:space="0" w:color="auto"/>
        <w:left w:val="none" w:sz="0" w:space="0" w:color="auto"/>
        <w:bottom w:val="none" w:sz="0" w:space="0" w:color="auto"/>
        <w:right w:val="none" w:sz="0" w:space="0" w:color="auto"/>
      </w:divBdr>
    </w:div>
    <w:div w:id="1379821672">
      <w:bodyDiv w:val="1"/>
      <w:marLeft w:val="0"/>
      <w:marRight w:val="0"/>
      <w:marTop w:val="0"/>
      <w:marBottom w:val="0"/>
      <w:divBdr>
        <w:top w:val="none" w:sz="0" w:space="0" w:color="auto"/>
        <w:left w:val="none" w:sz="0" w:space="0" w:color="auto"/>
        <w:bottom w:val="none" w:sz="0" w:space="0" w:color="auto"/>
        <w:right w:val="none" w:sz="0" w:space="0" w:color="auto"/>
      </w:divBdr>
    </w:div>
    <w:div w:id="1480028548">
      <w:bodyDiv w:val="1"/>
      <w:marLeft w:val="0"/>
      <w:marRight w:val="0"/>
      <w:marTop w:val="0"/>
      <w:marBottom w:val="0"/>
      <w:divBdr>
        <w:top w:val="none" w:sz="0" w:space="0" w:color="auto"/>
        <w:left w:val="none" w:sz="0" w:space="0" w:color="auto"/>
        <w:bottom w:val="none" w:sz="0" w:space="0" w:color="auto"/>
        <w:right w:val="none" w:sz="0" w:space="0" w:color="auto"/>
      </w:divBdr>
    </w:div>
    <w:div w:id="1771504352">
      <w:bodyDiv w:val="1"/>
      <w:marLeft w:val="0"/>
      <w:marRight w:val="0"/>
      <w:marTop w:val="0"/>
      <w:marBottom w:val="0"/>
      <w:divBdr>
        <w:top w:val="none" w:sz="0" w:space="0" w:color="auto"/>
        <w:left w:val="none" w:sz="0" w:space="0" w:color="auto"/>
        <w:bottom w:val="none" w:sz="0" w:space="0" w:color="auto"/>
        <w:right w:val="none" w:sz="0" w:space="0" w:color="auto"/>
      </w:divBdr>
    </w:div>
    <w:div w:id="2049911209">
      <w:bodyDiv w:val="1"/>
      <w:marLeft w:val="0"/>
      <w:marRight w:val="0"/>
      <w:marTop w:val="0"/>
      <w:marBottom w:val="0"/>
      <w:divBdr>
        <w:top w:val="none" w:sz="0" w:space="0" w:color="auto"/>
        <w:left w:val="none" w:sz="0" w:space="0" w:color="auto"/>
        <w:bottom w:val="none" w:sz="0" w:space="0" w:color="auto"/>
        <w:right w:val="none" w:sz="0" w:space="0" w:color="auto"/>
      </w:divBdr>
    </w:div>
    <w:div w:id="206617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2493</Words>
  <Characters>14212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The following is a suggested guide to how a research protocol/application to the Concord Repatriation General Hospital Human Research Ethics Committee should be set out</vt:lpstr>
    </vt:vector>
  </TitlesOfParts>
  <Company>SSWAHS</Company>
  <LinksUpToDate>false</LinksUpToDate>
  <CharactersWithSpaces>16672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is a suggested guide to how a research protocol/application to the Concord Repatriation General Hospital Human Research Ethics Committee should be set out</dc:title>
  <dc:creator>winston</dc:creator>
  <cp:lastModifiedBy>Interviewer</cp:lastModifiedBy>
  <cp:revision>2</cp:revision>
  <cp:lastPrinted>2019-08-19T09:34:00Z</cp:lastPrinted>
  <dcterms:created xsi:type="dcterms:W3CDTF">2019-08-19T09:36:00Z</dcterms:created>
  <dcterms:modified xsi:type="dcterms:W3CDTF">2019-08-19T09:36:00Z</dcterms:modified>
</cp:coreProperties>
</file>