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6A507" w14:textId="18B91593" w:rsidR="005E12FA" w:rsidRPr="00A91B85" w:rsidRDefault="00F9202F" w:rsidP="00A91B85">
      <w:pPr>
        <w:rPr>
          <w:b/>
          <w:bCs/>
          <w:sz w:val="32"/>
          <w:szCs w:val="32"/>
        </w:rPr>
      </w:pPr>
      <w:bookmarkStart w:id="0" w:name="_GoBack"/>
      <w:r w:rsidRPr="006F0B88">
        <w:rPr>
          <w:b/>
          <w:bCs/>
          <w:sz w:val="32"/>
          <w:szCs w:val="32"/>
        </w:rPr>
        <w:t xml:space="preserve">Retention and </w:t>
      </w:r>
      <w:r w:rsidR="005E12FA" w:rsidRPr="006F0B88">
        <w:rPr>
          <w:b/>
          <w:bCs/>
          <w:sz w:val="32"/>
          <w:szCs w:val="32"/>
        </w:rPr>
        <w:t>Remineralization effect of moisture tolerant resin-based sealant and glass ionomer sealant on non-Cavitated Incipient Pit and Fissure Caries: Randomized clinical study.</w:t>
      </w:r>
    </w:p>
    <w:bookmarkEnd w:id="0"/>
    <w:p w14:paraId="34BF080B" w14:textId="2FDA50D2" w:rsidR="005E12FA" w:rsidRDefault="005E12FA" w:rsidP="00543ABF">
      <w:pPr>
        <w:jc w:val="both"/>
        <w:rPr>
          <w:b/>
          <w:bCs/>
        </w:rPr>
      </w:pPr>
      <w:r>
        <w:rPr>
          <w:b/>
          <w:bCs/>
        </w:rPr>
        <w:t>Material and methods:</w:t>
      </w:r>
    </w:p>
    <w:p w14:paraId="49FED2AE" w14:textId="132A6EE2" w:rsidR="00C95F5D" w:rsidRDefault="00D04BAF" w:rsidP="00543ABF">
      <w:pPr>
        <w:jc w:val="both"/>
      </w:pPr>
      <w:r>
        <w:t xml:space="preserve">Ethical approval to conduct this study </w:t>
      </w:r>
      <w:r w:rsidR="00347886">
        <w:t>will be</w:t>
      </w:r>
      <w:r>
        <w:t xml:space="preserve"> obtained from the Ethical committee of Damascus university, Faculty of dentistry. Written Informed consents that describe the purpose and scope of this study will be signed by parents or guardians of all children </w:t>
      </w:r>
      <w:r w:rsidR="00C95F5D">
        <w:t>included</w:t>
      </w:r>
      <w:r>
        <w:t xml:space="preserve"> in this study.</w:t>
      </w:r>
    </w:p>
    <w:p w14:paraId="461D1EC9" w14:textId="10485E4F" w:rsidR="00C95F5D" w:rsidRDefault="00C95F5D" w:rsidP="00543ABF">
      <w:pPr>
        <w:jc w:val="both"/>
      </w:pPr>
      <w:r>
        <w:t>Th</w:t>
      </w:r>
      <w:r w:rsidR="00DE25B0">
        <w:t>e</w:t>
      </w:r>
      <w:r>
        <w:t xml:space="preserve"> study</w:t>
      </w:r>
      <w:r w:rsidR="00A11EF4">
        <w:t xml:space="preserve"> design</w:t>
      </w:r>
      <w:r>
        <w:t xml:space="preserve"> will be a single blind, split-mouth, randomized clinical trial.</w:t>
      </w:r>
    </w:p>
    <w:p w14:paraId="655B42F5" w14:textId="7C22DD53" w:rsidR="005E12FA" w:rsidRDefault="00C95F5D" w:rsidP="00543ABF">
      <w:pPr>
        <w:jc w:val="both"/>
        <w:rPr>
          <w:b/>
          <w:bCs/>
        </w:rPr>
      </w:pPr>
      <w:r>
        <w:rPr>
          <w:b/>
          <w:bCs/>
        </w:rPr>
        <w:t>Sample size</w:t>
      </w:r>
    </w:p>
    <w:p w14:paraId="72464382" w14:textId="723F58DB" w:rsidR="00C95F5D" w:rsidRDefault="00C95F5D" w:rsidP="00543ABF">
      <w:pPr>
        <w:jc w:val="both"/>
      </w:pPr>
      <w:r>
        <w:t xml:space="preserve">Sample size was calculated using g-power 3.1 software. </w:t>
      </w:r>
      <w:r w:rsidR="00A11EF4" w:rsidRPr="00A11EF4">
        <w:t>The significance level</w:t>
      </w:r>
      <w:r w:rsidR="00A11EF4">
        <w:t xml:space="preserve"> was set at 0.05 and the </w:t>
      </w:r>
      <w:r>
        <w:t xml:space="preserve">power of the study was set to be </w:t>
      </w:r>
      <w:r w:rsidR="00A11EF4">
        <w:t>0.</w:t>
      </w:r>
      <w:r w:rsidR="00BB4E4C">
        <w:t>80</w:t>
      </w:r>
      <w:r w:rsidR="00A11EF4">
        <w:t xml:space="preserve">. </w:t>
      </w:r>
    </w:p>
    <w:p w14:paraId="0CC10B8A" w14:textId="21086722" w:rsidR="00A11EF4" w:rsidRDefault="00A11EF4" w:rsidP="00543ABF">
      <w:pPr>
        <w:jc w:val="both"/>
      </w:pPr>
      <w:r>
        <w:t xml:space="preserve">Based on a </w:t>
      </w:r>
      <w:r w:rsidR="00B7431B">
        <w:t>two-sample</w:t>
      </w:r>
      <w:r>
        <w:t xml:space="preserve"> t-test, it was estimated that </w:t>
      </w:r>
      <w:r w:rsidR="00BB4E4C">
        <w:t>68 teeth/34 participants</w:t>
      </w:r>
      <w:r>
        <w:t xml:space="preserve"> were required to demonstrate an effect size (0.4) in the average </w:t>
      </w:r>
      <w:r w:rsidR="00B7431B">
        <w:t>proportion</w:t>
      </w:r>
      <w:r>
        <w:t xml:space="preserve"> of rem</w:t>
      </w:r>
      <w:r w:rsidR="00B7431B">
        <w:t>ineralized incipient pit and fissure caries.</w:t>
      </w:r>
    </w:p>
    <w:p w14:paraId="16600169" w14:textId="5B522142" w:rsidR="00B7431B" w:rsidRDefault="00B7431B" w:rsidP="00543ABF">
      <w:pPr>
        <w:jc w:val="both"/>
      </w:pPr>
      <w:r>
        <w:t xml:space="preserve">Sample size will be raised to </w:t>
      </w:r>
      <w:r w:rsidR="00F7487E">
        <w:t>80 teeth/</w:t>
      </w:r>
      <w:r>
        <w:t xml:space="preserve">40 patients to avoid the </w:t>
      </w:r>
      <w:r w:rsidR="00BB4E4C">
        <w:t xml:space="preserve">negative </w:t>
      </w:r>
      <w:r>
        <w:t>effect of the possible drop rate.</w:t>
      </w:r>
    </w:p>
    <w:p w14:paraId="268C58ED" w14:textId="3A500BD6" w:rsidR="00B7431B" w:rsidRPr="00E24FC7" w:rsidRDefault="00E24FC7" w:rsidP="00543ABF">
      <w:pPr>
        <w:jc w:val="both"/>
        <w:rPr>
          <w:b/>
          <w:bCs/>
        </w:rPr>
      </w:pPr>
      <w:r w:rsidRPr="00E24FC7">
        <w:rPr>
          <w:b/>
          <w:bCs/>
        </w:rPr>
        <w:t>Inclusion criteria</w:t>
      </w:r>
    </w:p>
    <w:p w14:paraId="321B90F9" w14:textId="44F351CF" w:rsidR="00B7431B" w:rsidRDefault="00BB4E4C" w:rsidP="00543ABF">
      <w:pPr>
        <w:jc w:val="both"/>
      </w:pPr>
      <w:r>
        <w:t xml:space="preserve">40 </w:t>
      </w:r>
      <w:r w:rsidR="00704741">
        <w:t xml:space="preserve">Participants will be selected from patients attending Pedodontics department at the faculty of dentistry, Damascus University </w:t>
      </w:r>
      <w:r w:rsidR="00DE25B0">
        <w:t xml:space="preserve">that match the following </w:t>
      </w:r>
      <w:r w:rsidR="00704741">
        <w:t>Inclusion criteria:</w:t>
      </w:r>
    </w:p>
    <w:p w14:paraId="4596478B" w14:textId="77777777" w:rsidR="00543ABF" w:rsidRDefault="00543ABF" w:rsidP="00543ABF">
      <w:pPr>
        <w:jc w:val="both"/>
      </w:pPr>
    </w:p>
    <w:p w14:paraId="21EDF2A0" w14:textId="62860AA5" w:rsidR="00DE25B0" w:rsidRDefault="00DE25B0" w:rsidP="00543ABF">
      <w:pPr>
        <w:jc w:val="both"/>
      </w:pPr>
      <w:r>
        <w:lastRenderedPageBreak/>
        <w:t>Patient related criteria:</w:t>
      </w:r>
    </w:p>
    <w:p w14:paraId="7120A84E" w14:textId="3B54E8D2" w:rsidR="00DE25B0" w:rsidRDefault="00A32393" w:rsidP="00543ABF">
      <w:pPr>
        <w:pStyle w:val="ListParagraph"/>
        <w:numPr>
          <w:ilvl w:val="0"/>
          <w:numId w:val="1"/>
        </w:numPr>
        <w:jc w:val="both"/>
      </w:pPr>
      <w:r>
        <w:t xml:space="preserve">Cooperative </w:t>
      </w:r>
      <w:r w:rsidR="00704741">
        <w:t>Children aged from 6 to 9</w:t>
      </w:r>
    </w:p>
    <w:p w14:paraId="55E9414C" w14:textId="2B8DF7A3" w:rsidR="00DE25B0" w:rsidRDefault="00DE25B0" w:rsidP="006832E5">
      <w:pPr>
        <w:pStyle w:val="ListParagraph"/>
        <w:numPr>
          <w:ilvl w:val="0"/>
          <w:numId w:val="1"/>
        </w:numPr>
        <w:jc w:val="both"/>
      </w:pPr>
      <w:r>
        <w:t xml:space="preserve">Healthy patients with no history of previous systematic </w:t>
      </w:r>
      <w:r w:rsidR="006832E5" w:rsidRPr="006832E5">
        <w:t xml:space="preserve">diseases </w:t>
      </w:r>
      <w:r>
        <w:t>that can affect their oral health</w:t>
      </w:r>
    </w:p>
    <w:p w14:paraId="2947D4F3" w14:textId="77FDE730" w:rsidR="00DE25B0" w:rsidRDefault="00A32393" w:rsidP="00543ABF">
      <w:pPr>
        <w:jc w:val="both"/>
      </w:pPr>
      <w:r>
        <w:t>Teeth related criteria:</w:t>
      </w:r>
    </w:p>
    <w:p w14:paraId="636A1A97" w14:textId="77777777" w:rsidR="00A32393" w:rsidRDefault="00704741" w:rsidP="00543ABF">
      <w:pPr>
        <w:pStyle w:val="ListParagraph"/>
        <w:numPr>
          <w:ilvl w:val="0"/>
          <w:numId w:val="3"/>
        </w:numPr>
        <w:jc w:val="both"/>
      </w:pPr>
      <w:r>
        <w:t>B</w:t>
      </w:r>
      <w:r w:rsidRPr="00704741">
        <w:t>oth mandibular-symmetric</w:t>
      </w:r>
      <w:r>
        <w:t xml:space="preserve"> </w:t>
      </w:r>
      <w:r w:rsidRPr="00704741">
        <w:t xml:space="preserve">first </w:t>
      </w:r>
      <w:r w:rsidR="00E66B25">
        <w:t xml:space="preserve">permanent </w:t>
      </w:r>
      <w:r w:rsidRPr="00704741">
        <w:t>molars</w:t>
      </w:r>
      <w:r w:rsidR="00E66B25">
        <w:t xml:space="preserve"> are</w:t>
      </w:r>
      <w:r>
        <w:t xml:space="preserve"> fully erupted </w:t>
      </w:r>
    </w:p>
    <w:p w14:paraId="59852839" w14:textId="4DF971CD" w:rsidR="00704741" w:rsidRDefault="00A32393" w:rsidP="00543ABF">
      <w:pPr>
        <w:pStyle w:val="ListParagraph"/>
        <w:numPr>
          <w:ilvl w:val="0"/>
          <w:numId w:val="3"/>
        </w:numPr>
        <w:jc w:val="both"/>
      </w:pPr>
      <w:r>
        <w:t>First permanent molars’</w:t>
      </w:r>
      <w:r w:rsidR="00E66B25">
        <w:t xml:space="preserve"> occlusal surface</w:t>
      </w:r>
      <w:r>
        <w:t>s</w:t>
      </w:r>
      <w:r w:rsidR="00E66B25">
        <w:t xml:space="preserve"> show scores of 1, </w:t>
      </w:r>
      <w:r w:rsidR="008B2CB6">
        <w:t>or 2</w:t>
      </w:r>
      <w:r w:rsidR="00E66B25">
        <w:t xml:space="preserve"> according to the </w:t>
      </w:r>
      <w:r w:rsidR="00E66B25" w:rsidRPr="00E66B25">
        <w:t>International Caries Detection and Assessment System</w:t>
      </w:r>
      <w:r w:rsidR="000E45C7">
        <w:t xml:space="preserve"> II</w:t>
      </w:r>
      <w:r w:rsidR="00E66B25" w:rsidRPr="00E66B25">
        <w:t xml:space="preserve"> (ICDAS</w:t>
      </w:r>
      <w:r w:rsidR="000E45C7">
        <w:t xml:space="preserve"> II</w:t>
      </w:r>
      <w:r w:rsidR="00E66B25" w:rsidRPr="00E66B25">
        <w:t>)</w:t>
      </w:r>
      <w:r>
        <w:t xml:space="preserve"> (table 1)</w:t>
      </w:r>
      <w:r w:rsidR="00E66B25">
        <w:t xml:space="preserve"> and show scores between 1</w:t>
      </w:r>
      <w:r w:rsidR="00D51714">
        <w:t>4</w:t>
      </w:r>
      <w:r w:rsidR="00E66B25">
        <w:t xml:space="preserve"> – </w:t>
      </w:r>
      <w:r w:rsidR="00D51714">
        <w:t>30</w:t>
      </w:r>
      <w:r w:rsidR="00E66B25">
        <w:t xml:space="preserve"> by using DIAGNOdent </w:t>
      </w:r>
      <w:proofErr w:type="gramStart"/>
      <w:r w:rsidR="00E66B25">
        <w:t>device</w:t>
      </w:r>
      <w:r>
        <w:t>(</w:t>
      </w:r>
      <w:proofErr w:type="gramEnd"/>
      <w:r>
        <w:t>table 2)</w:t>
      </w:r>
      <w:r w:rsidR="00E66B25">
        <w:t>.</w:t>
      </w:r>
    </w:p>
    <w:p w14:paraId="76BD86D7" w14:textId="4C63EAD1" w:rsidR="009B0246" w:rsidRDefault="00A32393" w:rsidP="00543ABF">
      <w:pPr>
        <w:jc w:val="both"/>
      </w:pPr>
      <w:r>
        <w:t>Exclusion criteria will be</w:t>
      </w:r>
      <w:r w:rsidR="009B0246">
        <w:t>: uncooperative children, children with mental and/or physical disorders; teeth suffer from</w:t>
      </w:r>
      <w:r w:rsidR="0034661C">
        <w:t xml:space="preserve"> proximal caries,</w:t>
      </w:r>
      <w:r w:rsidR="009B0246">
        <w:t xml:space="preserve"> developmental defects, cavitation, hypoplasia and teeth with sealant or restoration.</w:t>
      </w:r>
    </w:p>
    <w:p w14:paraId="00144780" w14:textId="6AC570CC" w:rsidR="009B0246" w:rsidRPr="00510291" w:rsidRDefault="00D46FC4" w:rsidP="00543ABF">
      <w:pPr>
        <w:jc w:val="both"/>
        <w:rPr>
          <w:b/>
          <w:bCs/>
        </w:rPr>
      </w:pPr>
      <w:r w:rsidRPr="00510291">
        <w:rPr>
          <w:b/>
          <w:bCs/>
        </w:rPr>
        <w:t>Allocation method</w:t>
      </w:r>
    </w:p>
    <w:p w14:paraId="2D9CB1DF" w14:textId="77777777" w:rsidR="00510291" w:rsidRDefault="00C8463C" w:rsidP="00543ABF">
      <w:pPr>
        <w:jc w:val="both"/>
        <w:rPr>
          <w:lang w:bidi="ar-SY"/>
        </w:rPr>
      </w:pPr>
      <w:r>
        <w:rPr>
          <w:lang w:bidi="ar-SY"/>
        </w:rPr>
        <w:t>The</w:t>
      </w:r>
      <w:r w:rsidR="00E60A87">
        <w:rPr>
          <w:lang w:bidi="ar-SY"/>
        </w:rPr>
        <w:t xml:space="preserve"> randomization units will be (</w:t>
      </w:r>
      <w:r>
        <w:rPr>
          <w:lang w:bidi="ar-SY"/>
        </w:rPr>
        <w:t>l</w:t>
      </w:r>
      <w:r w:rsidR="00E60A87">
        <w:rPr>
          <w:lang w:bidi="ar-SY"/>
        </w:rPr>
        <w:t xml:space="preserve">eft or </w:t>
      </w:r>
      <w:r w:rsidR="00510291">
        <w:rPr>
          <w:lang w:bidi="ar-SY"/>
        </w:rPr>
        <w:t>r</w:t>
      </w:r>
      <w:r w:rsidR="00E60A87">
        <w:rPr>
          <w:lang w:bidi="ar-SY"/>
        </w:rPr>
        <w:t xml:space="preserve">ight) and (Treatment A or Treatment B). </w:t>
      </w:r>
      <w:r>
        <w:rPr>
          <w:lang w:bidi="ar-SY"/>
        </w:rPr>
        <w:t>Two opaque envelops will be used in this allocation method and each participant will get two draws</w:t>
      </w:r>
      <w:r w:rsidR="00510291">
        <w:rPr>
          <w:lang w:bidi="ar-SY"/>
        </w:rPr>
        <w:t>, one from each envelope.</w:t>
      </w:r>
    </w:p>
    <w:p w14:paraId="70BC0AC0" w14:textId="07006754" w:rsidR="00543ABF" w:rsidRDefault="00510291" w:rsidP="00543ABF">
      <w:pPr>
        <w:jc w:val="both"/>
        <w:rPr>
          <w:rtl/>
          <w:lang w:bidi="ar-SY"/>
        </w:rPr>
      </w:pPr>
      <w:r>
        <w:rPr>
          <w:lang w:bidi="ar-SY"/>
        </w:rPr>
        <w:t>Participants and their parents will be blinded what treatment A or treatment B stands for.</w:t>
      </w:r>
    </w:p>
    <w:tbl>
      <w:tblPr>
        <w:tblStyle w:val="TableGrid"/>
        <w:tblW w:w="0" w:type="auto"/>
        <w:jc w:val="center"/>
        <w:tblLook w:val="04E0" w:firstRow="1" w:lastRow="1" w:firstColumn="1" w:lastColumn="0" w:noHBand="0" w:noVBand="1"/>
      </w:tblPr>
      <w:tblGrid>
        <w:gridCol w:w="2155"/>
        <w:gridCol w:w="2155"/>
      </w:tblGrid>
      <w:tr w:rsidR="008B2CB6" w14:paraId="4C00F959" w14:textId="77777777" w:rsidTr="00543ABF">
        <w:trPr>
          <w:jc w:val="center"/>
        </w:trPr>
        <w:tc>
          <w:tcPr>
            <w:tcW w:w="4310" w:type="dxa"/>
            <w:gridSpan w:val="2"/>
            <w:tcBorders>
              <w:top w:val="nil"/>
              <w:left w:val="nil"/>
              <w:right w:val="nil"/>
            </w:tcBorders>
          </w:tcPr>
          <w:p w14:paraId="778BDF43" w14:textId="7BDFBBA0" w:rsidR="00543ABF" w:rsidRPr="000E45C7" w:rsidRDefault="008B2CB6" w:rsidP="00543ABF">
            <w:pPr>
              <w:jc w:val="both"/>
              <w:rPr>
                <w:sz w:val="18"/>
                <w:szCs w:val="18"/>
                <w:lang w:bidi="ar-SY"/>
              </w:rPr>
            </w:pPr>
            <w:r w:rsidRPr="000E45C7">
              <w:rPr>
                <w:sz w:val="18"/>
                <w:szCs w:val="18"/>
                <w:lang w:bidi="ar-SY"/>
              </w:rPr>
              <w:t>Table 1: ICDAS II codes and criteria</w:t>
            </w:r>
          </w:p>
        </w:tc>
      </w:tr>
      <w:tr w:rsidR="00543ABF" w14:paraId="74B97B0B" w14:textId="77777777" w:rsidTr="00543ABF">
        <w:trPr>
          <w:jc w:val="center"/>
        </w:trPr>
        <w:tc>
          <w:tcPr>
            <w:tcW w:w="2155" w:type="dxa"/>
          </w:tcPr>
          <w:p w14:paraId="35A06BD4" w14:textId="7F2F9AA9" w:rsidR="00543ABF" w:rsidRPr="00543ABF" w:rsidRDefault="00543ABF" w:rsidP="00543ABF">
            <w:pPr>
              <w:jc w:val="center"/>
              <w:rPr>
                <w:b/>
                <w:bCs/>
                <w:sz w:val="18"/>
                <w:szCs w:val="18"/>
                <w:lang w:bidi="ar-SY"/>
              </w:rPr>
            </w:pPr>
            <w:r w:rsidRPr="00543ABF">
              <w:rPr>
                <w:b/>
                <w:bCs/>
                <w:sz w:val="18"/>
                <w:szCs w:val="18"/>
                <w:lang w:bidi="ar-SY"/>
              </w:rPr>
              <w:t>Codes</w:t>
            </w:r>
          </w:p>
        </w:tc>
        <w:tc>
          <w:tcPr>
            <w:tcW w:w="2155" w:type="dxa"/>
            <w:tcBorders>
              <w:top w:val="single" w:sz="4" w:space="0" w:color="auto"/>
            </w:tcBorders>
          </w:tcPr>
          <w:p w14:paraId="665562BB" w14:textId="662687A5" w:rsidR="00543ABF" w:rsidRPr="00543ABF" w:rsidRDefault="00543ABF" w:rsidP="00543ABF">
            <w:pPr>
              <w:jc w:val="center"/>
              <w:rPr>
                <w:b/>
                <w:bCs/>
                <w:sz w:val="18"/>
                <w:szCs w:val="18"/>
                <w:lang w:bidi="ar-SY"/>
              </w:rPr>
            </w:pPr>
            <w:r w:rsidRPr="00543ABF">
              <w:rPr>
                <w:b/>
                <w:bCs/>
                <w:sz w:val="18"/>
                <w:szCs w:val="18"/>
                <w:lang w:bidi="ar-SY"/>
              </w:rPr>
              <w:t>Criteria</w:t>
            </w:r>
          </w:p>
        </w:tc>
      </w:tr>
      <w:tr w:rsidR="008B2CB6" w14:paraId="7FB53B2F" w14:textId="77777777" w:rsidTr="00543ABF">
        <w:trPr>
          <w:jc w:val="center"/>
        </w:trPr>
        <w:tc>
          <w:tcPr>
            <w:tcW w:w="2155" w:type="dxa"/>
          </w:tcPr>
          <w:p w14:paraId="2B0F4F5E" w14:textId="6971C372" w:rsidR="008B2CB6" w:rsidRPr="000E45C7" w:rsidRDefault="008B2CB6" w:rsidP="00543ABF">
            <w:pPr>
              <w:jc w:val="center"/>
              <w:rPr>
                <w:sz w:val="18"/>
                <w:szCs w:val="18"/>
                <w:lang w:bidi="ar-SY"/>
              </w:rPr>
            </w:pPr>
            <w:r w:rsidRPr="000E45C7">
              <w:rPr>
                <w:sz w:val="18"/>
                <w:szCs w:val="18"/>
                <w:lang w:bidi="ar-SY"/>
              </w:rPr>
              <w:t>0</w:t>
            </w:r>
          </w:p>
        </w:tc>
        <w:tc>
          <w:tcPr>
            <w:tcW w:w="2155" w:type="dxa"/>
            <w:tcBorders>
              <w:top w:val="single" w:sz="4" w:space="0" w:color="auto"/>
            </w:tcBorders>
          </w:tcPr>
          <w:p w14:paraId="05649BAF" w14:textId="3CB9003A" w:rsidR="008B2CB6" w:rsidRPr="000E45C7" w:rsidRDefault="000E45C7" w:rsidP="00543ABF">
            <w:pPr>
              <w:jc w:val="both"/>
              <w:rPr>
                <w:sz w:val="18"/>
                <w:szCs w:val="18"/>
                <w:lang w:bidi="ar-SY"/>
              </w:rPr>
            </w:pPr>
            <w:r w:rsidRPr="000E45C7">
              <w:rPr>
                <w:sz w:val="18"/>
                <w:szCs w:val="18"/>
                <w:lang w:bidi="ar-SY"/>
              </w:rPr>
              <w:t>Sound tooth surface</w:t>
            </w:r>
          </w:p>
        </w:tc>
      </w:tr>
      <w:tr w:rsidR="008B2CB6" w14:paraId="206F4555" w14:textId="77777777" w:rsidTr="00543ABF">
        <w:trPr>
          <w:jc w:val="center"/>
        </w:trPr>
        <w:tc>
          <w:tcPr>
            <w:tcW w:w="2155" w:type="dxa"/>
          </w:tcPr>
          <w:p w14:paraId="66AC81E1" w14:textId="204A7A5A" w:rsidR="008B2CB6" w:rsidRPr="000E45C7" w:rsidRDefault="000E45C7" w:rsidP="00543ABF">
            <w:pPr>
              <w:jc w:val="center"/>
              <w:rPr>
                <w:sz w:val="18"/>
                <w:szCs w:val="18"/>
                <w:lang w:bidi="ar-SY"/>
              </w:rPr>
            </w:pPr>
            <w:r w:rsidRPr="000E45C7">
              <w:rPr>
                <w:sz w:val="18"/>
                <w:szCs w:val="18"/>
                <w:lang w:bidi="ar-SY"/>
              </w:rPr>
              <w:t>1</w:t>
            </w:r>
          </w:p>
        </w:tc>
        <w:tc>
          <w:tcPr>
            <w:tcW w:w="2155" w:type="dxa"/>
          </w:tcPr>
          <w:p w14:paraId="02FF8A74" w14:textId="2193B595" w:rsidR="008B2CB6" w:rsidRPr="000E45C7" w:rsidRDefault="000E45C7" w:rsidP="00543ABF">
            <w:pPr>
              <w:jc w:val="both"/>
              <w:rPr>
                <w:sz w:val="18"/>
                <w:szCs w:val="18"/>
                <w:lang w:bidi="ar-SY"/>
              </w:rPr>
            </w:pPr>
            <w:r w:rsidRPr="000E45C7">
              <w:rPr>
                <w:sz w:val="18"/>
                <w:szCs w:val="18"/>
                <w:lang w:bidi="ar-SY"/>
              </w:rPr>
              <w:t>First visual change in enamel</w:t>
            </w:r>
          </w:p>
        </w:tc>
      </w:tr>
      <w:tr w:rsidR="008B2CB6" w14:paraId="7A068F16" w14:textId="77777777" w:rsidTr="00543ABF">
        <w:trPr>
          <w:jc w:val="center"/>
        </w:trPr>
        <w:tc>
          <w:tcPr>
            <w:tcW w:w="2155" w:type="dxa"/>
          </w:tcPr>
          <w:p w14:paraId="67C38267" w14:textId="4A5E43A2" w:rsidR="008B2CB6" w:rsidRPr="000E45C7" w:rsidRDefault="000E45C7" w:rsidP="00543ABF">
            <w:pPr>
              <w:jc w:val="center"/>
              <w:rPr>
                <w:sz w:val="18"/>
                <w:szCs w:val="18"/>
                <w:lang w:bidi="ar-SY"/>
              </w:rPr>
            </w:pPr>
            <w:r w:rsidRPr="000E45C7">
              <w:rPr>
                <w:sz w:val="18"/>
                <w:szCs w:val="18"/>
                <w:lang w:bidi="ar-SY"/>
              </w:rPr>
              <w:t>2</w:t>
            </w:r>
          </w:p>
        </w:tc>
        <w:tc>
          <w:tcPr>
            <w:tcW w:w="2155" w:type="dxa"/>
          </w:tcPr>
          <w:p w14:paraId="526EA6EC" w14:textId="308B73BF" w:rsidR="008B2CB6" w:rsidRPr="000E45C7" w:rsidRDefault="000E45C7" w:rsidP="00543ABF">
            <w:pPr>
              <w:jc w:val="both"/>
              <w:rPr>
                <w:sz w:val="18"/>
                <w:szCs w:val="18"/>
                <w:lang w:bidi="ar-SY"/>
              </w:rPr>
            </w:pPr>
            <w:r w:rsidRPr="000E45C7">
              <w:rPr>
                <w:sz w:val="18"/>
                <w:szCs w:val="18"/>
                <w:lang w:bidi="ar-SY"/>
              </w:rPr>
              <w:t>Distinct visual change in enamel</w:t>
            </w:r>
          </w:p>
        </w:tc>
      </w:tr>
      <w:tr w:rsidR="008B2CB6" w14:paraId="6FB05917" w14:textId="77777777" w:rsidTr="00543ABF">
        <w:trPr>
          <w:jc w:val="center"/>
        </w:trPr>
        <w:tc>
          <w:tcPr>
            <w:tcW w:w="2155" w:type="dxa"/>
          </w:tcPr>
          <w:p w14:paraId="68AC39A6" w14:textId="1D557A04" w:rsidR="008B2CB6" w:rsidRPr="000E45C7" w:rsidRDefault="000E45C7" w:rsidP="00543ABF">
            <w:pPr>
              <w:jc w:val="center"/>
              <w:rPr>
                <w:sz w:val="18"/>
                <w:szCs w:val="18"/>
                <w:lang w:bidi="ar-SY"/>
              </w:rPr>
            </w:pPr>
            <w:r w:rsidRPr="000E45C7">
              <w:rPr>
                <w:sz w:val="18"/>
                <w:szCs w:val="18"/>
                <w:lang w:bidi="ar-SY"/>
              </w:rPr>
              <w:t>3</w:t>
            </w:r>
          </w:p>
        </w:tc>
        <w:tc>
          <w:tcPr>
            <w:tcW w:w="2155" w:type="dxa"/>
          </w:tcPr>
          <w:p w14:paraId="322C7C7B" w14:textId="2F9A4944" w:rsidR="008B2CB6" w:rsidRPr="000E45C7" w:rsidRDefault="000E45C7" w:rsidP="00543ABF">
            <w:pPr>
              <w:jc w:val="both"/>
              <w:rPr>
                <w:sz w:val="18"/>
                <w:szCs w:val="18"/>
                <w:lang w:bidi="ar-SY"/>
              </w:rPr>
            </w:pPr>
            <w:r w:rsidRPr="000E45C7">
              <w:rPr>
                <w:sz w:val="18"/>
                <w:szCs w:val="18"/>
                <w:lang w:bidi="ar-SY"/>
              </w:rPr>
              <w:t>Enamel breakdown, no dentine visible</w:t>
            </w:r>
          </w:p>
        </w:tc>
      </w:tr>
      <w:tr w:rsidR="008B2CB6" w14:paraId="024B8E76" w14:textId="77777777" w:rsidTr="00543ABF">
        <w:trPr>
          <w:jc w:val="center"/>
        </w:trPr>
        <w:tc>
          <w:tcPr>
            <w:tcW w:w="2155" w:type="dxa"/>
          </w:tcPr>
          <w:p w14:paraId="5B56C276" w14:textId="4CF98D72" w:rsidR="008B2CB6" w:rsidRPr="000E45C7" w:rsidRDefault="000E45C7" w:rsidP="00543ABF">
            <w:pPr>
              <w:jc w:val="center"/>
              <w:rPr>
                <w:sz w:val="18"/>
                <w:szCs w:val="18"/>
                <w:lang w:bidi="ar-SY"/>
              </w:rPr>
            </w:pPr>
            <w:r w:rsidRPr="000E45C7">
              <w:rPr>
                <w:sz w:val="18"/>
                <w:szCs w:val="18"/>
                <w:lang w:bidi="ar-SY"/>
              </w:rPr>
              <w:t>4</w:t>
            </w:r>
          </w:p>
        </w:tc>
        <w:tc>
          <w:tcPr>
            <w:tcW w:w="2155" w:type="dxa"/>
          </w:tcPr>
          <w:p w14:paraId="2A6F137E" w14:textId="7E1FBDEE" w:rsidR="008B2CB6" w:rsidRPr="000E45C7" w:rsidRDefault="000E45C7" w:rsidP="00543ABF">
            <w:pPr>
              <w:jc w:val="both"/>
              <w:rPr>
                <w:sz w:val="18"/>
                <w:szCs w:val="18"/>
                <w:lang w:bidi="ar-SY"/>
              </w:rPr>
            </w:pPr>
            <w:r w:rsidRPr="000E45C7">
              <w:rPr>
                <w:sz w:val="18"/>
                <w:szCs w:val="18"/>
                <w:lang w:bidi="ar-SY"/>
              </w:rPr>
              <w:t>Underlying dentinal shadow (not cavitated into dentine)</w:t>
            </w:r>
          </w:p>
        </w:tc>
      </w:tr>
      <w:tr w:rsidR="008B2CB6" w14:paraId="64E8E120" w14:textId="77777777" w:rsidTr="00543ABF">
        <w:trPr>
          <w:jc w:val="center"/>
        </w:trPr>
        <w:tc>
          <w:tcPr>
            <w:tcW w:w="2155" w:type="dxa"/>
          </w:tcPr>
          <w:p w14:paraId="27A4F57F" w14:textId="7336AEF6" w:rsidR="008B2CB6" w:rsidRPr="000E45C7" w:rsidRDefault="000E45C7" w:rsidP="00543ABF">
            <w:pPr>
              <w:jc w:val="center"/>
              <w:rPr>
                <w:sz w:val="18"/>
                <w:szCs w:val="18"/>
                <w:lang w:bidi="ar-SY"/>
              </w:rPr>
            </w:pPr>
            <w:r w:rsidRPr="000E45C7">
              <w:rPr>
                <w:sz w:val="18"/>
                <w:szCs w:val="18"/>
                <w:lang w:bidi="ar-SY"/>
              </w:rPr>
              <w:t>5</w:t>
            </w:r>
          </w:p>
        </w:tc>
        <w:tc>
          <w:tcPr>
            <w:tcW w:w="2155" w:type="dxa"/>
          </w:tcPr>
          <w:p w14:paraId="7E6ADE8E" w14:textId="61BBA3EB" w:rsidR="008B2CB6" w:rsidRPr="000E45C7" w:rsidRDefault="000E45C7" w:rsidP="00543ABF">
            <w:pPr>
              <w:jc w:val="both"/>
              <w:rPr>
                <w:sz w:val="18"/>
                <w:szCs w:val="18"/>
                <w:lang w:bidi="ar-SY"/>
              </w:rPr>
            </w:pPr>
            <w:r w:rsidRPr="000E45C7">
              <w:rPr>
                <w:sz w:val="18"/>
                <w:szCs w:val="18"/>
                <w:lang w:bidi="ar-SY"/>
              </w:rPr>
              <w:t>Distinct cavity with visible dentine</w:t>
            </w:r>
          </w:p>
        </w:tc>
      </w:tr>
      <w:tr w:rsidR="008B2CB6" w14:paraId="6D29920F" w14:textId="77777777" w:rsidTr="00543ABF">
        <w:trPr>
          <w:jc w:val="center"/>
        </w:trPr>
        <w:tc>
          <w:tcPr>
            <w:tcW w:w="2155" w:type="dxa"/>
          </w:tcPr>
          <w:p w14:paraId="5511660F" w14:textId="768C4B34" w:rsidR="008B2CB6" w:rsidRPr="000E45C7" w:rsidRDefault="000E45C7" w:rsidP="00543ABF">
            <w:pPr>
              <w:jc w:val="center"/>
              <w:rPr>
                <w:sz w:val="18"/>
                <w:szCs w:val="18"/>
                <w:lang w:bidi="ar-SY"/>
              </w:rPr>
            </w:pPr>
            <w:r w:rsidRPr="000E45C7">
              <w:rPr>
                <w:sz w:val="18"/>
                <w:szCs w:val="18"/>
                <w:lang w:bidi="ar-SY"/>
              </w:rPr>
              <w:t>6</w:t>
            </w:r>
          </w:p>
        </w:tc>
        <w:tc>
          <w:tcPr>
            <w:tcW w:w="2155" w:type="dxa"/>
          </w:tcPr>
          <w:p w14:paraId="17853AB3" w14:textId="189940F9" w:rsidR="008B2CB6" w:rsidRPr="000E45C7" w:rsidRDefault="000E45C7" w:rsidP="00543ABF">
            <w:pPr>
              <w:jc w:val="both"/>
              <w:rPr>
                <w:sz w:val="18"/>
                <w:szCs w:val="18"/>
                <w:lang w:bidi="ar-SY"/>
              </w:rPr>
            </w:pPr>
            <w:r w:rsidRPr="000E45C7">
              <w:rPr>
                <w:sz w:val="18"/>
                <w:szCs w:val="18"/>
                <w:lang w:bidi="ar-SY"/>
              </w:rPr>
              <w:t>Extensive distinct cavity with visible dentine</w:t>
            </w:r>
          </w:p>
        </w:tc>
      </w:tr>
    </w:tbl>
    <w:p w14:paraId="3C974484" w14:textId="7FF71526" w:rsidR="00676A36" w:rsidRPr="003C261F" w:rsidRDefault="009512F4" w:rsidP="00543ABF">
      <w:pPr>
        <w:rPr>
          <w:b/>
          <w:bCs/>
          <w:lang w:bidi="ar-SY"/>
        </w:rPr>
      </w:pPr>
      <w:r w:rsidRPr="009512F4">
        <w:rPr>
          <w:b/>
          <w:bCs/>
          <w:lang w:bidi="ar-SY"/>
        </w:rPr>
        <w:lastRenderedPageBreak/>
        <w:t>Research</w:t>
      </w:r>
      <w:r w:rsidR="00543ABF">
        <w:rPr>
          <w:b/>
          <w:bCs/>
          <w:lang w:bidi="ar-SY"/>
        </w:rPr>
        <w:t xml:space="preserve"> </w:t>
      </w:r>
      <w:r w:rsidRPr="009512F4">
        <w:rPr>
          <w:b/>
          <w:bCs/>
          <w:lang w:bidi="ar-SY"/>
        </w:rPr>
        <w:t>protocol</w:t>
      </w:r>
      <w:r w:rsidR="003C261F">
        <w:rPr>
          <w:b/>
          <w:bCs/>
          <w:lang w:bidi="ar-SY"/>
        </w:rPr>
        <w:br/>
      </w:r>
      <w:r w:rsidR="00C8463C" w:rsidRPr="009512F4">
        <w:rPr>
          <w:b/>
          <w:bCs/>
          <w:lang w:bidi="ar-SY"/>
        </w:rPr>
        <w:br/>
      </w:r>
      <w:r w:rsidRPr="00676A36">
        <w:rPr>
          <w:rFonts w:cstheme="minorHAnsi"/>
          <w:lang w:bidi="ar-SY"/>
        </w:rPr>
        <w:t xml:space="preserve">An experienced investigator will screen all possible candidates for inclusion and exclusion criteria. </w:t>
      </w:r>
      <w:r w:rsidR="002C1004" w:rsidRPr="00676A36">
        <w:rPr>
          <w:rFonts w:cstheme="minorHAnsi"/>
          <w:lang w:bidi="ar-SY"/>
        </w:rPr>
        <w:t>Patients that meet inclusion criteria will be seated on a dental unit</w:t>
      </w:r>
      <w:r w:rsidR="0034661C">
        <w:rPr>
          <w:rFonts w:cstheme="minorHAnsi"/>
          <w:lang w:bidi="ar-SY"/>
        </w:rPr>
        <w:t xml:space="preserve"> </w:t>
      </w:r>
      <w:r w:rsidR="0034661C">
        <w:rPr>
          <w:color w:val="000000"/>
          <w:shd w:val="clear" w:color="auto" w:fill="FFFFFF"/>
        </w:rPr>
        <w:t>and bite wing radiographs will be taken to rule out proximal caries.</w:t>
      </w:r>
      <w:r w:rsidR="002C1004" w:rsidRPr="00676A36">
        <w:rPr>
          <w:rFonts w:cstheme="minorHAnsi"/>
          <w:lang w:bidi="ar-SY"/>
        </w:rPr>
        <w:t xml:space="preserve"> </w:t>
      </w:r>
      <w:r w:rsidR="0034661C">
        <w:rPr>
          <w:rFonts w:cstheme="minorHAnsi"/>
          <w:lang w:bidi="ar-SY"/>
        </w:rPr>
        <w:t>T</w:t>
      </w:r>
      <w:r w:rsidR="002C1004" w:rsidRPr="00676A36">
        <w:rPr>
          <w:rFonts w:cstheme="minorHAnsi"/>
          <w:lang w:bidi="ar-SY"/>
        </w:rPr>
        <w:t xml:space="preserve">hen </w:t>
      </w:r>
      <w:r w:rsidR="002C1004" w:rsidRPr="00B31E3C">
        <w:rPr>
          <w:rFonts w:cstheme="minorHAnsi"/>
          <w:lang w:bidi="ar-SY"/>
        </w:rPr>
        <w:t xml:space="preserve">a </w:t>
      </w:r>
      <w:r w:rsidR="002C1004" w:rsidRPr="00B31E3C">
        <w:rPr>
          <w:rFonts w:cstheme="minorHAnsi"/>
        </w:rPr>
        <w:t>thorough oral prophylaxis</w:t>
      </w:r>
      <w:r w:rsidR="0034661C">
        <w:rPr>
          <w:rFonts w:cstheme="minorHAnsi"/>
        </w:rPr>
        <w:t xml:space="preserve"> </w:t>
      </w:r>
      <w:r w:rsidR="002C1004" w:rsidRPr="00B31E3C">
        <w:rPr>
          <w:rFonts w:cstheme="minorHAnsi"/>
        </w:rPr>
        <w:t>will be conducted</w:t>
      </w:r>
      <w:r w:rsidR="002C1004" w:rsidRPr="00B31E3C">
        <w:rPr>
          <w:rFonts w:cstheme="minorHAnsi"/>
          <w:lang w:bidi="ar-SY"/>
        </w:rPr>
        <w:t xml:space="preserve"> </w:t>
      </w:r>
      <w:r w:rsidR="002C1004" w:rsidRPr="00676A36">
        <w:rPr>
          <w:rFonts w:cstheme="minorHAnsi"/>
          <w:lang w:bidi="ar-SY"/>
        </w:rPr>
        <w:t>using a bristle brush and pumice paste.</w:t>
      </w:r>
    </w:p>
    <w:p w14:paraId="00716B25" w14:textId="77777777" w:rsidR="00676A36" w:rsidRDefault="00676A36" w:rsidP="00543ABF">
      <w:pPr>
        <w:pStyle w:val="ListParagraph"/>
        <w:ind w:left="0"/>
        <w:jc w:val="both"/>
        <w:rPr>
          <w:rFonts w:cstheme="minorHAnsi"/>
          <w:lang w:bidi="ar-SY"/>
        </w:rPr>
      </w:pPr>
    </w:p>
    <w:p w14:paraId="189A18E3" w14:textId="5E41CE75" w:rsidR="00D51714" w:rsidRPr="00676A36" w:rsidRDefault="002C1004" w:rsidP="00543ABF">
      <w:pPr>
        <w:pStyle w:val="ListParagraph"/>
        <w:ind w:left="0"/>
        <w:jc w:val="both"/>
        <w:rPr>
          <w:rFonts w:cstheme="minorHAnsi"/>
          <w:lang w:bidi="ar-SY"/>
        </w:rPr>
      </w:pPr>
      <w:r w:rsidRPr="00676A36">
        <w:rPr>
          <w:rFonts w:cstheme="minorHAnsi"/>
          <w:lang w:bidi="ar-SY"/>
        </w:rPr>
        <w:t xml:space="preserve">Occlusal surfaces of mandibular first permanent molars will be assessed by a visual and tactile method and scored according to ICDAS criteria. If </w:t>
      </w:r>
      <w:r w:rsidR="00D51714" w:rsidRPr="00676A36">
        <w:rPr>
          <w:rFonts w:cstheme="minorHAnsi"/>
          <w:lang w:bidi="ar-SY"/>
        </w:rPr>
        <w:t xml:space="preserve">one of the teeth failed to score 1, </w:t>
      </w:r>
      <w:r w:rsidR="008B2CB6">
        <w:rPr>
          <w:rFonts w:cstheme="minorHAnsi"/>
          <w:lang w:bidi="ar-SY"/>
        </w:rPr>
        <w:t>or 2</w:t>
      </w:r>
      <w:r w:rsidR="00D51714" w:rsidRPr="00676A36">
        <w:rPr>
          <w:rFonts w:cstheme="minorHAnsi"/>
          <w:lang w:bidi="ar-SY"/>
        </w:rPr>
        <w:t>, the patient will be excluded.</w:t>
      </w:r>
    </w:p>
    <w:p w14:paraId="22F80A93" w14:textId="77777777" w:rsidR="00676A36" w:rsidRPr="00676A36" w:rsidRDefault="00676A36" w:rsidP="00543ABF">
      <w:pPr>
        <w:pStyle w:val="ListParagraph"/>
        <w:ind w:left="0"/>
        <w:jc w:val="both"/>
        <w:rPr>
          <w:rFonts w:cstheme="minorHAnsi"/>
          <w:lang w:bidi="ar-SY"/>
        </w:rPr>
      </w:pPr>
    </w:p>
    <w:p w14:paraId="223B3FE1" w14:textId="01C6A7C2" w:rsidR="00676A36" w:rsidRPr="00676A36" w:rsidRDefault="00D51714" w:rsidP="00543ABF">
      <w:pPr>
        <w:pStyle w:val="ListParagraph"/>
        <w:ind w:left="0"/>
        <w:jc w:val="both"/>
        <w:rPr>
          <w:rFonts w:cstheme="minorHAnsi"/>
          <w:lang w:bidi="ar-SY"/>
        </w:rPr>
      </w:pPr>
      <w:r w:rsidRPr="00676A36">
        <w:rPr>
          <w:rFonts w:cstheme="minorHAnsi"/>
          <w:lang w:bidi="ar-SY"/>
        </w:rPr>
        <w:t>After that, Teeth will be diagnosed using DIAGNOdent device (</w:t>
      </w:r>
      <w:proofErr w:type="spellStart"/>
      <w:r w:rsidRPr="00676A36">
        <w:rPr>
          <w:rFonts w:cstheme="minorHAnsi"/>
          <w:lang w:bidi="ar-SY"/>
        </w:rPr>
        <w:t>Kavo</w:t>
      </w:r>
      <w:proofErr w:type="spellEnd"/>
      <w:r w:rsidRPr="00676A36">
        <w:rPr>
          <w:rFonts w:cstheme="minorHAnsi"/>
          <w:lang w:bidi="ar-SY"/>
        </w:rPr>
        <w:t>, Germany). Measurements will be done after drying the teeth with air flow and isolating them by cotton rolls.</w:t>
      </w:r>
      <w:r w:rsidR="00676A36">
        <w:rPr>
          <w:rFonts w:cstheme="minorHAnsi"/>
          <w:lang w:bidi="ar-SY"/>
        </w:rPr>
        <w:t xml:space="preserve"> </w:t>
      </w:r>
      <w:r w:rsidRPr="00676A36">
        <w:rPr>
          <w:rFonts w:cstheme="minorHAnsi"/>
          <w:lang w:bidi="ar-SY"/>
        </w:rPr>
        <w:t xml:space="preserve">First of all, </w:t>
      </w:r>
      <w:r w:rsidRPr="00676A36">
        <w:rPr>
          <w:rFonts w:cstheme="minorHAnsi"/>
          <w:shd w:val="clear" w:color="auto" w:fill="FFFFFF"/>
        </w:rPr>
        <w:t>calibration with a ceramic standard will be done, then baseline</w:t>
      </w:r>
      <w:r w:rsidRPr="00676A36">
        <w:rPr>
          <w:rFonts w:cstheme="minorHAnsi"/>
        </w:rPr>
        <w:t xml:space="preserve"> values for each tooth will be recorded by measuring the sound buccal surface of the examined teeth then moving upward toward the occlusal surface. After probing the whole occlusal surface, the procedure will be repeated three times.</w:t>
      </w:r>
      <w:r w:rsidR="00676A36">
        <w:rPr>
          <w:rFonts w:cstheme="minorHAnsi"/>
          <w:lang w:bidi="ar-SY"/>
        </w:rPr>
        <w:t xml:space="preserve"> </w:t>
      </w:r>
      <w:r w:rsidRPr="00676A36">
        <w:rPr>
          <w:rFonts w:cstheme="minorHAnsi"/>
          <w:lang w:bidi="ar-SY"/>
        </w:rPr>
        <w:t>At the end, the peak value will be recorded as the baseline value for this tooth.</w:t>
      </w:r>
      <w:r w:rsidR="00676A36" w:rsidRPr="00676A36">
        <w:rPr>
          <w:rFonts w:cstheme="minorHAnsi"/>
          <w:lang w:bidi="ar-SY"/>
        </w:rPr>
        <w:t xml:space="preserve"> If one of the teeth failed to get a score between 14-30, the patient will be excluded.</w:t>
      </w:r>
    </w:p>
    <w:p w14:paraId="0F047634" w14:textId="4307FBEF" w:rsidR="00676A36" w:rsidRPr="00676A36" w:rsidRDefault="00676A36" w:rsidP="00543ABF">
      <w:pPr>
        <w:jc w:val="both"/>
        <w:rPr>
          <w:rFonts w:cstheme="minorHAnsi"/>
          <w:lang w:bidi="ar-SY"/>
        </w:rPr>
      </w:pPr>
      <w:r w:rsidRPr="00676A36">
        <w:rPr>
          <w:rFonts w:cstheme="minorHAnsi"/>
          <w:lang w:bidi="ar-SY"/>
        </w:rPr>
        <w:t>No treatment will be provided in the first visit. A standard oral-hygiene training will be provided to the children. They will be asked to brush their teeth in the instructed way two times a day.</w:t>
      </w:r>
    </w:p>
    <w:p w14:paraId="3B02E49E" w14:textId="747BF8AE" w:rsidR="00B7431B" w:rsidRDefault="00676A36" w:rsidP="00543ABF">
      <w:pPr>
        <w:jc w:val="both"/>
      </w:pPr>
      <w:r>
        <w:t>At the next visit, selected participant</w:t>
      </w:r>
      <w:r w:rsidR="00B31E3C">
        <w:t>s</w:t>
      </w:r>
      <w:r>
        <w:t xml:space="preserve"> will draw from two opaque envelopes. The first draw will be to determine on which side the treatment will take apart first (Right or left). The Second draw will be to determine which type of the sealant will be applied on the selected s</w:t>
      </w:r>
      <w:r w:rsidR="00B31E3C">
        <w:t>ide (group A or group B)</w:t>
      </w:r>
      <w:r>
        <w:t>.</w:t>
      </w:r>
    </w:p>
    <w:p w14:paraId="649EA2DD" w14:textId="77777777" w:rsidR="00B31E3C" w:rsidRDefault="00B31E3C" w:rsidP="00543ABF">
      <w:pPr>
        <w:jc w:val="both"/>
      </w:pPr>
      <w:r>
        <w:lastRenderedPageBreak/>
        <w:t xml:space="preserve">Before the application of pit and fissure sealants, another oral prophylaxis will be conducted then tooth surface will be rinsed with water. After that, isolation of the tooth will be done using cotton rolls and saliva ejector. </w:t>
      </w:r>
    </w:p>
    <w:p w14:paraId="30FAF0E0" w14:textId="0E9B5007" w:rsidR="00676A36" w:rsidRDefault="00B31E3C" w:rsidP="00A91B85">
      <w:pPr>
        <w:jc w:val="both"/>
      </w:pPr>
      <w:r>
        <w:t xml:space="preserve">In group A, teeth will be sealed with </w:t>
      </w:r>
      <w:r w:rsidR="0034661C" w:rsidRPr="0034661C">
        <w:t xml:space="preserve">Embrace </w:t>
      </w:r>
      <w:proofErr w:type="spellStart"/>
      <w:r w:rsidR="0034661C" w:rsidRPr="0034661C">
        <w:t>WetBond</w:t>
      </w:r>
      <w:proofErr w:type="spellEnd"/>
      <w:r w:rsidR="0034661C" w:rsidRPr="0034661C">
        <w:t xml:space="preserve"> Sealant</w:t>
      </w:r>
      <w:r w:rsidR="0034661C">
        <w:t xml:space="preserve"> (</w:t>
      </w:r>
      <w:proofErr w:type="spellStart"/>
      <w:r w:rsidR="0034661C" w:rsidRPr="0034661C">
        <w:t>Pulpdent</w:t>
      </w:r>
      <w:proofErr w:type="spellEnd"/>
      <w:r w:rsidR="0034661C">
        <w:t xml:space="preserve"> </w:t>
      </w:r>
      <w:r w:rsidR="0034661C" w:rsidRPr="0034661C">
        <w:t>Corporation, Watertown, Mass., USA) following the manufacturer’s</w:t>
      </w:r>
      <w:r w:rsidR="0034661C">
        <w:t xml:space="preserve"> </w:t>
      </w:r>
      <w:r w:rsidR="0034661C" w:rsidRPr="0034661C">
        <w:t xml:space="preserve">instructions. The occlusal surface </w:t>
      </w:r>
      <w:r w:rsidR="0034661C">
        <w:t>will be</w:t>
      </w:r>
      <w:r w:rsidR="0034661C" w:rsidRPr="0034661C">
        <w:t xml:space="preserve"> dried using</w:t>
      </w:r>
      <w:r w:rsidR="0034661C">
        <w:t xml:space="preserve"> </w:t>
      </w:r>
      <w:r w:rsidR="0034661C" w:rsidRPr="0034661C">
        <w:t>compressed air, followed by acid etching with 37 percent</w:t>
      </w:r>
      <w:r w:rsidR="0034661C">
        <w:t xml:space="preserve"> </w:t>
      </w:r>
      <w:r w:rsidR="0034661C" w:rsidRPr="0034661C">
        <w:t xml:space="preserve">phosphoric acid gel for 20 seconds (Total Etch, </w:t>
      </w:r>
      <w:proofErr w:type="spellStart"/>
      <w:r w:rsidR="0034661C" w:rsidRPr="0034661C">
        <w:t>Ivoclar</w:t>
      </w:r>
      <w:proofErr w:type="spellEnd"/>
      <w:r w:rsidR="0034661C">
        <w:t xml:space="preserve"> </w:t>
      </w:r>
      <w:proofErr w:type="spellStart"/>
      <w:r w:rsidR="0034661C" w:rsidRPr="0034661C">
        <w:t>Vivadent</w:t>
      </w:r>
      <w:proofErr w:type="spellEnd"/>
      <w:r w:rsidR="0034661C" w:rsidRPr="0034661C">
        <w:t xml:space="preserve">, </w:t>
      </w:r>
      <w:proofErr w:type="spellStart"/>
      <w:r w:rsidR="0034661C" w:rsidRPr="0034661C">
        <w:t>Schaan</w:t>
      </w:r>
      <w:proofErr w:type="spellEnd"/>
      <w:r w:rsidR="0034661C" w:rsidRPr="0034661C">
        <w:t xml:space="preserve">, Liechtenstein). </w:t>
      </w:r>
      <w:r w:rsidR="0034661C">
        <w:t>T</w:t>
      </w:r>
      <w:r w:rsidR="0034661C" w:rsidRPr="0034661C">
        <w:t>he</w:t>
      </w:r>
      <w:r w:rsidR="0034661C">
        <w:t>n,</w:t>
      </w:r>
      <w:r w:rsidR="0034661C" w:rsidRPr="0034661C">
        <w:t xml:space="preserve"> tooth </w:t>
      </w:r>
      <w:r w:rsidR="0034661C">
        <w:t xml:space="preserve">will be rinsed </w:t>
      </w:r>
      <w:r w:rsidR="0034661C" w:rsidRPr="0034661C">
        <w:t>with water for approximately 30 seconds. Excess</w:t>
      </w:r>
      <w:r w:rsidR="0034661C">
        <w:t xml:space="preserve"> </w:t>
      </w:r>
      <w:r w:rsidR="0034661C" w:rsidRPr="0034661C">
        <w:t xml:space="preserve">moisture </w:t>
      </w:r>
      <w:r w:rsidR="0034661C">
        <w:t xml:space="preserve">will be </w:t>
      </w:r>
      <w:r w:rsidR="0034661C" w:rsidRPr="0034661C">
        <w:t>removed from the tooth surface using cotton</w:t>
      </w:r>
      <w:r w:rsidR="0034661C">
        <w:t xml:space="preserve"> </w:t>
      </w:r>
      <w:r w:rsidR="0034661C" w:rsidRPr="0034661C">
        <w:t xml:space="preserve">pellets, but the tooth </w:t>
      </w:r>
      <w:r w:rsidR="0034661C">
        <w:t>will still be</w:t>
      </w:r>
      <w:r w:rsidR="0034661C" w:rsidRPr="0034661C">
        <w:t xml:space="preserve"> slightly moist, glossy, or shiny. Embrace </w:t>
      </w:r>
      <w:proofErr w:type="spellStart"/>
      <w:r w:rsidR="0034661C" w:rsidRPr="0034661C">
        <w:t>WetBond</w:t>
      </w:r>
      <w:proofErr w:type="spellEnd"/>
      <w:r w:rsidR="0034661C" w:rsidRPr="0034661C">
        <w:t xml:space="preserve"> sealant</w:t>
      </w:r>
      <w:r w:rsidR="0034661C">
        <w:t xml:space="preserve"> will be</w:t>
      </w:r>
      <w:r w:rsidR="0034661C" w:rsidRPr="0034661C">
        <w:t xml:space="preserve"> applied to the pits and fissures with a small applicator</w:t>
      </w:r>
      <w:r w:rsidR="0034661C">
        <w:t xml:space="preserve"> </w:t>
      </w:r>
      <w:r w:rsidR="0034661C" w:rsidRPr="0034661C">
        <w:t>tip attached to</w:t>
      </w:r>
      <w:r w:rsidR="0034661C">
        <w:t xml:space="preserve"> </w:t>
      </w:r>
      <w:r w:rsidR="0034661C" w:rsidRPr="0034661C">
        <w:t xml:space="preserve">the syringe. The sealant </w:t>
      </w:r>
      <w:r w:rsidR="0034661C">
        <w:t>will be</w:t>
      </w:r>
      <w:r w:rsidR="0034661C" w:rsidRPr="0034661C">
        <w:t xml:space="preserve"> light cured for 20</w:t>
      </w:r>
      <w:r w:rsidR="0034661C">
        <w:t xml:space="preserve"> </w:t>
      </w:r>
      <w:r w:rsidR="0034661C" w:rsidRPr="0034661C">
        <w:t>seconds using a visible light cure unit.</w:t>
      </w:r>
    </w:p>
    <w:p w14:paraId="7759C9B9" w14:textId="48023BB3" w:rsidR="0034661C" w:rsidRDefault="0034661C" w:rsidP="00543ABF">
      <w:pPr>
        <w:jc w:val="both"/>
      </w:pPr>
      <w:r>
        <w:t xml:space="preserve">In group B, teeth will be sealed with </w:t>
      </w:r>
      <w:r w:rsidRPr="0034661C">
        <w:rPr>
          <w:rFonts w:ascii="TimesNewRomanPSMT" w:hAnsi="TimesNewRomanPSMT" w:cs="TimesNewRomanPSMT"/>
        </w:rPr>
        <w:t xml:space="preserve">Fuji Triage </w:t>
      </w:r>
      <w:r>
        <w:rPr>
          <w:rFonts w:ascii="TimesNewRomanPSMT" w:hAnsi="TimesNewRomanPSMT" w:cs="TimesNewRomanPSMT"/>
        </w:rPr>
        <w:t>(</w:t>
      </w:r>
      <w:r w:rsidRPr="0034661C">
        <w:rPr>
          <w:rFonts w:ascii="TimesNewRomanPSMT" w:hAnsi="TimesNewRomanPSMT" w:cs="TimesNewRomanPSMT"/>
        </w:rPr>
        <w:t>GC, Tokyo, Japan</w:t>
      </w:r>
      <w:r>
        <w:rPr>
          <w:rFonts w:ascii="TimesNewRomanPSMT" w:hAnsi="TimesNewRomanPSMT" w:cs="TimesNewRomanPSMT"/>
        </w:rPr>
        <w:t xml:space="preserve">) </w:t>
      </w:r>
      <w:r w:rsidRPr="0034661C">
        <w:t>following the manufacturer’s</w:t>
      </w:r>
      <w:r>
        <w:t xml:space="preserve"> </w:t>
      </w:r>
      <w:r w:rsidRPr="0034661C">
        <w:t>instructions.</w:t>
      </w:r>
      <w:r w:rsidR="00A91B85">
        <w:t xml:space="preserve"> </w:t>
      </w:r>
      <w:r w:rsidR="003D7A4B" w:rsidRPr="0034661C">
        <w:t xml:space="preserve">The occlusal surface </w:t>
      </w:r>
      <w:r w:rsidR="003D7A4B">
        <w:t>will be</w:t>
      </w:r>
      <w:r w:rsidR="003D7A4B" w:rsidRPr="0034661C">
        <w:t xml:space="preserve"> dried using</w:t>
      </w:r>
      <w:r w:rsidR="003D7A4B">
        <w:t xml:space="preserve"> </w:t>
      </w:r>
      <w:r w:rsidR="003D7A4B" w:rsidRPr="0034661C">
        <w:t>compressed air, followed by</w:t>
      </w:r>
      <w:r w:rsidR="00347886">
        <w:rPr>
          <w:lang w:bidi="ar-SY"/>
        </w:rPr>
        <w:t xml:space="preserve"> applying</w:t>
      </w:r>
      <w:r w:rsidR="003D7A4B" w:rsidRPr="0034661C">
        <w:t xml:space="preserve"> </w:t>
      </w:r>
      <w:r w:rsidR="003D7A4B">
        <w:t xml:space="preserve">Cavity </w:t>
      </w:r>
      <w:r w:rsidR="00347886">
        <w:t>conditioner</w:t>
      </w:r>
      <w:r w:rsidR="003D7A4B" w:rsidRPr="0034661C">
        <w:t xml:space="preserve"> (</w:t>
      </w:r>
      <w:r w:rsidR="003D7A4B">
        <w:t>GC, Tokyo, Japan</w:t>
      </w:r>
      <w:r w:rsidR="003D7A4B" w:rsidRPr="0034661C">
        <w:t>)</w:t>
      </w:r>
      <w:r w:rsidR="00347886">
        <w:t xml:space="preserve"> for approximately 15 seconds</w:t>
      </w:r>
      <w:r w:rsidR="003D7A4B" w:rsidRPr="0034661C">
        <w:t xml:space="preserve">. </w:t>
      </w:r>
      <w:r w:rsidR="003D7A4B">
        <w:t>T</w:t>
      </w:r>
      <w:r w:rsidR="003D7A4B" w:rsidRPr="0034661C">
        <w:t>he</w:t>
      </w:r>
      <w:r w:rsidR="003D7A4B">
        <w:t>n,</w:t>
      </w:r>
      <w:r w:rsidR="003D7A4B" w:rsidRPr="0034661C">
        <w:t xml:space="preserve"> tooth </w:t>
      </w:r>
      <w:r w:rsidR="003D7A4B">
        <w:t xml:space="preserve">will be rinsed </w:t>
      </w:r>
      <w:r w:rsidR="003D7A4B" w:rsidRPr="0034661C">
        <w:t xml:space="preserve">with water for approximately </w:t>
      </w:r>
      <w:r w:rsidR="003D7A4B">
        <w:t>15</w:t>
      </w:r>
      <w:r w:rsidR="003D7A4B" w:rsidRPr="0034661C">
        <w:t xml:space="preserve"> seconds.</w:t>
      </w:r>
      <w:r w:rsidR="003D7A4B">
        <w:t xml:space="preserve"> Tooth surface will be blot dried by air flow</w:t>
      </w:r>
      <w:r w:rsidR="003D7A4B" w:rsidRPr="0034661C">
        <w:t xml:space="preserve"> </w:t>
      </w:r>
      <w:r w:rsidR="003D7A4B">
        <w:t>and cotton pellets.</w:t>
      </w:r>
      <w:r w:rsidR="003D7A4B" w:rsidRPr="0034661C">
        <w:t xml:space="preserve"> </w:t>
      </w:r>
      <w:r w:rsidR="003D7A4B" w:rsidRPr="0034661C">
        <w:rPr>
          <w:rFonts w:ascii="TimesNewRomanPSMT" w:hAnsi="TimesNewRomanPSMT" w:cs="TimesNewRomanPSMT"/>
        </w:rPr>
        <w:t>Fuji Triage</w:t>
      </w:r>
      <w:r w:rsidR="003D7A4B" w:rsidRPr="0034661C">
        <w:t xml:space="preserve"> </w:t>
      </w:r>
      <w:r w:rsidR="003D7A4B">
        <w:t>capsule will be mixed by an amalgamator for 10 seconds.</w:t>
      </w:r>
      <w:r w:rsidR="003D7A4B" w:rsidRPr="003D7A4B">
        <w:rPr>
          <w:rFonts w:ascii="TimesNewRomanPSMT" w:hAnsi="TimesNewRomanPSMT" w:cs="TimesNewRomanPSMT"/>
          <w:sz w:val="18"/>
          <w:szCs w:val="18"/>
        </w:rPr>
        <w:t xml:space="preserve"> </w:t>
      </w:r>
      <w:r w:rsidR="003D7A4B" w:rsidRPr="003D7A4B">
        <w:t>The</w:t>
      </w:r>
      <w:r w:rsidR="003D7A4B">
        <w:t>n the</w:t>
      </w:r>
      <w:r w:rsidR="003D7A4B" w:rsidRPr="003D7A4B">
        <w:t xml:space="preserve"> capsule</w:t>
      </w:r>
      <w:r w:rsidR="003D7A4B">
        <w:t xml:space="preserve"> will be </w:t>
      </w:r>
      <w:r w:rsidR="003D7A4B" w:rsidRPr="003D7A4B">
        <w:t xml:space="preserve">inserted into the </w:t>
      </w:r>
      <w:r w:rsidR="003D7A4B">
        <w:t>GC capsule applicator (GC, Tokyo,</w:t>
      </w:r>
      <w:r w:rsidR="00347886">
        <w:t xml:space="preserve"> </w:t>
      </w:r>
      <w:r w:rsidR="003D7A4B">
        <w:t>Japan) and will be triggered and applied to pits and fissures on the selected tooth surface. After 2 and a half minutes (setting time for Fuji triage), petroleum gel will be wiped on the sealant surface.</w:t>
      </w:r>
    </w:p>
    <w:p w14:paraId="11B5E38D" w14:textId="047F97E6" w:rsidR="003C261F" w:rsidRDefault="003C261F" w:rsidP="00543ABF">
      <w:pPr>
        <w:jc w:val="both"/>
      </w:pPr>
      <w:r>
        <w:t>The chemical composition of treatment materials is presented in table 3.</w:t>
      </w:r>
    </w:p>
    <w:p w14:paraId="51850041" w14:textId="77777777" w:rsidR="00543ABF" w:rsidRDefault="00543ABF" w:rsidP="00543ABF">
      <w:pPr>
        <w:jc w:val="both"/>
      </w:pPr>
    </w:p>
    <w:tbl>
      <w:tblPr>
        <w:tblStyle w:val="TableGrid"/>
        <w:tblW w:w="0" w:type="auto"/>
        <w:jc w:val="center"/>
        <w:tblLook w:val="04A0" w:firstRow="1" w:lastRow="0" w:firstColumn="1" w:lastColumn="0" w:noHBand="0" w:noVBand="1"/>
      </w:tblPr>
      <w:tblGrid>
        <w:gridCol w:w="2155"/>
        <w:gridCol w:w="2155"/>
      </w:tblGrid>
      <w:tr w:rsidR="000E45C7" w:rsidRPr="000E45C7" w14:paraId="561B1EC5" w14:textId="77777777" w:rsidTr="00543ABF">
        <w:trPr>
          <w:jc w:val="center"/>
        </w:trPr>
        <w:tc>
          <w:tcPr>
            <w:tcW w:w="4310" w:type="dxa"/>
            <w:gridSpan w:val="2"/>
            <w:tcBorders>
              <w:top w:val="nil"/>
              <w:left w:val="nil"/>
              <w:right w:val="nil"/>
            </w:tcBorders>
          </w:tcPr>
          <w:p w14:paraId="4511C764" w14:textId="0C68082F" w:rsidR="000E45C7" w:rsidRPr="000E45C7" w:rsidRDefault="000E45C7" w:rsidP="00543ABF">
            <w:pPr>
              <w:jc w:val="both"/>
              <w:rPr>
                <w:sz w:val="18"/>
                <w:szCs w:val="18"/>
              </w:rPr>
            </w:pPr>
            <w:r w:rsidRPr="000E45C7">
              <w:rPr>
                <w:sz w:val="18"/>
                <w:szCs w:val="18"/>
              </w:rPr>
              <w:lastRenderedPageBreak/>
              <w:t xml:space="preserve">Table 2: The </w:t>
            </w:r>
            <w:proofErr w:type="spellStart"/>
            <w:r w:rsidRPr="000E45C7">
              <w:rPr>
                <w:sz w:val="18"/>
                <w:szCs w:val="18"/>
              </w:rPr>
              <w:t>Lussi</w:t>
            </w:r>
            <w:proofErr w:type="spellEnd"/>
            <w:r w:rsidRPr="000E45C7">
              <w:rPr>
                <w:sz w:val="18"/>
                <w:szCs w:val="18"/>
              </w:rPr>
              <w:t xml:space="preserve"> and </w:t>
            </w:r>
            <w:proofErr w:type="spellStart"/>
            <w:r w:rsidRPr="000E45C7">
              <w:rPr>
                <w:sz w:val="18"/>
                <w:szCs w:val="18"/>
              </w:rPr>
              <w:t>Helwing</w:t>
            </w:r>
            <w:proofErr w:type="spellEnd"/>
            <w:r w:rsidRPr="000E45C7">
              <w:rPr>
                <w:sz w:val="18"/>
                <w:szCs w:val="18"/>
              </w:rPr>
              <w:t xml:space="preserve"> classification for DIAGNOdent </w:t>
            </w:r>
            <w:r w:rsidR="00543ABF">
              <w:rPr>
                <w:sz w:val="18"/>
                <w:szCs w:val="18"/>
              </w:rPr>
              <w:t>values</w:t>
            </w:r>
          </w:p>
        </w:tc>
      </w:tr>
      <w:tr w:rsidR="00543ABF" w:rsidRPr="000E45C7" w14:paraId="1161448F" w14:textId="77777777" w:rsidTr="00543ABF">
        <w:trPr>
          <w:jc w:val="center"/>
        </w:trPr>
        <w:tc>
          <w:tcPr>
            <w:tcW w:w="2155" w:type="dxa"/>
          </w:tcPr>
          <w:p w14:paraId="1302B739" w14:textId="6325F19B" w:rsidR="00543ABF" w:rsidRPr="00543ABF" w:rsidRDefault="00543ABF" w:rsidP="00543ABF">
            <w:pPr>
              <w:jc w:val="center"/>
              <w:rPr>
                <w:b/>
                <w:bCs/>
                <w:sz w:val="18"/>
                <w:szCs w:val="18"/>
              </w:rPr>
            </w:pPr>
            <w:r>
              <w:rPr>
                <w:b/>
                <w:bCs/>
                <w:sz w:val="18"/>
                <w:szCs w:val="18"/>
              </w:rPr>
              <w:t>Values</w:t>
            </w:r>
          </w:p>
        </w:tc>
        <w:tc>
          <w:tcPr>
            <w:tcW w:w="2155" w:type="dxa"/>
          </w:tcPr>
          <w:p w14:paraId="6A3BC0D3" w14:textId="729096CC" w:rsidR="00543ABF" w:rsidRPr="00543ABF" w:rsidRDefault="00543ABF" w:rsidP="00543ABF">
            <w:pPr>
              <w:jc w:val="center"/>
              <w:rPr>
                <w:b/>
                <w:bCs/>
                <w:sz w:val="18"/>
                <w:szCs w:val="18"/>
              </w:rPr>
            </w:pPr>
            <w:r w:rsidRPr="00543ABF">
              <w:rPr>
                <w:b/>
                <w:bCs/>
                <w:sz w:val="18"/>
                <w:szCs w:val="18"/>
              </w:rPr>
              <w:t>Diagnosis</w:t>
            </w:r>
          </w:p>
        </w:tc>
      </w:tr>
      <w:tr w:rsidR="000E45C7" w:rsidRPr="000E45C7" w14:paraId="278572F4" w14:textId="77777777" w:rsidTr="00543ABF">
        <w:trPr>
          <w:jc w:val="center"/>
        </w:trPr>
        <w:tc>
          <w:tcPr>
            <w:tcW w:w="2155" w:type="dxa"/>
          </w:tcPr>
          <w:p w14:paraId="6978446E" w14:textId="572B25D3" w:rsidR="000E45C7" w:rsidRPr="000E45C7" w:rsidRDefault="000E45C7" w:rsidP="00543ABF">
            <w:pPr>
              <w:jc w:val="center"/>
              <w:rPr>
                <w:sz w:val="18"/>
                <w:szCs w:val="18"/>
              </w:rPr>
            </w:pPr>
            <w:r w:rsidRPr="000E45C7">
              <w:rPr>
                <w:sz w:val="18"/>
                <w:szCs w:val="18"/>
              </w:rPr>
              <w:t>0-13</w:t>
            </w:r>
          </w:p>
        </w:tc>
        <w:tc>
          <w:tcPr>
            <w:tcW w:w="2155" w:type="dxa"/>
          </w:tcPr>
          <w:p w14:paraId="45E61A22" w14:textId="4FDF3F30" w:rsidR="000E45C7" w:rsidRPr="000E45C7" w:rsidRDefault="000E45C7" w:rsidP="00543ABF">
            <w:pPr>
              <w:jc w:val="center"/>
              <w:rPr>
                <w:sz w:val="18"/>
                <w:szCs w:val="18"/>
              </w:rPr>
            </w:pPr>
            <w:r w:rsidRPr="000E45C7">
              <w:rPr>
                <w:sz w:val="18"/>
                <w:szCs w:val="18"/>
              </w:rPr>
              <w:t>sound dental tissue</w:t>
            </w:r>
          </w:p>
        </w:tc>
      </w:tr>
      <w:tr w:rsidR="000E45C7" w:rsidRPr="000E45C7" w14:paraId="3C2B3081" w14:textId="77777777" w:rsidTr="00543ABF">
        <w:trPr>
          <w:jc w:val="center"/>
        </w:trPr>
        <w:tc>
          <w:tcPr>
            <w:tcW w:w="2155" w:type="dxa"/>
          </w:tcPr>
          <w:p w14:paraId="4597C3FF" w14:textId="2D9F03B3" w:rsidR="000E45C7" w:rsidRPr="000E45C7" w:rsidRDefault="000E45C7" w:rsidP="00543ABF">
            <w:pPr>
              <w:jc w:val="center"/>
              <w:rPr>
                <w:sz w:val="18"/>
                <w:szCs w:val="18"/>
              </w:rPr>
            </w:pPr>
            <w:r w:rsidRPr="000E45C7">
              <w:rPr>
                <w:sz w:val="18"/>
                <w:szCs w:val="18"/>
              </w:rPr>
              <w:t>14-20</w:t>
            </w:r>
          </w:p>
        </w:tc>
        <w:tc>
          <w:tcPr>
            <w:tcW w:w="2155" w:type="dxa"/>
          </w:tcPr>
          <w:p w14:paraId="6A46E0CE" w14:textId="2C5AF6A4" w:rsidR="000E45C7" w:rsidRPr="000E45C7" w:rsidRDefault="000E45C7" w:rsidP="00543ABF">
            <w:pPr>
              <w:jc w:val="center"/>
              <w:rPr>
                <w:sz w:val="18"/>
                <w:szCs w:val="18"/>
              </w:rPr>
            </w:pPr>
            <w:r w:rsidRPr="000E45C7">
              <w:rPr>
                <w:sz w:val="18"/>
                <w:szCs w:val="18"/>
              </w:rPr>
              <w:t>lesions detected in outer half of enamel</w:t>
            </w:r>
          </w:p>
        </w:tc>
      </w:tr>
      <w:tr w:rsidR="000E45C7" w:rsidRPr="000E45C7" w14:paraId="39AE7F76" w14:textId="77777777" w:rsidTr="00543ABF">
        <w:trPr>
          <w:jc w:val="center"/>
        </w:trPr>
        <w:tc>
          <w:tcPr>
            <w:tcW w:w="2155" w:type="dxa"/>
          </w:tcPr>
          <w:p w14:paraId="5FF08D64" w14:textId="40908039" w:rsidR="000E45C7" w:rsidRPr="000E45C7" w:rsidRDefault="000E45C7" w:rsidP="00543ABF">
            <w:pPr>
              <w:jc w:val="center"/>
              <w:rPr>
                <w:sz w:val="18"/>
                <w:szCs w:val="18"/>
              </w:rPr>
            </w:pPr>
            <w:r w:rsidRPr="000E45C7">
              <w:rPr>
                <w:sz w:val="18"/>
                <w:szCs w:val="18"/>
              </w:rPr>
              <w:t>21-29</w:t>
            </w:r>
          </w:p>
        </w:tc>
        <w:tc>
          <w:tcPr>
            <w:tcW w:w="2155" w:type="dxa"/>
          </w:tcPr>
          <w:p w14:paraId="2A6D2EF0" w14:textId="2EC5ACAC" w:rsidR="000E45C7" w:rsidRPr="000E45C7" w:rsidRDefault="000E45C7" w:rsidP="00543ABF">
            <w:pPr>
              <w:jc w:val="center"/>
              <w:rPr>
                <w:sz w:val="18"/>
                <w:szCs w:val="18"/>
              </w:rPr>
            </w:pPr>
            <w:r w:rsidRPr="000E45C7">
              <w:rPr>
                <w:sz w:val="18"/>
                <w:szCs w:val="18"/>
              </w:rPr>
              <w:t>Lesion detected in inner half of enamel</w:t>
            </w:r>
          </w:p>
        </w:tc>
      </w:tr>
      <w:tr w:rsidR="000E45C7" w:rsidRPr="000E45C7" w14:paraId="53B80348" w14:textId="77777777" w:rsidTr="00543ABF">
        <w:trPr>
          <w:jc w:val="center"/>
        </w:trPr>
        <w:tc>
          <w:tcPr>
            <w:tcW w:w="2155" w:type="dxa"/>
          </w:tcPr>
          <w:p w14:paraId="5BE49007" w14:textId="459CE8D9" w:rsidR="000E45C7" w:rsidRPr="000E45C7" w:rsidRDefault="000E45C7" w:rsidP="00543ABF">
            <w:pPr>
              <w:jc w:val="center"/>
              <w:rPr>
                <w:sz w:val="18"/>
                <w:szCs w:val="18"/>
              </w:rPr>
            </w:pPr>
            <w:r w:rsidRPr="000E45C7">
              <w:rPr>
                <w:sz w:val="18"/>
                <w:szCs w:val="18"/>
              </w:rPr>
              <w:t xml:space="preserve">30 or </w:t>
            </w:r>
            <w:r>
              <w:rPr>
                <w:sz w:val="18"/>
                <w:szCs w:val="18"/>
              </w:rPr>
              <w:t>&lt;</w:t>
            </w:r>
          </w:p>
        </w:tc>
        <w:tc>
          <w:tcPr>
            <w:tcW w:w="2155" w:type="dxa"/>
          </w:tcPr>
          <w:p w14:paraId="6A76340F" w14:textId="6AD2C342" w:rsidR="000E45C7" w:rsidRPr="000E45C7" w:rsidRDefault="000E45C7" w:rsidP="00543ABF">
            <w:pPr>
              <w:jc w:val="center"/>
              <w:rPr>
                <w:sz w:val="18"/>
                <w:szCs w:val="18"/>
              </w:rPr>
            </w:pPr>
            <w:r w:rsidRPr="000E45C7">
              <w:rPr>
                <w:sz w:val="18"/>
                <w:szCs w:val="18"/>
              </w:rPr>
              <w:t>lesions detected in the dentin</w:t>
            </w:r>
          </w:p>
        </w:tc>
      </w:tr>
    </w:tbl>
    <w:p w14:paraId="077B9059" w14:textId="77777777" w:rsidR="000E45C7" w:rsidRDefault="000E45C7" w:rsidP="00543ABF">
      <w:pPr>
        <w:jc w:val="both"/>
        <w:rPr>
          <w:b/>
          <w:bCs/>
        </w:rPr>
      </w:pPr>
    </w:p>
    <w:p w14:paraId="2E18B858" w14:textId="13E30676" w:rsidR="003D7A4B" w:rsidRPr="00CD62E9" w:rsidRDefault="00347886" w:rsidP="00543ABF">
      <w:pPr>
        <w:jc w:val="both"/>
        <w:rPr>
          <w:b/>
          <w:bCs/>
        </w:rPr>
      </w:pPr>
      <w:r w:rsidRPr="00CD62E9">
        <w:rPr>
          <w:b/>
          <w:bCs/>
        </w:rPr>
        <w:t xml:space="preserve">Outcome </w:t>
      </w:r>
      <w:r w:rsidR="00CD62E9" w:rsidRPr="00CD62E9">
        <w:rPr>
          <w:b/>
          <w:bCs/>
        </w:rPr>
        <w:t>measurement</w:t>
      </w:r>
    </w:p>
    <w:p w14:paraId="5D6714C5" w14:textId="4125C3B2" w:rsidR="005F5652" w:rsidRDefault="00CD62E9" w:rsidP="00543ABF">
      <w:pPr>
        <w:jc w:val="both"/>
      </w:pPr>
      <w:r>
        <w:t>The follow up recalls will be conducted after 3 and 6 months</w:t>
      </w:r>
      <w:r w:rsidR="005F5652">
        <w:t xml:space="preserve"> for all participants.</w:t>
      </w:r>
      <w:r>
        <w:t xml:space="preserve"> Retention</w:t>
      </w:r>
      <w:r w:rsidR="005F5652">
        <w:t xml:space="preserve"> and remineralization effect of the applied sealants</w:t>
      </w:r>
      <w:r>
        <w:t xml:space="preserve"> will be evaluated </w:t>
      </w:r>
      <w:r w:rsidR="005F5652">
        <w:t>by two calibrated investigators.</w:t>
      </w:r>
    </w:p>
    <w:p w14:paraId="2BA7BE2F" w14:textId="7ACD3996" w:rsidR="00CD62E9" w:rsidRDefault="005F5652" w:rsidP="00543ABF">
      <w:pPr>
        <w:autoSpaceDE w:val="0"/>
        <w:autoSpaceDN w:val="0"/>
        <w:adjustRightInd w:val="0"/>
        <w:spacing w:after="0" w:line="240" w:lineRule="auto"/>
        <w:jc w:val="both"/>
        <w:rPr>
          <w:rFonts w:ascii="CenturySchoolbook" w:hAnsi="CenturySchoolbook" w:cs="CenturySchoolbook"/>
          <w:sz w:val="18"/>
          <w:szCs w:val="18"/>
        </w:rPr>
      </w:pPr>
      <w:r>
        <w:t xml:space="preserve">Each sealant will be examined for retention at </w:t>
      </w:r>
      <w:r w:rsidRPr="005F5652">
        <w:rPr>
          <w:rFonts w:cstheme="minorHAnsi"/>
        </w:rPr>
        <w:t xml:space="preserve">3 and 6 months follow up recalls using a dental explorer </w:t>
      </w:r>
      <w:r w:rsidR="00CD62E9" w:rsidRPr="005F5652">
        <w:rPr>
          <w:rFonts w:cstheme="minorHAnsi"/>
        </w:rPr>
        <w:t xml:space="preserve">following </w:t>
      </w:r>
      <w:r w:rsidRPr="005F5652">
        <w:rPr>
          <w:rFonts w:cstheme="minorHAnsi"/>
        </w:rPr>
        <w:t xml:space="preserve">the </w:t>
      </w:r>
      <w:r w:rsidR="00CD62E9" w:rsidRPr="005F5652">
        <w:rPr>
          <w:rFonts w:cstheme="minorHAnsi"/>
        </w:rPr>
        <w:t xml:space="preserve">criteria score: </w:t>
      </w:r>
      <w:r>
        <w:rPr>
          <w:rFonts w:cstheme="minorHAnsi"/>
        </w:rPr>
        <w:t xml:space="preserve">0 = </w:t>
      </w:r>
      <w:r w:rsidRPr="005F5652">
        <w:rPr>
          <w:rFonts w:cstheme="minorHAnsi"/>
          <w:color w:val="231F20"/>
        </w:rPr>
        <w:t xml:space="preserve">sealant completely retained; </w:t>
      </w:r>
      <w:r>
        <w:rPr>
          <w:rFonts w:cstheme="minorHAnsi"/>
          <w:color w:val="231F20"/>
        </w:rPr>
        <w:t xml:space="preserve">1 = </w:t>
      </w:r>
      <w:r w:rsidRPr="005F5652">
        <w:rPr>
          <w:rFonts w:cstheme="minorHAnsi"/>
          <w:color w:val="231F20"/>
        </w:rPr>
        <w:t>sealant partially lost or</w:t>
      </w:r>
      <w:r>
        <w:rPr>
          <w:rFonts w:cstheme="minorHAnsi"/>
          <w:color w:val="231F20"/>
        </w:rPr>
        <w:t xml:space="preserve"> 2 = s</w:t>
      </w:r>
      <w:r w:rsidRPr="005F5652">
        <w:rPr>
          <w:rFonts w:cstheme="minorHAnsi"/>
          <w:color w:val="231F20"/>
        </w:rPr>
        <w:t>ealant completely lost.</w:t>
      </w:r>
      <w:r>
        <w:rPr>
          <w:rFonts w:cstheme="minorHAnsi"/>
          <w:color w:val="231F20"/>
        </w:rPr>
        <w:t xml:space="preserve"> (</w:t>
      </w:r>
      <w:proofErr w:type="spellStart"/>
      <w:r>
        <w:rPr>
          <w:rFonts w:ascii="CenturySchoolbook" w:hAnsi="CenturySchoolbook" w:cs="CenturySchoolbook"/>
          <w:sz w:val="18"/>
          <w:szCs w:val="18"/>
        </w:rPr>
        <w:t>Oulis</w:t>
      </w:r>
      <w:proofErr w:type="spellEnd"/>
      <w:r>
        <w:rPr>
          <w:rFonts w:ascii="CenturySchoolbook" w:hAnsi="CenturySchoolbook" w:cs="CenturySchoolbook"/>
          <w:sz w:val="18"/>
          <w:szCs w:val="18"/>
        </w:rPr>
        <w:t xml:space="preserve"> and </w:t>
      </w:r>
      <w:proofErr w:type="spellStart"/>
      <w:r>
        <w:rPr>
          <w:rFonts w:ascii="CenturySchoolbook" w:hAnsi="CenturySchoolbook" w:cs="CenturySchoolbook"/>
          <w:sz w:val="18"/>
          <w:szCs w:val="18"/>
        </w:rPr>
        <w:t>Berdouses</w:t>
      </w:r>
      <w:proofErr w:type="spellEnd"/>
      <w:r>
        <w:rPr>
          <w:rFonts w:ascii="CenturySchoolbook" w:hAnsi="CenturySchoolbook" w:cs="CenturySchoolbook"/>
          <w:sz w:val="18"/>
          <w:szCs w:val="18"/>
        </w:rPr>
        <w:t>)</w:t>
      </w:r>
    </w:p>
    <w:p w14:paraId="2E27195E" w14:textId="2D04F7F4" w:rsidR="005F5652" w:rsidRDefault="005F5652" w:rsidP="00543ABF">
      <w:pPr>
        <w:autoSpaceDE w:val="0"/>
        <w:autoSpaceDN w:val="0"/>
        <w:adjustRightInd w:val="0"/>
        <w:spacing w:after="0" w:line="240" w:lineRule="auto"/>
        <w:jc w:val="both"/>
        <w:rPr>
          <w:rFonts w:ascii="NewCenturySchlbk-Roman" w:hAnsi="NewCenturySchlbk-Roman" w:cs="NewCenturySchlbk-Roman"/>
          <w:color w:val="231F20"/>
          <w:sz w:val="20"/>
          <w:szCs w:val="20"/>
        </w:rPr>
      </w:pPr>
    </w:p>
    <w:p w14:paraId="1290C82B" w14:textId="42D53028" w:rsidR="003C261F" w:rsidRPr="003C261F" w:rsidRDefault="003C261F" w:rsidP="00543ABF">
      <w:pPr>
        <w:autoSpaceDE w:val="0"/>
        <w:autoSpaceDN w:val="0"/>
        <w:adjustRightInd w:val="0"/>
        <w:spacing w:after="0" w:line="240" w:lineRule="auto"/>
        <w:jc w:val="both"/>
        <w:rPr>
          <w:rFonts w:cstheme="minorHAnsi"/>
          <w:color w:val="231F20"/>
        </w:rPr>
      </w:pPr>
      <w:r w:rsidRPr="003C261F">
        <w:rPr>
          <w:rFonts w:cstheme="minorHAnsi"/>
          <w:color w:val="231F20"/>
        </w:rPr>
        <w:t>At the second recall and after retention evaluation, sealants will be removed using</w:t>
      </w:r>
      <w:r>
        <w:rPr>
          <w:rFonts w:cstheme="minorHAnsi"/>
          <w:color w:val="231F20"/>
        </w:rPr>
        <w:t xml:space="preserve"> an air abrasion device (</w:t>
      </w:r>
      <w:proofErr w:type="spellStart"/>
      <w:r w:rsidRPr="003C261F">
        <w:rPr>
          <w:rFonts w:cstheme="minorHAnsi"/>
          <w:color w:val="231F20"/>
        </w:rPr>
        <w:t>Rondoflex</w:t>
      </w:r>
      <w:proofErr w:type="spellEnd"/>
      <w:r w:rsidRPr="003C261F">
        <w:rPr>
          <w:rFonts w:cstheme="minorHAnsi"/>
          <w:color w:val="231F20"/>
        </w:rPr>
        <w:t>-plus 360</w:t>
      </w:r>
    </w:p>
    <w:p w14:paraId="32A90616" w14:textId="43FB1F06" w:rsidR="005F5652" w:rsidRDefault="003C261F" w:rsidP="00543ABF">
      <w:pPr>
        <w:autoSpaceDE w:val="0"/>
        <w:autoSpaceDN w:val="0"/>
        <w:adjustRightInd w:val="0"/>
        <w:spacing w:after="0" w:line="240" w:lineRule="auto"/>
        <w:jc w:val="both"/>
        <w:rPr>
          <w:rFonts w:cstheme="minorHAnsi"/>
          <w:color w:val="231F20"/>
        </w:rPr>
      </w:pPr>
      <w:proofErr w:type="spellStart"/>
      <w:r w:rsidRPr="003C261F">
        <w:rPr>
          <w:rFonts w:cstheme="minorHAnsi"/>
          <w:color w:val="231F20"/>
        </w:rPr>
        <w:t>Kavo</w:t>
      </w:r>
      <w:proofErr w:type="spellEnd"/>
      <w:r w:rsidRPr="003C261F">
        <w:rPr>
          <w:rFonts w:cstheme="minorHAnsi"/>
          <w:color w:val="231F20"/>
        </w:rPr>
        <w:t xml:space="preserve">®, </w:t>
      </w:r>
      <w:proofErr w:type="spellStart"/>
      <w:r w:rsidRPr="003C261F">
        <w:rPr>
          <w:rFonts w:cstheme="minorHAnsi"/>
          <w:color w:val="231F20"/>
        </w:rPr>
        <w:t>Biberach</w:t>
      </w:r>
      <w:proofErr w:type="spellEnd"/>
      <w:r w:rsidRPr="003C261F">
        <w:rPr>
          <w:rFonts w:cstheme="minorHAnsi"/>
          <w:color w:val="231F20"/>
        </w:rPr>
        <w:t>, Germany)</w:t>
      </w:r>
      <w:r>
        <w:rPr>
          <w:rFonts w:cstheme="minorHAnsi"/>
          <w:color w:val="231F20"/>
        </w:rPr>
        <w:t>.</w:t>
      </w:r>
    </w:p>
    <w:p w14:paraId="13E1F5C2" w14:textId="5E9DDF61" w:rsidR="003C261F" w:rsidRDefault="003C261F" w:rsidP="00543ABF">
      <w:pPr>
        <w:autoSpaceDE w:val="0"/>
        <w:autoSpaceDN w:val="0"/>
        <w:adjustRightInd w:val="0"/>
        <w:spacing w:after="0" w:line="240" w:lineRule="auto"/>
        <w:jc w:val="both"/>
        <w:rPr>
          <w:rFonts w:cstheme="minorHAnsi"/>
          <w:color w:val="231F20"/>
        </w:rPr>
      </w:pPr>
    </w:p>
    <w:p w14:paraId="698F6626" w14:textId="66AB4174" w:rsidR="003C261F" w:rsidRDefault="003C261F" w:rsidP="00543ABF">
      <w:pPr>
        <w:autoSpaceDE w:val="0"/>
        <w:autoSpaceDN w:val="0"/>
        <w:adjustRightInd w:val="0"/>
        <w:spacing w:after="0" w:line="240" w:lineRule="auto"/>
        <w:jc w:val="both"/>
        <w:rPr>
          <w:rFonts w:cstheme="minorHAnsi"/>
          <w:color w:val="231F20"/>
        </w:rPr>
      </w:pPr>
      <w:r>
        <w:rPr>
          <w:rFonts w:cstheme="minorHAnsi"/>
          <w:color w:val="231F20"/>
        </w:rPr>
        <w:t xml:space="preserve">After that, Remineralization assessment will be conducted using DIAGNOdent device using the same technique that was used at baseline measurements. </w:t>
      </w:r>
    </w:p>
    <w:p w14:paraId="6D6D5B2B" w14:textId="5F0F8518" w:rsidR="00543ABF" w:rsidRDefault="00543ABF" w:rsidP="00543ABF">
      <w:pPr>
        <w:jc w:val="both"/>
      </w:pPr>
    </w:p>
    <w:tbl>
      <w:tblPr>
        <w:tblStyle w:val="TableGrid"/>
        <w:tblW w:w="0" w:type="auto"/>
        <w:tblInd w:w="5" w:type="dxa"/>
        <w:tblLook w:val="04A0" w:firstRow="1" w:lastRow="0" w:firstColumn="1" w:lastColumn="0" w:noHBand="0" w:noVBand="1"/>
      </w:tblPr>
      <w:tblGrid>
        <w:gridCol w:w="2151"/>
        <w:gridCol w:w="2154"/>
      </w:tblGrid>
      <w:tr w:rsidR="00543ABF" w14:paraId="2152B9DC" w14:textId="77777777" w:rsidTr="00A91B85">
        <w:tc>
          <w:tcPr>
            <w:tcW w:w="4310" w:type="dxa"/>
            <w:gridSpan w:val="2"/>
            <w:tcBorders>
              <w:top w:val="nil"/>
              <w:left w:val="nil"/>
              <w:right w:val="nil"/>
            </w:tcBorders>
          </w:tcPr>
          <w:p w14:paraId="64F18A47" w14:textId="778ABD99" w:rsidR="00543ABF" w:rsidRPr="00A91B85" w:rsidRDefault="00543ABF" w:rsidP="00543ABF">
            <w:pPr>
              <w:jc w:val="both"/>
              <w:rPr>
                <w:sz w:val="16"/>
                <w:szCs w:val="16"/>
                <w:rtl/>
                <w:lang w:bidi="ar-SY"/>
              </w:rPr>
            </w:pPr>
            <w:r w:rsidRPr="00A91B85">
              <w:rPr>
                <w:sz w:val="16"/>
                <w:szCs w:val="16"/>
                <w:lang w:bidi="ar-SY"/>
              </w:rPr>
              <w:t xml:space="preserve">Table 3: </w:t>
            </w:r>
            <w:r w:rsidR="00A91B85" w:rsidRPr="00A91B85">
              <w:rPr>
                <w:sz w:val="16"/>
                <w:szCs w:val="16"/>
                <w:lang w:bidi="ar-SY"/>
              </w:rPr>
              <w:t>Composition of m</w:t>
            </w:r>
            <w:r w:rsidRPr="00A91B85">
              <w:rPr>
                <w:sz w:val="16"/>
                <w:szCs w:val="16"/>
                <w:lang w:bidi="ar-SY"/>
              </w:rPr>
              <w:t>aterials used in the study</w:t>
            </w:r>
          </w:p>
        </w:tc>
      </w:tr>
      <w:tr w:rsidR="00543ABF" w14:paraId="365C90CF" w14:textId="77777777" w:rsidTr="00A91B85">
        <w:tc>
          <w:tcPr>
            <w:tcW w:w="2155" w:type="dxa"/>
          </w:tcPr>
          <w:p w14:paraId="7DB0EE42" w14:textId="0EFA4FB1" w:rsidR="00543ABF" w:rsidRPr="00A91B85" w:rsidRDefault="00543ABF" w:rsidP="00543ABF">
            <w:pPr>
              <w:jc w:val="center"/>
              <w:rPr>
                <w:sz w:val="16"/>
                <w:szCs w:val="16"/>
              </w:rPr>
            </w:pPr>
            <w:r w:rsidRPr="00A91B85">
              <w:rPr>
                <w:rFonts w:cs="AGaramondPro-Semibold"/>
                <w:sz w:val="16"/>
                <w:szCs w:val="16"/>
              </w:rPr>
              <w:t>Material</w:t>
            </w:r>
          </w:p>
        </w:tc>
        <w:tc>
          <w:tcPr>
            <w:tcW w:w="2155" w:type="dxa"/>
          </w:tcPr>
          <w:p w14:paraId="07B142CE" w14:textId="1A7F00B9" w:rsidR="00543ABF" w:rsidRPr="00A91B85" w:rsidRDefault="00A91B85" w:rsidP="00A91B85">
            <w:pPr>
              <w:jc w:val="center"/>
              <w:rPr>
                <w:sz w:val="16"/>
                <w:szCs w:val="16"/>
              </w:rPr>
            </w:pPr>
            <w:r w:rsidRPr="00A91B85">
              <w:rPr>
                <w:sz w:val="16"/>
                <w:szCs w:val="16"/>
              </w:rPr>
              <w:t>composition</w:t>
            </w:r>
          </w:p>
        </w:tc>
      </w:tr>
      <w:tr w:rsidR="00543ABF" w14:paraId="539E5164" w14:textId="77777777" w:rsidTr="00A91B85">
        <w:tc>
          <w:tcPr>
            <w:tcW w:w="2155" w:type="dxa"/>
          </w:tcPr>
          <w:p w14:paraId="1B1988DA" w14:textId="2B097DAA" w:rsidR="00543ABF" w:rsidRPr="00A91B85" w:rsidRDefault="00A91B85" w:rsidP="00A91B85">
            <w:pPr>
              <w:autoSpaceDE w:val="0"/>
              <w:autoSpaceDN w:val="0"/>
              <w:adjustRightInd w:val="0"/>
              <w:jc w:val="center"/>
              <w:rPr>
                <w:rFonts w:cs="AGaramondPro-Regular"/>
                <w:sz w:val="16"/>
                <w:szCs w:val="16"/>
              </w:rPr>
            </w:pPr>
            <w:r w:rsidRPr="00A91B85">
              <w:rPr>
                <w:rFonts w:cs="AGaramondPro-Regular"/>
                <w:sz w:val="16"/>
                <w:szCs w:val="16"/>
              </w:rPr>
              <w:t xml:space="preserve">Embrace </w:t>
            </w:r>
            <w:proofErr w:type="spellStart"/>
            <w:r w:rsidRPr="00A91B85">
              <w:rPr>
                <w:rFonts w:cs="AGaramondPro-Regular"/>
                <w:sz w:val="16"/>
                <w:szCs w:val="16"/>
              </w:rPr>
              <w:t>WetBond</w:t>
            </w:r>
            <w:proofErr w:type="spellEnd"/>
            <w:r w:rsidRPr="00A91B85">
              <w:rPr>
                <w:rFonts w:cs="AGaramondPro-Regular"/>
                <w:sz w:val="16"/>
                <w:szCs w:val="16"/>
              </w:rPr>
              <w:t xml:space="preserve"> sealant</w:t>
            </w:r>
          </w:p>
        </w:tc>
        <w:tc>
          <w:tcPr>
            <w:tcW w:w="2155" w:type="dxa"/>
          </w:tcPr>
          <w:p w14:paraId="10D11233" w14:textId="77777777" w:rsidR="00A91B85" w:rsidRPr="00A91B85" w:rsidRDefault="00A91B85" w:rsidP="00A91B85">
            <w:pPr>
              <w:autoSpaceDE w:val="0"/>
              <w:autoSpaceDN w:val="0"/>
              <w:adjustRightInd w:val="0"/>
              <w:rPr>
                <w:rFonts w:cs="AGaramondPro-Regular"/>
                <w:sz w:val="16"/>
                <w:szCs w:val="16"/>
              </w:rPr>
            </w:pPr>
            <w:r w:rsidRPr="00A91B85">
              <w:rPr>
                <w:rFonts w:cs="AGaramondPro-Regular"/>
                <w:sz w:val="16"/>
                <w:szCs w:val="16"/>
              </w:rPr>
              <w:t>Light cure resin filled</w:t>
            </w:r>
          </w:p>
          <w:p w14:paraId="76226D4E" w14:textId="0BF4B406" w:rsidR="00A91B85" w:rsidRPr="00A91B85" w:rsidRDefault="00A91B85" w:rsidP="00A91B85">
            <w:pPr>
              <w:autoSpaceDE w:val="0"/>
              <w:autoSpaceDN w:val="0"/>
              <w:adjustRightInd w:val="0"/>
              <w:rPr>
                <w:rFonts w:cs="AGaramondPro-Regular"/>
                <w:sz w:val="16"/>
                <w:szCs w:val="16"/>
              </w:rPr>
            </w:pPr>
            <w:r w:rsidRPr="00A91B85">
              <w:rPr>
                <w:rFonts w:cs="AGaramondPro-Regular"/>
                <w:sz w:val="16"/>
                <w:szCs w:val="16"/>
              </w:rPr>
              <w:t xml:space="preserve">with glass particles Hydrophilic </w:t>
            </w:r>
            <w:proofErr w:type="spellStart"/>
            <w:r w:rsidRPr="00A91B85">
              <w:rPr>
                <w:rFonts w:cs="AGaramondPro-Regular"/>
                <w:sz w:val="16"/>
                <w:szCs w:val="16"/>
              </w:rPr>
              <w:t>dimethacrylic</w:t>
            </w:r>
            <w:proofErr w:type="spellEnd"/>
          </w:p>
          <w:p w14:paraId="3DA3E53E" w14:textId="21C8359C" w:rsidR="00543ABF" w:rsidRPr="00A91B85" w:rsidRDefault="00A91B85" w:rsidP="00A91B85">
            <w:pPr>
              <w:jc w:val="both"/>
              <w:rPr>
                <w:sz w:val="16"/>
                <w:szCs w:val="16"/>
              </w:rPr>
            </w:pPr>
            <w:r w:rsidRPr="00A91B85">
              <w:rPr>
                <w:rFonts w:cs="AGaramondPro-Regular"/>
                <w:sz w:val="16"/>
                <w:szCs w:val="16"/>
              </w:rPr>
              <w:t>esters resin-based</w:t>
            </w:r>
          </w:p>
        </w:tc>
      </w:tr>
      <w:tr w:rsidR="00543ABF" w14:paraId="0BC1A68A" w14:textId="77777777" w:rsidTr="00A91B85">
        <w:tc>
          <w:tcPr>
            <w:tcW w:w="2155" w:type="dxa"/>
          </w:tcPr>
          <w:p w14:paraId="001B4918" w14:textId="73A49CCD" w:rsidR="00543ABF" w:rsidRPr="00A91B85" w:rsidRDefault="00A91B85" w:rsidP="00A91B85">
            <w:pPr>
              <w:jc w:val="center"/>
              <w:rPr>
                <w:sz w:val="16"/>
                <w:szCs w:val="16"/>
              </w:rPr>
            </w:pPr>
            <w:r w:rsidRPr="00A91B85">
              <w:rPr>
                <w:rFonts w:cs="Arial-BoldItalicMT"/>
                <w:sz w:val="16"/>
                <w:szCs w:val="16"/>
              </w:rPr>
              <w:t>FUJI TRIAGE</w:t>
            </w:r>
          </w:p>
        </w:tc>
        <w:tc>
          <w:tcPr>
            <w:tcW w:w="2155" w:type="dxa"/>
          </w:tcPr>
          <w:p w14:paraId="31CFCB93" w14:textId="1ECC6186" w:rsidR="00543ABF" w:rsidRPr="00A91B85" w:rsidRDefault="00A91B85" w:rsidP="00A91B85">
            <w:pPr>
              <w:autoSpaceDE w:val="0"/>
              <w:autoSpaceDN w:val="0"/>
              <w:adjustRightInd w:val="0"/>
              <w:rPr>
                <w:rFonts w:cs="ArialMT"/>
                <w:sz w:val="16"/>
                <w:szCs w:val="16"/>
              </w:rPr>
            </w:pPr>
            <w:proofErr w:type="spellStart"/>
            <w:r w:rsidRPr="00A91B85">
              <w:rPr>
                <w:rFonts w:cs="ArialMT"/>
                <w:sz w:val="16"/>
                <w:szCs w:val="16"/>
              </w:rPr>
              <w:t>Glassionomer</w:t>
            </w:r>
            <w:proofErr w:type="spellEnd"/>
            <w:r w:rsidRPr="00A91B85">
              <w:rPr>
                <w:rFonts w:cs="ArialMT"/>
                <w:sz w:val="16"/>
                <w:szCs w:val="16"/>
              </w:rPr>
              <w:t>,</w:t>
            </w:r>
            <w:r>
              <w:rPr>
                <w:rFonts w:cs="ArialMT"/>
                <w:sz w:val="16"/>
                <w:szCs w:val="16"/>
              </w:rPr>
              <w:t xml:space="preserve"> </w:t>
            </w:r>
            <w:proofErr w:type="spellStart"/>
            <w:r w:rsidRPr="00A91B85">
              <w:rPr>
                <w:rFonts w:cs="ArialMT"/>
                <w:sz w:val="16"/>
                <w:szCs w:val="16"/>
              </w:rPr>
              <w:t>alimunofluorosilicate</w:t>
            </w:r>
            <w:proofErr w:type="spellEnd"/>
            <w:r w:rsidRPr="00A91B85">
              <w:rPr>
                <w:rFonts w:cs="ArialMT"/>
                <w:sz w:val="16"/>
                <w:szCs w:val="16"/>
              </w:rPr>
              <w:t xml:space="preserve"> glass, </w:t>
            </w:r>
            <w:proofErr w:type="spellStart"/>
            <w:r w:rsidRPr="00A91B85">
              <w:rPr>
                <w:rFonts w:cs="ArialMT"/>
                <w:sz w:val="16"/>
                <w:szCs w:val="16"/>
              </w:rPr>
              <w:t>polyacrylic</w:t>
            </w:r>
            <w:proofErr w:type="spellEnd"/>
            <w:r w:rsidRPr="00A91B85">
              <w:rPr>
                <w:rFonts w:cs="ArialMT"/>
                <w:sz w:val="16"/>
                <w:szCs w:val="16"/>
              </w:rPr>
              <w:t xml:space="preserve"> acid, distilled</w:t>
            </w:r>
            <w:r>
              <w:rPr>
                <w:rFonts w:cs="ArialMT"/>
                <w:sz w:val="16"/>
                <w:szCs w:val="16"/>
              </w:rPr>
              <w:t xml:space="preserve"> </w:t>
            </w:r>
            <w:r w:rsidRPr="00A91B85">
              <w:rPr>
                <w:rFonts w:cs="ArialMT"/>
                <w:sz w:val="16"/>
                <w:szCs w:val="16"/>
              </w:rPr>
              <w:t xml:space="preserve">water, </w:t>
            </w:r>
            <w:proofErr w:type="spellStart"/>
            <w:r w:rsidRPr="00A91B85">
              <w:rPr>
                <w:rFonts w:cs="ArialMT"/>
                <w:sz w:val="16"/>
                <w:szCs w:val="16"/>
              </w:rPr>
              <w:t>polybase</w:t>
            </w:r>
            <w:proofErr w:type="spellEnd"/>
            <w:r w:rsidRPr="00A91B85">
              <w:rPr>
                <w:rFonts w:cs="ArialMT"/>
                <w:sz w:val="16"/>
                <w:szCs w:val="16"/>
              </w:rPr>
              <w:t xml:space="preserve"> carboxylic acid</w:t>
            </w:r>
          </w:p>
        </w:tc>
      </w:tr>
    </w:tbl>
    <w:p w14:paraId="0C84530F" w14:textId="25F61AC2" w:rsidR="00CD62E9" w:rsidRDefault="00CD62E9" w:rsidP="00543ABF">
      <w:pPr>
        <w:jc w:val="both"/>
      </w:pPr>
    </w:p>
    <w:p w14:paraId="1B1C1F6C" w14:textId="77777777" w:rsidR="00CD62E9" w:rsidRPr="00C95F5D" w:rsidRDefault="00CD62E9" w:rsidP="00543ABF">
      <w:pPr>
        <w:jc w:val="both"/>
      </w:pPr>
    </w:p>
    <w:sectPr w:rsidR="00CD62E9" w:rsidRPr="00C95F5D" w:rsidSect="003C261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Schoolbook">
    <w:altName w:val="Cambria"/>
    <w:panose1 w:val="00000000000000000000"/>
    <w:charset w:val="00"/>
    <w:family w:val="roman"/>
    <w:notTrueType/>
    <w:pitch w:val="default"/>
    <w:sig w:usb0="00000003" w:usb1="00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AGaramondPro-Semibold">
    <w:altName w:val="Cambria"/>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rial-BoldItalicMT">
    <w:altName w:val="Arial"/>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F49AA"/>
    <w:multiLevelType w:val="hybridMultilevel"/>
    <w:tmpl w:val="F8C0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23FA4"/>
    <w:multiLevelType w:val="hybridMultilevel"/>
    <w:tmpl w:val="F8C0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23CCE"/>
    <w:multiLevelType w:val="hybridMultilevel"/>
    <w:tmpl w:val="E9562A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2F"/>
    <w:rsid w:val="00002663"/>
    <w:rsid w:val="00014C55"/>
    <w:rsid w:val="00032A29"/>
    <w:rsid w:val="000330F8"/>
    <w:rsid w:val="00083C52"/>
    <w:rsid w:val="0009547F"/>
    <w:rsid w:val="000A0CDF"/>
    <w:rsid w:val="000A40E2"/>
    <w:rsid w:val="000C0C21"/>
    <w:rsid w:val="000D30BC"/>
    <w:rsid w:val="000E2652"/>
    <w:rsid w:val="000E45C7"/>
    <w:rsid w:val="001249F2"/>
    <w:rsid w:val="00160B26"/>
    <w:rsid w:val="00191EB5"/>
    <w:rsid w:val="001B08B9"/>
    <w:rsid w:val="001C26E5"/>
    <w:rsid w:val="001C3ED4"/>
    <w:rsid w:val="001E1485"/>
    <w:rsid w:val="001E7DBA"/>
    <w:rsid w:val="001F73EC"/>
    <w:rsid w:val="001F7463"/>
    <w:rsid w:val="00200F86"/>
    <w:rsid w:val="00204840"/>
    <w:rsid w:val="0022679B"/>
    <w:rsid w:val="0023556F"/>
    <w:rsid w:val="0025595C"/>
    <w:rsid w:val="002640A6"/>
    <w:rsid w:val="00277E5B"/>
    <w:rsid w:val="0029451E"/>
    <w:rsid w:val="00296E12"/>
    <w:rsid w:val="002B0E59"/>
    <w:rsid w:val="002C0EE4"/>
    <w:rsid w:val="002C1004"/>
    <w:rsid w:val="002C481B"/>
    <w:rsid w:val="002D3B90"/>
    <w:rsid w:val="002E2AFF"/>
    <w:rsid w:val="002F2C2E"/>
    <w:rsid w:val="003021D5"/>
    <w:rsid w:val="0030739F"/>
    <w:rsid w:val="0031699A"/>
    <w:rsid w:val="00325E32"/>
    <w:rsid w:val="0034661C"/>
    <w:rsid w:val="00347886"/>
    <w:rsid w:val="003527A1"/>
    <w:rsid w:val="00392397"/>
    <w:rsid w:val="003A2091"/>
    <w:rsid w:val="003C261F"/>
    <w:rsid w:val="003C7D36"/>
    <w:rsid w:val="003D40CB"/>
    <w:rsid w:val="003D4B37"/>
    <w:rsid w:val="003D7A4B"/>
    <w:rsid w:val="00404A3D"/>
    <w:rsid w:val="004122A4"/>
    <w:rsid w:val="004201CF"/>
    <w:rsid w:val="0043782C"/>
    <w:rsid w:val="00457A18"/>
    <w:rsid w:val="00464957"/>
    <w:rsid w:val="00471978"/>
    <w:rsid w:val="00500EF5"/>
    <w:rsid w:val="00501BDF"/>
    <w:rsid w:val="00510291"/>
    <w:rsid w:val="005131C0"/>
    <w:rsid w:val="005157E4"/>
    <w:rsid w:val="00527EE7"/>
    <w:rsid w:val="00543ABF"/>
    <w:rsid w:val="00545F83"/>
    <w:rsid w:val="00552AB7"/>
    <w:rsid w:val="00556178"/>
    <w:rsid w:val="005634FC"/>
    <w:rsid w:val="005753E2"/>
    <w:rsid w:val="005B0DA5"/>
    <w:rsid w:val="005E12FA"/>
    <w:rsid w:val="005E76C4"/>
    <w:rsid w:val="005F36F6"/>
    <w:rsid w:val="005F5652"/>
    <w:rsid w:val="00614DE6"/>
    <w:rsid w:val="00617C28"/>
    <w:rsid w:val="006251F9"/>
    <w:rsid w:val="00634896"/>
    <w:rsid w:val="00656401"/>
    <w:rsid w:val="00676A36"/>
    <w:rsid w:val="00680D12"/>
    <w:rsid w:val="006832E5"/>
    <w:rsid w:val="006B6CFB"/>
    <w:rsid w:val="006C7E07"/>
    <w:rsid w:val="006C7E75"/>
    <w:rsid w:val="006D6B11"/>
    <w:rsid w:val="006F0B88"/>
    <w:rsid w:val="00704741"/>
    <w:rsid w:val="00736C2B"/>
    <w:rsid w:val="0074091F"/>
    <w:rsid w:val="00790E12"/>
    <w:rsid w:val="007A4029"/>
    <w:rsid w:val="007E2308"/>
    <w:rsid w:val="007E7875"/>
    <w:rsid w:val="007F57A3"/>
    <w:rsid w:val="00802F62"/>
    <w:rsid w:val="00817AE6"/>
    <w:rsid w:val="008334A7"/>
    <w:rsid w:val="008340ED"/>
    <w:rsid w:val="008726D9"/>
    <w:rsid w:val="00885A19"/>
    <w:rsid w:val="008A2998"/>
    <w:rsid w:val="008A4BB5"/>
    <w:rsid w:val="008B25BF"/>
    <w:rsid w:val="008B2CB6"/>
    <w:rsid w:val="008B7EBA"/>
    <w:rsid w:val="008F3440"/>
    <w:rsid w:val="008F4BAC"/>
    <w:rsid w:val="00920C8E"/>
    <w:rsid w:val="0092328E"/>
    <w:rsid w:val="009502E8"/>
    <w:rsid w:val="009512F4"/>
    <w:rsid w:val="0096551E"/>
    <w:rsid w:val="009A1E4F"/>
    <w:rsid w:val="009B0246"/>
    <w:rsid w:val="009D5E0F"/>
    <w:rsid w:val="009E2F4B"/>
    <w:rsid w:val="00A00332"/>
    <w:rsid w:val="00A046C1"/>
    <w:rsid w:val="00A11EF4"/>
    <w:rsid w:val="00A177EE"/>
    <w:rsid w:val="00A25CAC"/>
    <w:rsid w:val="00A26B92"/>
    <w:rsid w:val="00A32393"/>
    <w:rsid w:val="00A440F0"/>
    <w:rsid w:val="00A854B0"/>
    <w:rsid w:val="00A87A7F"/>
    <w:rsid w:val="00A91B85"/>
    <w:rsid w:val="00A979DD"/>
    <w:rsid w:val="00AD02C4"/>
    <w:rsid w:val="00AD5F9E"/>
    <w:rsid w:val="00AF452E"/>
    <w:rsid w:val="00AF5E2E"/>
    <w:rsid w:val="00B06F4E"/>
    <w:rsid w:val="00B160C9"/>
    <w:rsid w:val="00B30F12"/>
    <w:rsid w:val="00B31E3C"/>
    <w:rsid w:val="00B36FD3"/>
    <w:rsid w:val="00B633CD"/>
    <w:rsid w:val="00B66EEC"/>
    <w:rsid w:val="00B7431B"/>
    <w:rsid w:val="00B756F5"/>
    <w:rsid w:val="00B86A7B"/>
    <w:rsid w:val="00BA12E8"/>
    <w:rsid w:val="00BA6C41"/>
    <w:rsid w:val="00BB4E4C"/>
    <w:rsid w:val="00BD1033"/>
    <w:rsid w:val="00BD1F45"/>
    <w:rsid w:val="00BD79F2"/>
    <w:rsid w:val="00BE69E0"/>
    <w:rsid w:val="00C02A7F"/>
    <w:rsid w:val="00C3790E"/>
    <w:rsid w:val="00C41A59"/>
    <w:rsid w:val="00C43175"/>
    <w:rsid w:val="00C6051F"/>
    <w:rsid w:val="00C7616E"/>
    <w:rsid w:val="00C8463C"/>
    <w:rsid w:val="00C95F5D"/>
    <w:rsid w:val="00CA6633"/>
    <w:rsid w:val="00CB38B5"/>
    <w:rsid w:val="00CC1A38"/>
    <w:rsid w:val="00CD62E9"/>
    <w:rsid w:val="00D00F35"/>
    <w:rsid w:val="00D04BAF"/>
    <w:rsid w:val="00D13A5E"/>
    <w:rsid w:val="00D164B7"/>
    <w:rsid w:val="00D172CD"/>
    <w:rsid w:val="00D2630D"/>
    <w:rsid w:val="00D41458"/>
    <w:rsid w:val="00D46FC4"/>
    <w:rsid w:val="00D51714"/>
    <w:rsid w:val="00D76FF8"/>
    <w:rsid w:val="00D848A9"/>
    <w:rsid w:val="00D928C4"/>
    <w:rsid w:val="00D9673B"/>
    <w:rsid w:val="00DD350E"/>
    <w:rsid w:val="00DE25B0"/>
    <w:rsid w:val="00DF661F"/>
    <w:rsid w:val="00E02708"/>
    <w:rsid w:val="00E04F1C"/>
    <w:rsid w:val="00E06CF2"/>
    <w:rsid w:val="00E10381"/>
    <w:rsid w:val="00E13D95"/>
    <w:rsid w:val="00E22287"/>
    <w:rsid w:val="00E24FC7"/>
    <w:rsid w:val="00E27B4E"/>
    <w:rsid w:val="00E35993"/>
    <w:rsid w:val="00E36D53"/>
    <w:rsid w:val="00E41496"/>
    <w:rsid w:val="00E46A2C"/>
    <w:rsid w:val="00E521D6"/>
    <w:rsid w:val="00E568B4"/>
    <w:rsid w:val="00E60A87"/>
    <w:rsid w:val="00E66B25"/>
    <w:rsid w:val="00E72FA6"/>
    <w:rsid w:val="00E96542"/>
    <w:rsid w:val="00F065D8"/>
    <w:rsid w:val="00F15451"/>
    <w:rsid w:val="00F2500C"/>
    <w:rsid w:val="00F275FB"/>
    <w:rsid w:val="00F42837"/>
    <w:rsid w:val="00F7487E"/>
    <w:rsid w:val="00F827ED"/>
    <w:rsid w:val="00F861FC"/>
    <w:rsid w:val="00F9202F"/>
    <w:rsid w:val="00F9462E"/>
    <w:rsid w:val="00FA7879"/>
    <w:rsid w:val="00FB1914"/>
    <w:rsid w:val="00FD206A"/>
    <w:rsid w:val="00FE41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03D3"/>
  <w15:chartTrackingRefBased/>
  <w15:docId w15:val="{8EF04ED6-7801-41AF-BC8D-09DC4BA8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741"/>
    <w:pPr>
      <w:ind w:left="720"/>
      <w:contextualSpacing/>
    </w:pPr>
  </w:style>
  <w:style w:type="table" w:styleId="TableGrid">
    <w:name w:val="Table Grid"/>
    <w:basedOn w:val="TableNormal"/>
    <w:uiPriority w:val="39"/>
    <w:rsid w:val="008B2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zuhair Al neyrabia</dc:creator>
  <cp:keywords/>
  <dc:description/>
  <cp:lastModifiedBy>laith</cp:lastModifiedBy>
  <cp:revision>4</cp:revision>
  <dcterms:created xsi:type="dcterms:W3CDTF">2018-08-01T00:57:00Z</dcterms:created>
  <dcterms:modified xsi:type="dcterms:W3CDTF">2018-11-21T19:17:00Z</dcterms:modified>
</cp:coreProperties>
</file>