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5F92F" w14:textId="7BA4C010" w:rsidR="009027A3" w:rsidRDefault="009027A3" w:rsidP="00CC0019">
      <w:pPr>
        <w:ind w:left="1440" w:hanging="1440"/>
        <w:jc w:val="center"/>
        <w:rPr>
          <w:rFonts w:ascii="Times" w:hAnsi="Times" w:cstheme="majorHAnsi"/>
          <w:b/>
          <w:sz w:val="26"/>
          <w:szCs w:val="22"/>
        </w:rPr>
      </w:pPr>
      <w:bookmarkStart w:id="0" w:name="_GoBack"/>
      <w:bookmarkEnd w:id="0"/>
      <w:r w:rsidRPr="004B08F2">
        <w:rPr>
          <w:rFonts w:asciiTheme="majorHAnsi" w:hAnsiTheme="majorHAnsi" w:cstheme="majorHAnsi"/>
          <w:noProof/>
          <w:color w:val="0068B1"/>
          <w:sz w:val="21"/>
          <w:szCs w:val="21"/>
          <w:lang w:eastAsia="en-AU"/>
        </w:rPr>
        <w:drawing>
          <wp:inline distT="0" distB="0" distL="0" distR="0" wp14:anchorId="7A691620" wp14:editId="2C82D49E">
            <wp:extent cx="2286000" cy="666750"/>
            <wp:effectExtent l="0" t="0" r="0" b="0"/>
            <wp:docPr id="2" name="Picture 2" descr="https://monashhealth.org/wp-content/themes/MonashHealth/images/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nashhealth.org/wp-content/themes/MonashHealth/images/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66750"/>
                    </a:xfrm>
                    <a:prstGeom prst="rect">
                      <a:avLst/>
                    </a:prstGeom>
                    <a:noFill/>
                    <a:ln>
                      <a:noFill/>
                    </a:ln>
                  </pic:spPr>
                </pic:pic>
              </a:graphicData>
            </a:graphic>
          </wp:inline>
        </w:drawing>
      </w:r>
    </w:p>
    <w:p w14:paraId="12055160" w14:textId="77777777" w:rsidR="009027A3" w:rsidRDefault="009027A3" w:rsidP="00075724">
      <w:pPr>
        <w:ind w:left="1440" w:hanging="1440"/>
        <w:jc w:val="both"/>
        <w:rPr>
          <w:rFonts w:ascii="Times" w:hAnsi="Times" w:cstheme="majorHAnsi"/>
          <w:b/>
          <w:sz w:val="26"/>
          <w:szCs w:val="22"/>
        </w:rPr>
      </w:pPr>
    </w:p>
    <w:p w14:paraId="710F866C" w14:textId="77777777" w:rsidR="009027A3" w:rsidRDefault="009027A3" w:rsidP="00075724">
      <w:pPr>
        <w:ind w:left="1440" w:hanging="1440"/>
        <w:jc w:val="both"/>
        <w:rPr>
          <w:rFonts w:ascii="Times" w:hAnsi="Times" w:cstheme="majorHAnsi"/>
          <w:b/>
          <w:sz w:val="26"/>
          <w:szCs w:val="22"/>
        </w:rPr>
      </w:pPr>
    </w:p>
    <w:tbl>
      <w:tblPr>
        <w:tblW w:w="9648" w:type="dxa"/>
        <w:tblLook w:val="01E0" w:firstRow="1" w:lastRow="1" w:firstColumn="1" w:lastColumn="1" w:noHBand="0" w:noVBand="0"/>
      </w:tblPr>
      <w:tblGrid>
        <w:gridCol w:w="2268"/>
        <w:gridCol w:w="7380"/>
      </w:tblGrid>
      <w:tr w:rsidR="009027A3" w:rsidRPr="009027A3" w14:paraId="5F2A1CA7" w14:textId="77777777" w:rsidTr="00CC0019">
        <w:trPr>
          <w:trHeight w:val="435"/>
        </w:trPr>
        <w:tc>
          <w:tcPr>
            <w:tcW w:w="2268" w:type="dxa"/>
            <w:shd w:val="clear" w:color="auto" w:fill="auto"/>
          </w:tcPr>
          <w:p w14:paraId="23AC9AEA" w14:textId="77777777" w:rsidR="009027A3" w:rsidRPr="00CC0019" w:rsidRDefault="009027A3" w:rsidP="0053656B">
            <w:pPr>
              <w:rPr>
                <w:rFonts w:ascii="Times New Roman" w:hAnsi="Times New Roman" w:cs="Times New Roman"/>
              </w:rPr>
            </w:pPr>
            <w:r w:rsidRPr="00CC0019">
              <w:rPr>
                <w:rFonts w:ascii="Times New Roman" w:hAnsi="Times New Roman" w:cs="Times New Roman"/>
                <w:b/>
              </w:rPr>
              <w:t>Title</w:t>
            </w:r>
          </w:p>
        </w:tc>
        <w:tc>
          <w:tcPr>
            <w:tcW w:w="7380" w:type="dxa"/>
            <w:shd w:val="clear" w:color="auto" w:fill="auto"/>
          </w:tcPr>
          <w:p w14:paraId="2FBFD19C" w14:textId="51A41A0F" w:rsidR="009027A3" w:rsidRPr="00CC0019" w:rsidRDefault="009027A3" w:rsidP="0053656B">
            <w:pPr>
              <w:rPr>
                <w:rFonts w:ascii="Times New Roman" w:hAnsi="Times New Roman" w:cs="Times New Roman"/>
                <w:b/>
              </w:rPr>
            </w:pPr>
            <w:r w:rsidRPr="00CC0019">
              <w:rPr>
                <w:rFonts w:ascii="Times New Roman" w:hAnsi="Times New Roman" w:cs="Times New Roman"/>
                <w:b/>
              </w:rPr>
              <w:t xml:space="preserve">The efficacy and acceptability of </w:t>
            </w:r>
            <w:r w:rsidR="00D70309">
              <w:rPr>
                <w:rFonts w:ascii="Times New Roman" w:hAnsi="Times New Roman" w:cs="Times New Roman"/>
                <w:b/>
              </w:rPr>
              <w:t>low molecular weight heparin (LMWH)</w:t>
            </w:r>
            <w:r w:rsidR="00D70309" w:rsidRPr="00CC0019">
              <w:rPr>
                <w:rFonts w:ascii="Times New Roman" w:hAnsi="Times New Roman" w:cs="Times New Roman"/>
                <w:b/>
              </w:rPr>
              <w:t xml:space="preserve"> </w:t>
            </w:r>
            <w:r w:rsidRPr="00CC0019">
              <w:rPr>
                <w:rFonts w:ascii="Times New Roman" w:hAnsi="Times New Roman" w:cs="Times New Roman"/>
                <w:b/>
              </w:rPr>
              <w:t>administration via a subcutaneous catheter vs subcutaneous injections in both prophylactic and therapeutic settings</w:t>
            </w:r>
          </w:p>
          <w:p w14:paraId="6CD915E6" w14:textId="77777777" w:rsidR="009027A3" w:rsidRPr="00CC0019" w:rsidRDefault="009027A3" w:rsidP="0053656B">
            <w:pPr>
              <w:rPr>
                <w:rFonts w:ascii="Times New Roman" w:hAnsi="Times New Roman" w:cs="Times New Roman"/>
              </w:rPr>
            </w:pPr>
          </w:p>
        </w:tc>
      </w:tr>
      <w:tr w:rsidR="009027A3" w:rsidRPr="009027A3" w14:paraId="46E66236" w14:textId="77777777" w:rsidTr="00CC0019">
        <w:trPr>
          <w:trHeight w:val="227"/>
        </w:trPr>
        <w:tc>
          <w:tcPr>
            <w:tcW w:w="2268" w:type="dxa"/>
            <w:shd w:val="clear" w:color="auto" w:fill="auto"/>
          </w:tcPr>
          <w:p w14:paraId="6D9A157F" w14:textId="77777777" w:rsidR="009027A3" w:rsidRPr="00CC0019" w:rsidRDefault="009027A3" w:rsidP="0053656B">
            <w:pPr>
              <w:rPr>
                <w:rFonts w:ascii="Times New Roman" w:hAnsi="Times New Roman" w:cs="Times New Roman"/>
                <w:b/>
              </w:rPr>
            </w:pPr>
            <w:r w:rsidRPr="00CC0019">
              <w:rPr>
                <w:rFonts w:ascii="Times New Roman" w:hAnsi="Times New Roman" w:cs="Times New Roman"/>
                <w:b/>
              </w:rPr>
              <w:t>Short title</w:t>
            </w:r>
          </w:p>
          <w:p w14:paraId="4B379961" w14:textId="77777777" w:rsidR="009027A3" w:rsidRPr="00CC0019" w:rsidRDefault="009027A3" w:rsidP="0053656B">
            <w:pPr>
              <w:rPr>
                <w:rFonts w:ascii="Times New Roman" w:hAnsi="Times New Roman" w:cs="Times New Roman"/>
              </w:rPr>
            </w:pPr>
          </w:p>
        </w:tc>
        <w:tc>
          <w:tcPr>
            <w:tcW w:w="7380" w:type="dxa"/>
            <w:shd w:val="clear" w:color="auto" w:fill="auto"/>
          </w:tcPr>
          <w:p w14:paraId="2F03FBFA" w14:textId="77777777" w:rsidR="009027A3" w:rsidRPr="00CC0019" w:rsidRDefault="009027A3" w:rsidP="0053656B">
            <w:pPr>
              <w:rPr>
                <w:rFonts w:ascii="Times New Roman" w:hAnsi="Times New Roman" w:cs="Times New Roman"/>
                <w:b/>
              </w:rPr>
            </w:pPr>
            <w:r w:rsidRPr="00CC0019">
              <w:rPr>
                <w:rFonts w:ascii="Times New Roman" w:hAnsi="Times New Roman" w:cs="Times New Roman"/>
                <w:b/>
              </w:rPr>
              <w:t>Butterfly</w:t>
            </w:r>
          </w:p>
        </w:tc>
      </w:tr>
      <w:tr w:rsidR="009027A3" w:rsidRPr="009027A3" w14:paraId="608DA236" w14:textId="77777777" w:rsidTr="00CC0019">
        <w:trPr>
          <w:trHeight w:val="227"/>
        </w:trPr>
        <w:tc>
          <w:tcPr>
            <w:tcW w:w="2268" w:type="dxa"/>
            <w:shd w:val="clear" w:color="auto" w:fill="auto"/>
          </w:tcPr>
          <w:p w14:paraId="0F529AE5" w14:textId="77777777" w:rsidR="009027A3" w:rsidRPr="00CC0019" w:rsidRDefault="009027A3" w:rsidP="0053656B">
            <w:pPr>
              <w:rPr>
                <w:rFonts w:ascii="Times New Roman" w:hAnsi="Times New Roman" w:cs="Times New Roman"/>
              </w:rPr>
            </w:pPr>
            <w:r w:rsidRPr="00CC0019">
              <w:rPr>
                <w:rFonts w:ascii="Times New Roman" w:hAnsi="Times New Roman" w:cs="Times New Roman"/>
                <w:b/>
              </w:rPr>
              <w:t>Protocol Number</w:t>
            </w:r>
          </w:p>
        </w:tc>
        <w:tc>
          <w:tcPr>
            <w:tcW w:w="7380" w:type="dxa"/>
            <w:shd w:val="clear" w:color="auto" w:fill="auto"/>
          </w:tcPr>
          <w:p w14:paraId="6F0CFE88" w14:textId="1F889CD3" w:rsidR="009027A3" w:rsidRPr="00CC0019" w:rsidRDefault="0053656B" w:rsidP="0053656B">
            <w:pPr>
              <w:rPr>
                <w:rFonts w:ascii="Times New Roman" w:hAnsi="Times New Roman" w:cs="Times New Roman"/>
              </w:rPr>
            </w:pPr>
            <w:r>
              <w:rPr>
                <w:rFonts w:ascii="Times New Roman" w:hAnsi="Times New Roman" w:cs="Times New Roman"/>
              </w:rPr>
              <w:t>4</w:t>
            </w:r>
          </w:p>
        </w:tc>
      </w:tr>
      <w:tr w:rsidR="009027A3" w:rsidRPr="009027A3" w14:paraId="5A473CF0" w14:textId="77777777" w:rsidTr="00CC0019">
        <w:trPr>
          <w:trHeight w:val="227"/>
        </w:trPr>
        <w:tc>
          <w:tcPr>
            <w:tcW w:w="2268" w:type="dxa"/>
            <w:shd w:val="clear" w:color="auto" w:fill="auto"/>
          </w:tcPr>
          <w:p w14:paraId="77C7803F" w14:textId="77777777" w:rsidR="009027A3" w:rsidRPr="00CC0019" w:rsidRDefault="009027A3" w:rsidP="0053656B">
            <w:pPr>
              <w:rPr>
                <w:rFonts w:ascii="Times New Roman" w:hAnsi="Times New Roman" w:cs="Times New Roman"/>
                <w:b/>
              </w:rPr>
            </w:pPr>
          </w:p>
          <w:p w14:paraId="3494E6BB" w14:textId="77777777" w:rsidR="009027A3" w:rsidRPr="00CC0019" w:rsidRDefault="009027A3" w:rsidP="0053656B">
            <w:pPr>
              <w:rPr>
                <w:rFonts w:ascii="Times New Roman" w:hAnsi="Times New Roman" w:cs="Times New Roman"/>
              </w:rPr>
            </w:pPr>
            <w:r w:rsidRPr="00CC0019">
              <w:rPr>
                <w:rFonts w:ascii="Times New Roman" w:hAnsi="Times New Roman" w:cs="Times New Roman"/>
                <w:b/>
              </w:rPr>
              <w:t>Project Sponsor</w:t>
            </w:r>
          </w:p>
        </w:tc>
        <w:tc>
          <w:tcPr>
            <w:tcW w:w="7380" w:type="dxa"/>
            <w:shd w:val="clear" w:color="auto" w:fill="auto"/>
          </w:tcPr>
          <w:p w14:paraId="3B8FDC09" w14:textId="77777777" w:rsidR="009027A3" w:rsidRPr="00CC0019" w:rsidRDefault="009027A3" w:rsidP="0053656B">
            <w:pPr>
              <w:rPr>
                <w:rFonts w:ascii="Times New Roman" w:hAnsi="Times New Roman" w:cs="Times New Roman"/>
              </w:rPr>
            </w:pPr>
          </w:p>
          <w:p w14:paraId="4F646A1A" w14:textId="77777777" w:rsidR="009027A3" w:rsidRPr="00CC0019" w:rsidRDefault="009027A3" w:rsidP="0053656B">
            <w:pPr>
              <w:rPr>
                <w:rFonts w:ascii="Times New Roman" w:hAnsi="Times New Roman" w:cs="Times New Roman"/>
              </w:rPr>
            </w:pPr>
            <w:r w:rsidRPr="00CC0019">
              <w:rPr>
                <w:rFonts w:ascii="Times New Roman" w:hAnsi="Times New Roman" w:cs="Times New Roman"/>
              </w:rPr>
              <w:t>Monash Health Haematology Research Unit</w:t>
            </w:r>
          </w:p>
        </w:tc>
      </w:tr>
      <w:tr w:rsidR="009027A3" w:rsidRPr="009027A3" w14:paraId="350122C7" w14:textId="77777777" w:rsidTr="00CC0019">
        <w:trPr>
          <w:trHeight w:val="283"/>
        </w:trPr>
        <w:tc>
          <w:tcPr>
            <w:tcW w:w="2268" w:type="dxa"/>
            <w:shd w:val="clear" w:color="auto" w:fill="auto"/>
          </w:tcPr>
          <w:p w14:paraId="18F91585" w14:textId="77777777" w:rsidR="009027A3" w:rsidRPr="00CC0019" w:rsidRDefault="009027A3" w:rsidP="0053656B">
            <w:pPr>
              <w:rPr>
                <w:rFonts w:ascii="Times New Roman" w:hAnsi="Times New Roman" w:cs="Times New Roman"/>
                <w:b/>
              </w:rPr>
            </w:pPr>
          </w:p>
          <w:p w14:paraId="79F9A6B0" w14:textId="29685D95" w:rsidR="009027A3" w:rsidRPr="00CC0019" w:rsidRDefault="009027A3">
            <w:pPr>
              <w:rPr>
                <w:rFonts w:ascii="Times New Roman" w:hAnsi="Times New Roman" w:cs="Times New Roman"/>
              </w:rPr>
            </w:pPr>
            <w:r w:rsidRPr="00CC0019">
              <w:rPr>
                <w:rFonts w:ascii="Times New Roman" w:hAnsi="Times New Roman" w:cs="Times New Roman"/>
                <w:b/>
              </w:rPr>
              <w:t>Principal Investigator</w:t>
            </w:r>
          </w:p>
        </w:tc>
        <w:tc>
          <w:tcPr>
            <w:tcW w:w="7380" w:type="dxa"/>
            <w:shd w:val="clear" w:color="auto" w:fill="auto"/>
          </w:tcPr>
          <w:p w14:paraId="26BB5766" w14:textId="77777777" w:rsidR="009027A3" w:rsidRPr="00CC0019" w:rsidRDefault="009027A3" w:rsidP="0053656B">
            <w:pPr>
              <w:rPr>
                <w:rFonts w:ascii="Times New Roman" w:hAnsi="Times New Roman" w:cs="Times New Roman"/>
              </w:rPr>
            </w:pPr>
          </w:p>
          <w:p w14:paraId="797CB687" w14:textId="77777777" w:rsidR="009027A3" w:rsidRPr="00CC0019" w:rsidRDefault="009027A3" w:rsidP="0053656B">
            <w:pPr>
              <w:rPr>
                <w:rFonts w:ascii="Times New Roman" w:hAnsi="Times New Roman" w:cs="Times New Roman"/>
              </w:rPr>
            </w:pPr>
            <w:r w:rsidRPr="00CC0019">
              <w:rPr>
                <w:rFonts w:ascii="Times New Roman" w:hAnsi="Times New Roman" w:cs="Times New Roman"/>
              </w:rPr>
              <w:t xml:space="preserve">Dr Emma Leitinger </w:t>
            </w:r>
          </w:p>
          <w:p w14:paraId="40735E57" w14:textId="77777777" w:rsidR="009027A3" w:rsidRPr="00CC0019" w:rsidRDefault="009027A3" w:rsidP="0053656B">
            <w:pPr>
              <w:rPr>
                <w:rFonts w:ascii="Times New Roman" w:hAnsi="Times New Roman" w:cs="Times New Roman"/>
              </w:rPr>
            </w:pPr>
          </w:p>
          <w:p w14:paraId="24F70ED7" w14:textId="77777777" w:rsidR="009027A3" w:rsidRPr="00CC0019" w:rsidRDefault="009027A3" w:rsidP="0053656B">
            <w:pPr>
              <w:rPr>
                <w:rFonts w:ascii="Times New Roman" w:hAnsi="Times New Roman" w:cs="Times New Roman"/>
              </w:rPr>
            </w:pPr>
          </w:p>
        </w:tc>
      </w:tr>
      <w:tr w:rsidR="009027A3" w:rsidRPr="009027A3" w14:paraId="5DAF9F7F" w14:textId="77777777" w:rsidTr="00CC0019">
        <w:trPr>
          <w:trHeight w:val="227"/>
        </w:trPr>
        <w:tc>
          <w:tcPr>
            <w:tcW w:w="2268" w:type="dxa"/>
            <w:shd w:val="clear" w:color="auto" w:fill="auto"/>
          </w:tcPr>
          <w:p w14:paraId="079FE983" w14:textId="77777777" w:rsidR="009027A3" w:rsidRPr="00CC0019" w:rsidRDefault="009027A3" w:rsidP="0053656B">
            <w:pPr>
              <w:rPr>
                <w:rFonts w:ascii="Times New Roman" w:hAnsi="Times New Roman" w:cs="Times New Roman"/>
              </w:rPr>
            </w:pPr>
            <w:r w:rsidRPr="00CC0019">
              <w:rPr>
                <w:rFonts w:ascii="Times New Roman" w:hAnsi="Times New Roman" w:cs="Times New Roman"/>
                <w:b/>
              </w:rPr>
              <w:t>Associate Investigator(s)</w:t>
            </w:r>
          </w:p>
          <w:p w14:paraId="1CCE096E" w14:textId="77777777" w:rsidR="009027A3" w:rsidRPr="00CC0019" w:rsidRDefault="009027A3" w:rsidP="0053656B">
            <w:pPr>
              <w:rPr>
                <w:rFonts w:ascii="Times New Roman" w:hAnsi="Times New Roman" w:cs="Times New Roman"/>
              </w:rPr>
            </w:pPr>
          </w:p>
        </w:tc>
        <w:tc>
          <w:tcPr>
            <w:tcW w:w="7380" w:type="dxa"/>
            <w:shd w:val="clear" w:color="auto" w:fill="auto"/>
          </w:tcPr>
          <w:p w14:paraId="274C7556" w14:textId="5D6AD606" w:rsidR="009027A3" w:rsidRPr="00CC0019" w:rsidRDefault="009027A3" w:rsidP="0053656B">
            <w:pPr>
              <w:rPr>
                <w:rFonts w:ascii="Times New Roman" w:hAnsi="Times New Roman" w:cs="Times New Roman"/>
              </w:rPr>
            </w:pPr>
            <w:r w:rsidRPr="00CC0019">
              <w:rPr>
                <w:rFonts w:ascii="Times New Roman" w:hAnsi="Times New Roman" w:cs="Times New Roman"/>
              </w:rPr>
              <w:t>A/Prof Sanjeev Chunilal, Dr Zane Kaplan</w:t>
            </w:r>
          </w:p>
          <w:p w14:paraId="3B3E3CCF" w14:textId="77777777" w:rsidR="009027A3" w:rsidRPr="00CC0019" w:rsidRDefault="009027A3" w:rsidP="0053656B">
            <w:pPr>
              <w:rPr>
                <w:rFonts w:ascii="Times New Roman" w:hAnsi="Times New Roman" w:cs="Times New Roman"/>
              </w:rPr>
            </w:pPr>
          </w:p>
        </w:tc>
      </w:tr>
      <w:tr w:rsidR="009027A3" w:rsidRPr="009027A3" w14:paraId="5D912391" w14:textId="77777777" w:rsidTr="00CC0019">
        <w:trPr>
          <w:trHeight w:val="227"/>
        </w:trPr>
        <w:tc>
          <w:tcPr>
            <w:tcW w:w="2268" w:type="dxa"/>
            <w:shd w:val="clear" w:color="auto" w:fill="auto"/>
          </w:tcPr>
          <w:p w14:paraId="3586C439" w14:textId="77777777" w:rsidR="009027A3" w:rsidRPr="00CC0019" w:rsidRDefault="009027A3" w:rsidP="0053656B">
            <w:pPr>
              <w:rPr>
                <w:rFonts w:ascii="Times New Roman" w:hAnsi="Times New Roman" w:cs="Times New Roman"/>
                <w:i/>
                <w:color w:val="0000FF"/>
              </w:rPr>
            </w:pPr>
            <w:r w:rsidRPr="00CC0019">
              <w:rPr>
                <w:rFonts w:ascii="Times New Roman" w:hAnsi="Times New Roman" w:cs="Times New Roman"/>
                <w:b/>
              </w:rPr>
              <w:t xml:space="preserve">Location </w:t>
            </w:r>
          </w:p>
        </w:tc>
        <w:tc>
          <w:tcPr>
            <w:tcW w:w="7380" w:type="dxa"/>
            <w:shd w:val="clear" w:color="auto" w:fill="auto"/>
          </w:tcPr>
          <w:p w14:paraId="0E228691" w14:textId="6417AC34" w:rsidR="009027A3" w:rsidRPr="00CC0019" w:rsidRDefault="009027A3" w:rsidP="0053656B">
            <w:pPr>
              <w:rPr>
                <w:rFonts w:ascii="Times New Roman" w:hAnsi="Times New Roman" w:cs="Times New Roman"/>
              </w:rPr>
            </w:pPr>
            <w:r w:rsidRPr="00CC0019">
              <w:rPr>
                <w:rFonts w:ascii="Times New Roman" w:hAnsi="Times New Roman" w:cs="Times New Roman"/>
              </w:rPr>
              <w:t>Monash Health, Clayton</w:t>
            </w:r>
          </w:p>
        </w:tc>
      </w:tr>
    </w:tbl>
    <w:p w14:paraId="57E065AB" w14:textId="77777777" w:rsidR="009027A3" w:rsidRDefault="009027A3">
      <w:pPr>
        <w:pStyle w:val="TOCHeading"/>
        <w:rPr>
          <w:rFonts w:ascii="Times" w:hAnsi="Times" w:cstheme="majorHAnsi"/>
          <w:b/>
          <w:sz w:val="26"/>
          <w:szCs w:val="22"/>
        </w:rPr>
      </w:pPr>
    </w:p>
    <w:p w14:paraId="36B34512" w14:textId="77777777" w:rsidR="009027A3" w:rsidRDefault="009027A3">
      <w:pPr>
        <w:rPr>
          <w:rFonts w:ascii="Times" w:eastAsiaTheme="majorEastAsia" w:hAnsi="Times" w:cstheme="majorHAnsi"/>
          <w:b/>
          <w:color w:val="2F5496" w:themeColor="accent1" w:themeShade="BF"/>
          <w:sz w:val="26"/>
          <w:szCs w:val="22"/>
          <w:lang w:val="en-US"/>
        </w:rPr>
      </w:pPr>
      <w:r>
        <w:rPr>
          <w:rFonts w:ascii="Times" w:hAnsi="Times" w:cstheme="majorHAnsi"/>
          <w:b/>
          <w:sz w:val="26"/>
          <w:szCs w:val="22"/>
        </w:rPr>
        <w:br w:type="page"/>
      </w:r>
    </w:p>
    <w:sdt>
      <w:sdtPr>
        <w:rPr>
          <w:rFonts w:ascii="Times New Roman" w:eastAsiaTheme="minorHAnsi" w:hAnsi="Times New Roman" w:cs="Times New Roman"/>
          <w:color w:val="auto"/>
          <w:sz w:val="24"/>
          <w:szCs w:val="24"/>
          <w:lang w:val="en-AU"/>
        </w:rPr>
        <w:id w:val="280241175"/>
        <w:docPartObj>
          <w:docPartGallery w:val="Table of Contents"/>
          <w:docPartUnique/>
        </w:docPartObj>
      </w:sdtPr>
      <w:sdtEndPr>
        <w:rPr>
          <w:b/>
          <w:bCs/>
          <w:noProof/>
        </w:rPr>
      </w:sdtEndPr>
      <w:sdtContent>
        <w:p w14:paraId="7C11CD9A" w14:textId="594A097A" w:rsidR="000A0A28" w:rsidRPr="00CC0019" w:rsidRDefault="000A0A28">
          <w:pPr>
            <w:pStyle w:val="TOCHeading"/>
            <w:rPr>
              <w:rFonts w:ascii="Times New Roman" w:hAnsi="Times New Roman" w:cs="Times New Roman"/>
              <w:sz w:val="24"/>
            </w:rPr>
          </w:pPr>
          <w:r w:rsidRPr="00CC0019">
            <w:rPr>
              <w:rFonts w:ascii="Times New Roman" w:hAnsi="Times New Roman" w:cs="Times New Roman"/>
              <w:sz w:val="24"/>
            </w:rPr>
            <w:t>Contents</w:t>
          </w:r>
        </w:p>
        <w:p w14:paraId="2C5B07DE" w14:textId="77777777" w:rsidR="009027A3" w:rsidRPr="00CC0019" w:rsidRDefault="000A0A28">
          <w:pPr>
            <w:pStyle w:val="TOC1"/>
            <w:tabs>
              <w:tab w:val="right" w:leader="dot" w:pos="9010"/>
            </w:tabs>
            <w:rPr>
              <w:rFonts w:eastAsiaTheme="minorEastAsia"/>
              <w:noProof/>
              <w:sz w:val="18"/>
              <w:szCs w:val="22"/>
              <w:lang w:eastAsia="en-AU"/>
            </w:rPr>
          </w:pPr>
          <w:r w:rsidRPr="00CC0019">
            <w:rPr>
              <w:rFonts w:ascii="Times New Roman" w:hAnsi="Times New Roman" w:cs="Times New Roman"/>
              <w:b/>
              <w:bCs/>
              <w:noProof/>
              <w:sz w:val="20"/>
            </w:rPr>
            <w:fldChar w:fldCharType="begin"/>
          </w:r>
          <w:r w:rsidRPr="00CC0019">
            <w:rPr>
              <w:rFonts w:ascii="Times New Roman" w:hAnsi="Times New Roman" w:cs="Times New Roman"/>
              <w:b/>
              <w:bCs/>
              <w:noProof/>
              <w:sz w:val="20"/>
            </w:rPr>
            <w:instrText xml:space="preserve"> TOC \o "1-3" \h \z \u </w:instrText>
          </w:r>
          <w:r w:rsidRPr="00CC0019">
            <w:rPr>
              <w:rFonts w:ascii="Times New Roman" w:hAnsi="Times New Roman" w:cs="Times New Roman"/>
              <w:b/>
              <w:bCs/>
              <w:noProof/>
              <w:sz w:val="20"/>
            </w:rPr>
            <w:fldChar w:fldCharType="separate"/>
          </w:r>
          <w:hyperlink w:anchor="_Toc166235133" w:history="1">
            <w:r w:rsidR="009027A3" w:rsidRPr="00CC0019">
              <w:rPr>
                <w:rStyle w:val="Hyperlink"/>
                <w:rFonts w:ascii="Times" w:hAnsi="Times" w:cstheme="majorHAnsi"/>
                <w:b/>
                <w:noProof/>
                <w:sz w:val="20"/>
              </w:rPr>
              <w:t>Introduction and background</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_Toc166235133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4</w:t>
            </w:r>
            <w:r w:rsidR="009027A3" w:rsidRPr="00CC0019">
              <w:rPr>
                <w:noProof/>
                <w:webHidden/>
                <w:sz w:val="20"/>
              </w:rPr>
              <w:fldChar w:fldCharType="end"/>
            </w:r>
          </w:hyperlink>
        </w:p>
        <w:p w14:paraId="3B4996AE" w14:textId="77777777" w:rsidR="009027A3" w:rsidRPr="00CC0019" w:rsidRDefault="00945291">
          <w:pPr>
            <w:pStyle w:val="TOC2"/>
            <w:tabs>
              <w:tab w:val="right" w:leader="dot" w:pos="9010"/>
            </w:tabs>
            <w:rPr>
              <w:rFonts w:eastAsiaTheme="minorEastAsia"/>
              <w:noProof/>
              <w:sz w:val="18"/>
              <w:szCs w:val="22"/>
              <w:lang w:eastAsia="en-AU"/>
            </w:rPr>
          </w:pPr>
          <w:hyperlink w:anchor="_Toc166235134" w:history="1">
            <w:r w:rsidR="009027A3" w:rsidRPr="00CC0019">
              <w:rPr>
                <w:rStyle w:val="Hyperlink"/>
                <w:rFonts w:ascii="Times" w:hAnsi="Times" w:cstheme="majorHAnsi"/>
                <w:i/>
                <w:noProof/>
                <w:sz w:val="20"/>
              </w:rPr>
              <w:t>Significance</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_Toc166235134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5</w:t>
            </w:r>
            <w:r w:rsidR="009027A3" w:rsidRPr="00CC0019">
              <w:rPr>
                <w:noProof/>
                <w:webHidden/>
                <w:sz w:val="20"/>
              </w:rPr>
              <w:fldChar w:fldCharType="end"/>
            </w:r>
          </w:hyperlink>
        </w:p>
        <w:p w14:paraId="1126728C" w14:textId="77777777" w:rsidR="009027A3" w:rsidRPr="00CC0019" w:rsidRDefault="00945291">
          <w:pPr>
            <w:pStyle w:val="TOC1"/>
            <w:tabs>
              <w:tab w:val="right" w:leader="dot" w:pos="9010"/>
            </w:tabs>
            <w:rPr>
              <w:rFonts w:eastAsiaTheme="minorEastAsia"/>
              <w:noProof/>
              <w:sz w:val="18"/>
              <w:szCs w:val="22"/>
              <w:lang w:eastAsia="en-AU"/>
            </w:rPr>
          </w:pPr>
          <w:hyperlink w:anchor="_Toc166235135" w:history="1">
            <w:r w:rsidR="009027A3" w:rsidRPr="00CC0019">
              <w:rPr>
                <w:rStyle w:val="Hyperlink"/>
                <w:rFonts w:ascii="Times" w:hAnsi="Times" w:cstheme="majorHAnsi"/>
                <w:b/>
                <w:noProof/>
                <w:sz w:val="20"/>
              </w:rPr>
              <w:t>Study Outline</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_Toc166235135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5</w:t>
            </w:r>
            <w:r w:rsidR="009027A3" w:rsidRPr="00CC0019">
              <w:rPr>
                <w:noProof/>
                <w:webHidden/>
                <w:sz w:val="20"/>
              </w:rPr>
              <w:fldChar w:fldCharType="end"/>
            </w:r>
          </w:hyperlink>
        </w:p>
        <w:p w14:paraId="0B051677" w14:textId="77777777" w:rsidR="009027A3" w:rsidRPr="00CC0019" w:rsidRDefault="00945291">
          <w:pPr>
            <w:pStyle w:val="TOC2"/>
            <w:tabs>
              <w:tab w:val="right" w:leader="dot" w:pos="9010"/>
            </w:tabs>
            <w:rPr>
              <w:rFonts w:eastAsiaTheme="minorEastAsia"/>
              <w:noProof/>
              <w:sz w:val="18"/>
              <w:szCs w:val="22"/>
              <w:lang w:eastAsia="en-AU"/>
            </w:rPr>
          </w:pPr>
          <w:hyperlink w:anchor="_Toc166235136" w:history="1">
            <w:r w:rsidR="009027A3" w:rsidRPr="00CC0019">
              <w:rPr>
                <w:rStyle w:val="Hyperlink"/>
                <w:rFonts w:ascii="Times" w:hAnsi="Times" w:cstheme="majorHAnsi"/>
                <w:i/>
                <w:noProof/>
                <w:sz w:val="20"/>
              </w:rPr>
              <w:t>Objectives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_Toc166235136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5</w:t>
            </w:r>
            <w:r w:rsidR="009027A3" w:rsidRPr="00CC0019">
              <w:rPr>
                <w:noProof/>
                <w:webHidden/>
                <w:sz w:val="20"/>
              </w:rPr>
              <w:fldChar w:fldCharType="end"/>
            </w:r>
          </w:hyperlink>
        </w:p>
        <w:p w14:paraId="5D3B9025" w14:textId="77777777" w:rsidR="009027A3" w:rsidRPr="00CC0019" w:rsidRDefault="00945291">
          <w:pPr>
            <w:pStyle w:val="TOC2"/>
            <w:tabs>
              <w:tab w:val="right" w:leader="dot" w:pos="9010"/>
            </w:tabs>
            <w:rPr>
              <w:rFonts w:eastAsiaTheme="minorEastAsia"/>
              <w:noProof/>
              <w:sz w:val="18"/>
              <w:szCs w:val="22"/>
              <w:lang w:eastAsia="en-AU"/>
            </w:rPr>
          </w:pPr>
          <w:hyperlink w:anchor="_Toc166235137" w:history="1">
            <w:r w:rsidR="009027A3" w:rsidRPr="00CC0019">
              <w:rPr>
                <w:rStyle w:val="Hyperlink"/>
                <w:rFonts w:ascii="Times" w:hAnsi="Times" w:cstheme="majorHAnsi"/>
                <w:i/>
                <w:noProof/>
                <w:sz w:val="20"/>
              </w:rPr>
              <w:t>Hypotheses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_Toc166235137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5</w:t>
            </w:r>
            <w:r w:rsidR="009027A3" w:rsidRPr="00CC0019">
              <w:rPr>
                <w:noProof/>
                <w:webHidden/>
                <w:sz w:val="20"/>
              </w:rPr>
              <w:fldChar w:fldCharType="end"/>
            </w:r>
          </w:hyperlink>
        </w:p>
        <w:p w14:paraId="5115CF21" w14:textId="77777777" w:rsidR="009027A3" w:rsidRPr="00CC0019" w:rsidRDefault="00945291">
          <w:pPr>
            <w:pStyle w:val="TOC2"/>
            <w:tabs>
              <w:tab w:val="right" w:leader="dot" w:pos="9010"/>
            </w:tabs>
            <w:rPr>
              <w:rFonts w:eastAsiaTheme="minorEastAsia"/>
              <w:noProof/>
              <w:sz w:val="18"/>
              <w:szCs w:val="22"/>
              <w:lang w:eastAsia="en-AU"/>
            </w:rPr>
          </w:pPr>
          <w:hyperlink w:anchor="_Toc166235138" w:history="1">
            <w:r w:rsidR="009027A3" w:rsidRPr="00CC0019">
              <w:rPr>
                <w:rStyle w:val="Hyperlink"/>
                <w:rFonts w:ascii="Times" w:hAnsi="Times" w:cstheme="majorHAnsi"/>
                <w:i/>
                <w:noProof/>
                <w:sz w:val="20"/>
              </w:rPr>
              <w:t>Design</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_Toc166235138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5</w:t>
            </w:r>
            <w:r w:rsidR="009027A3" w:rsidRPr="00CC0019">
              <w:rPr>
                <w:noProof/>
                <w:webHidden/>
                <w:sz w:val="20"/>
              </w:rPr>
              <w:fldChar w:fldCharType="end"/>
            </w:r>
          </w:hyperlink>
        </w:p>
        <w:p w14:paraId="4CB81036" w14:textId="77777777" w:rsidR="009027A3" w:rsidRPr="00CC0019" w:rsidRDefault="00945291">
          <w:pPr>
            <w:pStyle w:val="TOC2"/>
            <w:tabs>
              <w:tab w:val="right" w:leader="dot" w:pos="9010"/>
            </w:tabs>
            <w:rPr>
              <w:rFonts w:eastAsiaTheme="minorEastAsia"/>
              <w:noProof/>
              <w:sz w:val="18"/>
              <w:szCs w:val="22"/>
              <w:lang w:eastAsia="en-AU"/>
            </w:rPr>
          </w:pPr>
          <w:hyperlink w:anchor="_Toc166235139" w:history="1">
            <w:r w:rsidR="009027A3" w:rsidRPr="00CC0019">
              <w:rPr>
                <w:rStyle w:val="Hyperlink"/>
                <w:rFonts w:ascii="Times" w:hAnsi="Times" w:cstheme="majorHAnsi"/>
                <w:i/>
                <w:noProof/>
                <w:sz w:val="20"/>
              </w:rPr>
              <w:t>Patients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_Toc166235139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4C52BEAF" w14:textId="77777777" w:rsidR="009027A3" w:rsidRPr="00CC0019" w:rsidRDefault="00945291">
          <w:pPr>
            <w:pStyle w:val="TOC2"/>
            <w:tabs>
              <w:tab w:val="right" w:leader="dot" w:pos="9010"/>
            </w:tabs>
            <w:rPr>
              <w:rFonts w:eastAsiaTheme="minorEastAsia"/>
              <w:noProof/>
              <w:sz w:val="18"/>
              <w:szCs w:val="22"/>
              <w:lang w:eastAsia="en-AU"/>
            </w:rPr>
          </w:pPr>
          <w:hyperlink w:anchor="_Toc166235140" w:history="1">
            <w:r w:rsidR="009027A3" w:rsidRPr="00CC0019">
              <w:rPr>
                <w:rStyle w:val="Hyperlink"/>
                <w:rFonts w:ascii="Times" w:hAnsi="Times" w:cstheme="majorHAnsi"/>
                <w:i/>
                <w:noProof/>
                <w:sz w:val="20"/>
              </w:rPr>
              <w:t>Therapy</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_Toc166235140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1D6A1BF7" w14:textId="77777777" w:rsidR="009027A3" w:rsidRPr="00CC0019" w:rsidRDefault="00945291">
          <w:pPr>
            <w:pStyle w:val="TOC2"/>
            <w:tabs>
              <w:tab w:val="right" w:leader="dot" w:pos="9010"/>
            </w:tabs>
            <w:rPr>
              <w:rFonts w:eastAsiaTheme="minorEastAsia"/>
              <w:noProof/>
              <w:sz w:val="18"/>
              <w:szCs w:val="22"/>
              <w:lang w:eastAsia="en-AU"/>
            </w:rPr>
          </w:pPr>
          <w:hyperlink w:anchor="_Toc166235141" w:history="1">
            <w:r w:rsidR="009027A3" w:rsidRPr="00CC0019">
              <w:rPr>
                <w:rStyle w:val="Hyperlink"/>
                <w:rFonts w:ascii="Times" w:hAnsi="Times" w:cstheme="majorHAnsi"/>
                <w:i/>
                <w:noProof/>
                <w:sz w:val="20"/>
              </w:rPr>
              <w:t>Measurements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_Toc166235141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0ABF84C9" w14:textId="77777777" w:rsidR="009027A3" w:rsidRPr="00CC0019" w:rsidRDefault="00945291">
          <w:pPr>
            <w:pStyle w:val="TOC1"/>
            <w:tabs>
              <w:tab w:val="right" w:leader="dot" w:pos="9010"/>
            </w:tabs>
            <w:rPr>
              <w:rFonts w:eastAsiaTheme="minorEastAsia"/>
              <w:noProof/>
              <w:sz w:val="18"/>
              <w:szCs w:val="22"/>
              <w:lang w:eastAsia="en-AU"/>
            </w:rPr>
          </w:pPr>
          <w:hyperlink w:anchor="_Toc166235142" w:history="1">
            <w:r w:rsidR="009027A3" w:rsidRPr="00CC0019">
              <w:rPr>
                <w:rStyle w:val="Hyperlink"/>
                <w:rFonts w:ascii="Times" w:hAnsi="Times" w:cstheme="majorHAnsi"/>
                <w:b/>
                <w:noProof/>
                <w:sz w:val="20"/>
              </w:rPr>
              <w:t>Methods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_Toc166235142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7055D361" w14:textId="77777777" w:rsidR="009027A3" w:rsidRPr="00CC0019" w:rsidRDefault="00945291">
          <w:pPr>
            <w:pStyle w:val="TOC2"/>
            <w:tabs>
              <w:tab w:val="right" w:leader="dot" w:pos="9010"/>
            </w:tabs>
            <w:rPr>
              <w:rFonts w:eastAsiaTheme="minorEastAsia"/>
              <w:noProof/>
              <w:sz w:val="18"/>
              <w:szCs w:val="22"/>
              <w:lang w:eastAsia="en-AU"/>
            </w:rPr>
          </w:pPr>
          <w:hyperlink w:anchor="_Toc166235143" w:history="1">
            <w:r w:rsidR="009027A3" w:rsidRPr="00CC0019">
              <w:rPr>
                <w:rStyle w:val="Hyperlink"/>
                <w:rFonts w:ascii="Times" w:hAnsi="Times" w:cstheme="majorHAnsi"/>
                <w:i/>
                <w:noProof/>
                <w:sz w:val="20"/>
              </w:rPr>
              <w:t>Study design and population</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_Toc166235143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279B3191" w14:textId="77777777" w:rsidR="009027A3" w:rsidRPr="00CC0019" w:rsidRDefault="00945291">
          <w:pPr>
            <w:pStyle w:val="TOC2"/>
            <w:tabs>
              <w:tab w:val="right" w:leader="dot" w:pos="9010"/>
            </w:tabs>
            <w:rPr>
              <w:rFonts w:eastAsiaTheme="minorEastAsia"/>
              <w:noProof/>
              <w:sz w:val="18"/>
              <w:szCs w:val="22"/>
              <w:lang w:eastAsia="en-AU"/>
            </w:rPr>
          </w:pPr>
          <w:hyperlink w:anchor="_Toc166235144" w:history="1">
            <w:r w:rsidR="009027A3" w:rsidRPr="00CC0019">
              <w:rPr>
                <w:rStyle w:val="Hyperlink"/>
                <w:rFonts w:ascii="Times" w:hAnsi="Times" w:cstheme="majorHAnsi"/>
                <w:i/>
                <w:noProof/>
                <w:sz w:val="20"/>
              </w:rPr>
              <w:t>Study definitions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_Toc166235144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07C94EF0" w14:textId="77777777" w:rsidR="009027A3" w:rsidRPr="00CC0019" w:rsidRDefault="00945291">
          <w:pPr>
            <w:pStyle w:val="TOC2"/>
            <w:tabs>
              <w:tab w:val="right" w:leader="dot" w:pos="9010"/>
            </w:tabs>
            <w:rPr>
              <w:rFonts w:eastAsiaTheme="minorEastAsia"/>
              <w:noProof/>
              <w:sz w:val="18"/>
              <w:szCs w:val="22"/>
              <w:lang w:eastAsia="en-AU"/>
            </w:rPr>
          </w:pPr>
          <w:hyperlink w:anchor="_Toc166235145" w:history="1">
            <w:r w:rsidR="009027A3" w:rsidRPr="00CC0019">
              <w:rPr>
                <w:rStyle w:val="Hyperlink"/>
                <w:rFonts w:ascii="Times" w:hAnsi="Times" w:cstheme="majorHAnsi"/>
                <w:i/>
                <w:noProof/>
                <w:sz w:val="20"/>
              </w:rPr>
              <w:t>Inclusion criteria</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_Toc166235145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6</w:t>
            </w:r>
            <w:r w:rsidR="009027A3" w:rsidRPr="00CC0019">
              <w:rPr>
                <w:noProof/>
                <w:webHidden/>
                <w:sz w:val="20"/>
              </w:rPr>
              <w:fldChar w:fldCharType="end"/>
            </w:r>
          </w:hyperlink>
        </w:p>
        <w:p w14:paraId="50E5F6B2" w14:textId="77777777" w:rsidR="009027A3" w:rsidRPr="00CC0019" w:rsidRDefault="00945291">
          <w:pPr>
            <w:pStyle w:val="TOC2"/>
            <w:tabs>
              <w:tab w:val="right" w:leader="dot" w:pos="9010"/>
            </w:tabs>
            <w:rPr>
              <w:rFonts w:eastAsiaTheme="minorEastAsia"/>
              <w:noProof/>
              <w:sz w:val="18"/>
              <w:szCs w:val="22"/>
              <w:lang w:eastAsia="en-AU"/>
            </w:rPr>
          </w:pPr>
          <w:hyperlink w:anchor="_Toc166235146" w:history="1">
            <w:r w:rsidR="009027A3" w:rsidRPr="00CC0019">
              <w:rPr>
                <w:rStyle w:val="Hyperlink"/>
                <w:rFonts w:ascii="Times" w:hAnsi="Times" w:cstheme="majorHAnsi"/>
                <w:i/>
                <w:noProof/>
                <w:sz w:val="20"/>
              </w:rPr>
              <w:t>Exclusion criteria</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_Toc166235146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7</w:t>
            </w:r>
            <w:r w:rsidR="009027A3" w:rsidRPr="00CC0019">
              <w:rPr>
                <w:noProof/>
                <w:webHidden/>
                <w:sz w:val="20"/>
              </w:rPr>
              <w:fldChar w:fldCharType="end"/>
            </w:r>
          </w:hyperlink>
        </w:p>
        <w:p w14:paraId="2135FCA2" w14:textId="77777777" w:rsidR="009027A3" w:rsidRPr="00CC0019" w:rsidRDefault="00945291">
          <w:pPr>
            <w:pStyle w:val="TOC2"/>
            <w:tabs>
              <w:tab w:val="right" w:leader="dot" w:pos="9010"/>
            </w:tabs>
            <w:rPr>
              <w:rFonts w:eastAsiaTheme="minorEastAsia"/>
              <w:noProof/>
              <w:sz w:val="18"/>
              <w:szCs w:val="22"/>
              <w:lang w:eastAsia="en-AU"/>
            </w:rPr>
          </w:pPr>
          <w:hyperlink w:anchor="_Toc166235147" w:history="1">
            <w:r w:rsidR="009027A3" w:rsidRPr="00CC0019">
              <w:rPr>
                <w:rStyle w:val="Hyperlink"/>
                <w:rFonts w:ascii="Times" w:hAnsi="Times" w:cstheme="majorHAnsi"/>
                <w:i/>
                <w:noProof/>
                <w:sz w:val="20"/>
              </w:rPr>
              <w:t>Trial medication</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_Toc166235147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7</w:t>
            </w:r>
            <w:r w:rsidR="009027A3" w:rsidRPr="00CC0019">
              <w:rPr>
                <w:noProof/>
                <w:webHidden/>
                <w:sz w:val="20"/>
              </w:rPr>
              <w:fldChar w:fldCharType="end"/>
            </w:r>
          </w:hyperlink>
        </w:p>
        <w:p w14:paraId="2F2990E5" w14:textId="77777777" w:rsidR="009027A3" w:rsidRPr="00CC0019" w:rsidRDefault="00945291">
          <w:pPr>
            <w:pStyle w:val="TOC3"/>
            <w:tabs>
              <w:tab w:val="right" w:leader="dot" w:pos="9010"/>
            </w:tabs>
            <w:rPr>
              <w:rFonts w:eastAsiaTheme="minorEastAsia"/>
              <w:noProof/>
              <w:sz w:val="18"/>
              <w:szCs w:val="22"/>
              <w:lang w:eastAsia="en-AU"/>
            </w:rPr>
          </w:pPr>
          <w:hyperlink w:anchor="_Toc166235148" w:history="1">
            <w:r w:rsidR="009027A3" w:rsidRPr="00CC0019">
              <w:rPr>
                <w:rStyle w:val="Hyperlink"/>
                <w:rFonts w:ascii="Times" w:hAnsi="Times" w:cstheme="majorHAnsi"/>
                <w:i/>
                <w:noProof/>
                <w:sz w:val="20"/>
              </w:rPr>
              <w:t>Concomitant medications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_Toc166235148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7</w:t>
            </w:r>
            <w:r w:rsidR="009027A3" w:rsidRPr="00CC0019">
              <w:rPr>
                <w:noProof/>
                <w:webHidden/>
                <w:sz w:val="20"/>
              </w:rPr>
              <w:fldChar w:fldCharType="end"/>
            </w:r>
          </w:hyperlink>
        </w:p>
        <w:p w14:paraId="68A863F3" w14:textId="77777777" w:rsidR="009027A3" w:rsidRPr="00CC0019" w:rsidRDefault="00945291">
          <w:pPr>
            <w:pStyle w:val="TOC3"/>
            <w:tabs>
              <w:tab w:val="right" w:leader="dot" w:pos="9010"/>
            </w:tabs>
            <w:rPr>
              <w:rFonts w:eastAsiaTheme="minorEastAsia"/>
              <w:noProof/>
              <w:sz w:val="18"/>
              <w:szCs w:val="22"/>
              <w:lang w:eastAsia="en-AU"/>
            </w:rPr>
          </w:pPr>
          <w:hyperlink w:anchor="_Toc166235149" w:history="1">
            <w:r w:rsidR="009027A3" w:rsidRPr="00CC0019">
              <w:rPr>
                <w:rStyle w:val="Hyperlink"/>
                <w:rFonts w:ascii="Times" w:hAnsi="Times" w:cstheme="majorHAnsi"/>
                <w:i/>
                <w:noProof/>
                <w:sz w:val="20"/>
              </w:rPr>
              <w:t>Safety during pregnancy</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_Toc166235149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8</w:t>
            </w:r>
            <w:r w:rsidR="009027A3" w:rsidRPr="00CC0019">
              <w:rPr>
                <w:noProof/>
                <w:webHidden/>
                <w:sz w:val="20"/>
              </w:rPr>
              <w:fldChar w:fldCharType="end"/>
            </w:r>
          </w:hyperlink>
        </w:p>
        <w:p w14:paraId="1F0F5B6A" w14:textId="77777777" w:rsidR="009027A3" w:rsidRPr="00CC0019" w:rsidRDefault="00945291">
          <w:pPr>
            <w:pStyle w:val="TOC2"/>
            <w:tabs>
              <w:tab w:val="right" w:leader="dot" w:pos="9010"/>
            </w:tabs>
            <w:rPr>
              <w:rFonts w:eastAsiaTheme="minorEastAsia"/>
              <w:noProof/>
              <w:sz w:val="18"/>
              <w:szCs w:val="22"/>
              <w:lang w:eastAsia="en-AU"/>
            </w:rPr>
          </w:pPr>
          <w:hyperlink w:anchor="_Toc166235150" w:history="1">
            <w:r w:rsidR="009027A3" w:rsidRPr="00CC0019">
              <w:rPr>
                <w:rStyle w:val="Hyperlink"/>
                <w:rFonts w:ascii="Times" w:hAnsi="Times" w:cstheme="majorHAnsi"/>
                <w:i/>
                <w:noProof/>
                <w:sz w:val="20"/>
              </w:rPr>
              <w:t>Patient recruitment</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_Toc166235150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8</w:t>
            </w:r>
            <w:r w:rsidR="009027A3" w:rsidRPr="00CC0019">
              <w:rPr>
                <w:noProof/>
                <w:webHidden/>
                <w:sz w:val="20"/>
              </w:rPr>
              <w:fldChar w:fldCharType="end"/>
            </w:r>
          </w:hyperlink>
        </w:p>
        <w:p w14:paraId="2B32A7D5" w14:textId="77777777" w:rsidR="009027A3" w:rsidRPr="00CC0019" w:rsidRDefault="00945291">
          <w:pPr>
            <w:pStyle w:val="TOC2"/>
            <w:tabs>
              <w:tab w:val="right" w:leader="dot" w:pos="9010"/>
            </w:tabs>
            <w:rPr>
              <w:rFonts w:eastAsiaTheme="minorEastAsia"/>
              <w:noProof/>
              <w:sz w:val="18"/>
              <w:szCs w:val="22"/>
              <w:lang w:eastAsia="en-AU"/>
            </w:rPr>
          </w:pPr>
          <w:hyperlink w:anchor="_Toc166235151" w:history="1">
            <w:r w:rsidR="009027A3" w:rsidRPr="00CC0019">
              <w:rPr>
                <w:rStyle w:val="Hyperlink"/>
                <w:rFonts w:ascii="Times" w:hAnsi="Times" w:cstheme="majorHAnsi"/>
                <w:i/>
                <w:noProof/>
                <w:sz w:val="20"/>
              </w:rPr>
              <w:t>Study procedures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_Toc166235151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8</w:t>
            </w:r>
            <w:r w:rsidR="009027A3" w:rsidRPr="00CC0019">
              <w:rPr>
                <w:noProof/>
                <w:webHidden/>
                <w:sz w:val="20"/>
              </w:rPr>
              <w:fldChar w:fldCharType="end"/>
            </w:r>
          </w:hyperlink>
        </w:p>
        <w:p w14:paraId="515D644E" w14:textId="77777777" w:rsidR="009027A3" w:rsidRPr="00CC0019" w:rsidRDefault="00945291">
          <w:pPr>
            <w:pStyle w:val="TOC3"/>
            <w:tabs>
              <w:tab w:val="right" w:leader="dot" w:pos="9010"/>
            </w:tabs>
            <w:rPr>
              <w:rFonts w:eastAsiaTheme="minorEastAsia"/>
              <w:noProof/>
              <w:sz w:val="18"/>
              <w:szCs w:val="22"/>
              <w:lang w:eastAsia="en-AU"/>
            </w:rPr>
          </w:pPr>
          <w:hyperlink w:anchor="_Toc166235152" w:history="1">
            <w:r w:rsidR="009027A3" w:rsidRPr="00CC0019">
              <w:rPr>
                <w:rStyle w:val="Hyperlink"/>
                <w:rFonts w:ascii="Times" w:hAnsi="Times" w:cstheme="majorHAnsi"/>
                <w:noProof/>
                <w:sz w:val="20"/>
              </w:rPr>
              <w:t>Figure 1. Study outline.</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_Toc166235152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9</w:t>
            </w:r>
            <w:r w:rsidR="009027A3" w:rsidRPr="00CC0019">
              <w:rPr>
                <w:noProof/>
                <w:webHidden/>
                <w:sz w:val="20"/>
              </w:rPr>
              <w:fldChar w:fldCharType="end"/>
            </w:r>
          </w:hyperlink>
        </w:p>
        <w:p w14:paraId="06DDDA95" w14:textId="77777777" w:rsidR="009027A3" w:rsidRPr="00CC0019" w:rsidRDefault="00945291">
          <w:pPr>
            <w:pStyle w:val="TOC3"/>
            <w:tabs>
              <w:tab w:val="right" w:leader="dot" w:pos="9010"/>
            </w:tabs>
            <w:rPr>
              <w:rFonts w:eastAsiaTheme="minorEastAsia"/>
              <w:noProof/>
              <w:sz w:val="18"/>
              <w:szCs w:val="22"/>
              <w:lang w:eastAsia="en-AU"/>
            </w:rPr>
          </w:pPr>
          <w:hyperlink w:anchor="_Toc166235153" w:history="1">
            <w:r w:rsidR="009027A3" w:rsidRPr="00CC0019">
              <w:rPr>
                <w:rStyle w:val="Hyperlink"/>
                <w:rFonts w:ascii="Times" w:hAnsi="Times" w:cstheme="majorHAnsi"/>
                <w:noProof/>
                <w:sz w:val="20"/>
              </w:rPr>
              <w:t>Table 1. Visit schedule and assessments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_Toc166235153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10</w:t>
            </w:r>
            <w:r w:rsidR="009027A3" w:rsidRPr="00CC0019">
              <w:rPr>
                <w:noProof/>
                <w:webHidden/>
                <w:sz w:val="20"/>
              </w:rPr>
              <w:fldChar w:fldCharType="end"/>
            </w:r>
          </w:hyperlink>
        </w:p>
        <w:p w14:paraId="08173C3B" w14:textId="77777777" w:rsidR="009027A3" w:rsidRPr="00CC0019" w:rsidRDefault="00945291">
          <w:pPr>
            <w:pStyle w:val="TOC3"/>
            <w:tabs>
              <w:tab w:val="right" w:leader="dot" w:pos="9010"/>
            </w:tabs>
            <w:rPr>
              <w:rFonts w:eastAsiaTheme="minorEastAsia"/>
              <w:noProof/>
              <w:sz w:val="18"/>
              <w:szCs w:val="22"/>
              <w:lang w:eastAsia="en-AU"/>
            </w:rPr>
          </w:pPr>
          <w:hyperlink w:anchor="_Toc166235154" w:history="1">
            <w:r w:rsidR="009027A3" w:rsidRPr="00CC0019">
              <w:rPr>
                <w:rStyle w:val="Hyperlink"/>
                <w:rFonts w:ascii="Times" w:hAnsi="Times" w:cstheme="majorHAnsi"/>
                <w:noProof/>
                <w:sz w:val="20"/>
              </w:rPr>
              <w:t>Table 2. Extension phase (subcutaneous catheter)</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_Toc166235154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10</w:t>
            </w:r>
            <w:r w:rsidR="009027A3" w:rsidRPr="00CC0019">
              <w:rPr>
                <w:noProof/>
                <w:webHidden/>
                <w:sz w:val="20"/>
              </w:rPr>
              <w:fldChar w:fldCharType="end"/>
            </w:r>
          </w:hyperlink>
        </w:p>
        <w:p w14:paraId="7E6E5C73" w14:textId="77777777" w:rsidR="009027A3" w:rsidRPr="00CC0019" w:rsidRDefault="00945291">
          <w:pPr>
            <w:pStyle w:val="TOC2"/>
            <w:tabs>
              <w:tab w:val="right" w:leader="dot" w:pos="9010"/>
            </w:tabs>
            <w:rPr>
              <w:rFonts w:eastAsiaTheme="minorEastAsia"/>
              <w:noProof/>
              <w:sz w:val="18"/>
              <w:szCs w:val="22"/>
              <w:lang w:eastAsia="en-AU"/>
            </w:rPr>
          </w:pPr>
          <w:hyperlink w:anchor="_Toc166235155" w:history="1">
            <w:r w:rsidR="009027A3" w:rsidRPr="00CC0019">
              <w:rPr>
                <w:rStyle w:val="Hyperlink"/>
                <w:rFonts w:ascii="Times" w:hAnsi="Times" w:cstheme="majorHAnsi"/>
                <w:i/>
                <w:noProof/>
                <w:sz w:val="20"/>
              </w:rPr>
              <w:t>Safety assessment</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_Toc166235155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10</w:t>
            </w:r>
            <w:r w:rsidR="009027A3" w:rsidRPr="00CC0019">
              <w:rPr>
                <w:noProof/>
                <w:webHidden/>
                <w:sz w:val="20"/>
              </w:rPr>
              <w:fldChar w:fldCharType="end"/>
            </w:r>
          </w:hyperlink>
        </w:p>
        <w:p w14:paraId="6ADDB0BE" w14:textId="77777777" w:rsidR="009027A3" w:rsidRPr="00CC0019" w:rsidRDefault="00945291">
          <w:pPr>
            <w:pStyle w:val="TOC2"/>
            <w:tabs>
              <w:tab w:val="right" w:leader="dot" w:pos="9010"/>
            </w:tabs>
            <w:rPr>
              <w:rFonts w:eastAsiaTheme="minorEastAsia"/>
              <w:noProof/>
              <w:sz w:val="18"/>
              <w:szCs w:val="22"/>
              <w:lang w:eastAsia="en-AU"/>
            </w:rPr>
          </w:pPr>
          <w:hyperlink w:anchor="_Toc166235156" w:history="1">
            <w:r w:rsidR="009027A3" w:rsidRPr="00CC0019">
              <w:rPr>
                <w:rStyle w:val="Hyperlink"/>
                <w:rFonts w:ascii="Times" w:hAnsi="Times" w:cstheme="majorHAnsi"/>
                <w:i/>
                <w:noProof/>
                <w:sz w:val="20"/>
              </w:rPr>
              <w:t>Data security and handling</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_Toc166235156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11</w:t>
            </w:r>
            <w:r w:rsidR="009027A3" w:rsidRPr="00CC0019">
              <w:rPr>
                <w:noProof/>
                <w:webHidden/>
                <w:sz w:val="20"/>
              </w:rPr>
              <w:fldChar w:fldCharType="end"/>
            </w:r>
          </w:hyperlink>
        </w:p>
        <w:p w14:paraId="55D26AB9" w14:textId="77777777" w:rsidR="009027A3" w:rsidRPr="00CC0019" w:rsidRDefault="00945291">
          <w:pPr>
            <w:pStyle w:val="TOC1"/>
            <w:tabs>
              <w:tab w:val="right" w:leader="dot" w:pos="9010"/>
            </w:tabs>
            <w:rPr>
              <w:rFonts w:eastAsiaTheme="minorEastAsia"/>
              <w:noProof/>
              <w:sz w:val="18"/>
              <w:szCs w:val="22"/>
              <w:lang w:eastAsia="en-AU"/>
            </w:rPr>
          </w:pPr>
          <w:hyperlink w:anchor="_Toc166235157" w:history="1">
            <w:r w:rsidR="009027A3" w:rsidRPr="00CC0019">
              <w:rPr>
                <w:rStyle w:val="Hyperlink"/>
                <w:rFonts w:ascii="Times" w:hAnsi="Times" w:cstheme="majorHAnsi"/>
                <w:b/>
                <w:noProof/>
                <w:sz w:val="20"/>
              </w:rPr>
              <w:t>Study outcomes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_Toc166235157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11</w:t>
            </w:r>
            <w:r w:rsidR="009027A3" w:rsidRPr="00CC0019">
              <w:rPr>
                <w:noProof/>
                <w:webHidden/>
                <w:sz w:val="20"/>
              </w:rPr>
              <w:fldChar w:fldCharType="end"/>
            </w:r>
          </w:hyperlink>
        </w:p>
        <w:p w14:paraId="0455253C" w14:textId="77777777" w:rsidR="009027A3" w:rsidRPr="00CC0019" w:rsidRDefault="00945291">
          <w:pPr>
            <w:pStyle w:val="TOC2"/>
            <w:tabs>
              <w:tab w:val="right" w:leader="dot" w:pos="9010"/>
            </w:tabs>
            <w:rPr>
              <w:rFonts w:eastAsiaTheme="minorEastAsia"/>
              <w:noProof/>
              <w:sz w:val="18"/>
              <w:szCs w:val="22"/>
              <w:lang w:eastAsia="en-AU"/>
            </w:rPr>
          </w:pPr>
          <w:hyperlink w:anchor="_Toc166235158" w:history="1">
            <w:r w:rsidR="009027A3" w:rsidRPr="00CC0019">
              <w:rPr>
                <w:rStyle w:val="Hyperlink"/>
                <w:rFonts w:ascii="Times" w:hAnsi="Times" w:cstheme="majorHAnsi"/>
                <w:i/>
                <w:noProof/>
                <w:sz w:val="20"/>
              </w:rPr>
              <w:t>Primary outcomes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_Toc166235158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11</w:t>
            </w:r>
            <w:r w:rsidR="009027A3" w:rsidRPr="00CC0019">
              <w:rPr>
                <w:noProof/>
                <w:webHidden/>
                <w:sz w:val="20"/>
              </w:rPr>
              <w:fldChar w:fldCharType="end"/>
            </w:r>
          </w:hyperlink>
        </w:p>
        <w:p w14:paraId="51822319" w14:textId="77777777" w:rsidR="009027A3" w:rsidRPr="00CC0019" w:rsidRDefault="00945291">
          <w:pPr>
            <w:pStyle w:val="TOC2"/>
            <w:tabs>
              <w:tab w:val="right" w:leader="dot" w:pos="9010"/>
            </w:tabs>
            <w:rPr>
              <w:rFonts w:eastAsiaTheme="minorEastAsia"/>
              <w:noProof/>
              <w:sz w:val="18"/>
              <w:szCs w:val="22"/>
              <w:lang w:eastAsia="en-AU"/>
            </w:rPr>
          </w:pPr>
          <w:hyperlink w:anchor="_Toc166235159" w:history="1">
            <w:r w:rsidR="009027A3" w:rsidRPr="00CC0019">
              <w:rPr>
                <w:rStyle w:val="Hyperlink"/>
                <w:rFonts w:ascii="Times" w:hAnsi="Times" w:cstheme="majorHAnsi"/>
                <w:i/>
                <w:noProof/>
                <w:sz w:val="20"/>
              </w:rPr>
              <w:t>Secondary outcomes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_Toc166235159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11</w:t>
            </w:r>
            <w:r w:rsidR="009027A3" w:rsidRPr="00CC0019">
              <w:rPr>
                <w:noProof/>
                <w:webHidden/>
                <w:sz w:val="20"/>
              </w:rPr>
              <w:fldChar w:fldCharType="end"/>
            </w:r>
          </w:hyperlink>
        </w:p>
        <w:p w14:paraId="088947AF" w14:textId="77777777" w:rsidR="009027A3" w:rsidRPr="00CC0019" w:rsidRDefault="00945291">
          <w:pPr>
            <w:pStyle w:val="TOC1"/>
            <w:tabs>
              <w:tab w:val="right" w:leader="dot" w:pos="9010"/>
            </w:tabs>
            <w:rPr>
              <w:rFonts w:eastAsiaTheme="minorEastAsia"/>
              <w:noProof/>
              <w:sz w:val="18"/>
              <w:szCs w:val="22"/>
              <w:lang w:eastAsia="en-AU"/>
            </w:rPr>
          </w:pPr>
          <w:hyperlink w:anchor="_Toc166235160" w:history="1">
            <w:r w:rsidR="009027A3" w:rsidRPr="00CC0019">
              <w:rPr>
                <w:rStyle w:val="Hyperlink"/>
                <w:rFonts w:ascii="Times" w:hAnsi="Times" w:cstheme="majorHAnsi"/>
                <w:b/>
                <w:noProof/>
                <w:sz w:val="20"/>
              </w:rPr>
              <w:t>Statistical analysis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_Toc166235160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12</w:t>
            </w:r>
            <w:r w:rsidR="009027A3" w:rsidRPr="00CC0019">
              <w:rPr>
                <w:noProof/>
                <w:webHidden/>
                <w:sz w:val="20"/>
              </w:rPr>
              <w:fldChar w:fldCharType="end"/>
            </w:r>
          </w:hyperlink>
        </w:p>
        <w:p w14:paraId="158FB0A3" w14:textId="77777777" w:rsidR="009027A3" w:rsidRPr="00CC0019" w:rsidRDefault="00945291">
          <w:pPr>
            <w:pStyle w:val="TOC1"/>
            <w:tabs>
              <w:tab w:val="right" w:leader="dot" w:pos="9010"/>
            </w:tabs>
            <w:rPr>
              <w:rFonts w:eastAsiaTheme="minorEastAsia"/>
              <w:noProof/>
              <w:sz w:val="18"/>
              <w:szCs w:val="22"/>
              <w:lang w:eastAsia="en-AU"/>
            </w:rPr>
          </w:pPr>
          <w:hyperlink w:anchor="_Toc166235161" w:history="1">
            <w:r w:rsidR="009027A3" w:rsidRPr="00CC0019">
              <w:rPr>
                <w:rStyle w:val="Hyperlink"/>
                <w:rFonts w:ascii="Times" w:hAnsi="Times" w:cstheme="majorHAnsi"/>
                <w:b/>
                <w:noProof/>
                <w:sz w:val="20"/>
              </w:rPr>
              <w:t>Funding</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_Toc166235161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12</w:t>
            </w:r>
            <w:r w:rsidR="009027A3" w:rsidRPr="00CC0019">
              <w:rPr>
                <w:noProof/>
                <w:webHidden/>
                <w:sz w:val="20"/>
              </w:rPr>
              <w:fldChar w:fldCharType="end"/>
            </w:r>
          </w:hyperlink>
        </w:p>
        <w:p w14:paraId="44780933" w14:textId="77777777" w:rsidR="009027A3" w:rsidRPr="00CC0019" w:rsidRDefault="00945291">
          <w:pPr>
            <w:pStyle w:val="TOC1"/>
            <w:tabs>
              <w:tab w:val="right" w:leader="dot" w:pos="9010"/>
            </w:tabs>
            <w:rPr>
              <w:rFonts w:eastAsiaTheme="minorEastAsia"/>
              <w:noProof/>
              <w:sz w:val="18"/>
              <w:szCs w:val="22"/>
              <w:lang w:eastAsia="en-AU"/>
            </w:rPr>
          </w:pPr>
          <w:hyperlink w:anchor="_Toc166235162" w:history="1">
            <w:r w:rsidR="009027A3" w:rsidRPr="00CC0019">
              <w:rPr>
                <w:rStyle w:val="Hyperlink"/>
                <w:rFonts w:ascii="Times" w:hAnsi="Times" w:cstheme="majorHAnsi"/>
                <w:noProof/>
                <w:sz w:val="20"/>
              </w:rPr>
              <w:t>References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_Toc166235162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13</w:t>
            </w:r>
            <w:r w:rsidR="009027A3" w:rsidRPr="00CC0019">
              <w:rPr>
                <w:noProof/>
                <w:webHidden/>
                <w:sz w:val="20"/>
              </w:rPr>
              <w:fldChar w:fldCharType="end"/>
            </w:r>
          </w:hyperlink>
        </w:p>
        <w:p w14:paraId="4C05B4E8" w14:textId="77777777" w:rsidR="009027A3" w:rsidRPr="00CC0019" w:rsidRDefault="00945291">
          <w:pPr>
            <w:pStyle w:val="TOC1"/>
            <w:tabs>
              <w:tab w:val="right" w:leader="dot" w:pos="9010"/>
            </w:tabs>
            <w:rPr>
              <w:rFonts w:eastAsiaTheme="minorEastAsia"/>
              <w:noProof/>
              <w:sz w:val="18"/>
              <w:szCs w:val="22"/>
              <w:lang w:eastAsia="en-AU"/>
            </w:rPr>
          </w:pPr>
          <w:hyperlink w:anchor="_Toc166235163" w:history="1">
            <w:r w:rsidR="009027A3" w:rsidRPr="00CC0019">
              <w:rPr>
                <w:rStyle w:val="Hyperlink"/>
                <w:rFonts w:ascii="Times" w:hAnsi="Times" w:cstheme="majorHAnsi"/>
                <w:noProof/>
                <w:sz w:val="20"/>
              </w:rPr>
              <w:t>Appendices</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_Toc166235163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15</w:t>
            </w:r>
            <w:r w:rsidR="009027A3" w:rsidRPr="00CC0019">
              <w:rPr>
                <w:noProof/>
                <w:webHidden/>
                <w:sz w:val="20"/>
              </w:rPr>
              <w:fldChar w:fldCharType="end"/>
            </w:r>
          </w:hyperlink>
        </w:p>
        <w:p w14:paraId="11F9F7C9" w14:textId="77777777" w:rsidR="009027A3" w:rsidRPr="00CC0019" w:rsidRDefault="00945291">
          <w:pPr>
            <w:pStyle w:val="TOC2"/>
            <w:tabs>
              <w:tab w:val="right" w:leader="dot" w:pos="9010"/>
            </w:tabs>
            <w:rPr>
              <w:rFonts w:eastAsiaTheme="minorEastAsia"/>
              <w:noProof/>
              <w:sz w:val="18"/>
              <w:szCs w:val="22"/>
              <w:lang w:eastAsia="en-AU"/>
            </w:rPr>
          </w:pPr>
          <w:hyperlink w:anchor="_Toc166235164" w:history="1">
            <w:r w:rsidR="009027A3" w:rsidRPr="00CC0019">
              <w:rPr>
                <w:rStyle w:val="Hyperlink"/>
                <w:rFonts w:ascii="Times" w:hAnsi="Times" w:cstheme="majorHAnsi"/>
                <w:noProof/>
                <w:sz w:val="20"/>
              </w:rPr>
              <w:t>Figure A. Daily life impact of subcutaneous catheters (participants to complete)</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_Toc166235164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16</w:t>
            </w:r>
            <w:r w:rsidR="009027A3" w:rsidRPr="00CC0019">
              <w:rPr>
                <w:noProof/>
                <w:webHidden/>
                <w:sz w:val="20"/>
              </w:rPr>
              <w:fldChar w:fldCharType="end"/>
            </w:r>
          </w:hyperlink>
        </w:p>
        <w:p w14:paraId="3DA382C8" w14:textId="77777777" w:rsidR="009027A3" w:rsidRPr="00CC0019" w:rsidRDefault="00945291">
          <w:pPr>
            <w:pStyle w:val="TOC2"/>
            <w:tabs>
              <w:tab w:val="right" w:leader="dot" w:pos="9010"/>
            </w:tabs>
            <w:rPr>
              <w:rFonts w:eastAsiaTheme="minorEastAsia"/>
              <w:noProof/>
              <w:sz w:val="18"/>
              <w:szCs w:val="22"/>
              <w:lang w:eastAsia="en-AU"/>
            </w:rPr>
          </w:pPr>
          <w:hyperlink w:anchor="_Toc166235165" w:history="1">
            <w:r w:rsidR="009027A3" w:rsidRPr="00CC0019">
              <w:rPr>
                <w:rStyle w:val="Hyperlink"/>
                <w:rFonts w:ascii="Times" w:hAnsi="Times" w:cstheme="majorHAnsi"/>
                <w:noProof/>
                <w:sz w:val="20"/>
              </w:rPr>
              <w:t>Visual analogue score for insertion of catheter</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_Toc166235165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16</w:t>
            </w:r>
            <w:r w:rsidR="009027A3" w:rsidRPr="00CC0019">
              <w:rPr>
                <w:noProof/>
                <w:webHidden/>
                <w:sz w:val="20"/>
              </w:rPr>
              <w:fldChar w:fldCharType="end"/>
            </w:r>
          </w:hyperlink>
        </w:p>
        <w:p w14:paraId="44DD054D" w14:textId="77777777" w:rsidR="009027A3" w:rsidRPr="00CC0019" w:rsidRDefault="00945291">
          <w:pPr>
            <w:pStyle w:val="TOC2"/>
            <w:tabs>
              <w:tab w:val="right" w:leader="dot" w:pos="9010"/>
            </w:tabs>
            <w:rPr>
              <w:rFonts w:eastAsiaTheme="minorEastAsia"/>
              <w:noProof/>
              <w:sz w:val="18"/>
              <w:szCs w:val="22"/>
              <w:lang w:eastAsia="en-AU"/>
            </w:rPr>
          </w:pPr>
          <w:hyperlink w:anchor="_Toc166235166" w:history="1">
            <w:r w:rsidR="009027A3" w:rsidRPr="00CC0019">
              <w:rPr>
                <w:rStyle w:val="Hyperlink"/>
                <w:rFonts w:ascii="Times" w:hAnsi="Times" w:cstheme="majorHAnsi"/>
                <w:noProof/>
                <w:sz w:val="20"/>
              </w:rPr>
              <w:t>Figure B. Final acceptability of subcutaneous catheters (participants to complete)</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_Toc166235166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16</w:t>
            </w:r>
            <w:r w:rsidR="009027A3" w:rsidRPr="00CC0019">
              <w:rPr>
                <w:noProof/>
                <w:webHidden/>
                <w:sz w:val="20"/>
              </w:rPr>
              <w:fldChar w:fldCharType="end"/>
            </w:r>
          </w:hyperlink>
        </w:p>
        <w:p w14:paraId="6E214239" w14:textId="77777777" w:rsidR="009027A3" w:rsidRPr="00CC0019" w:rsidRDefault="00945291">
          <w:pPr>
            <w:pStyle w:val="TOC2"/>
            <w:tabs>
              <w:tab w:val="right" w:leader="dot" w:pos="9010"/>
            </w:tabs>
            <w:rPr>
              <w:rFonts w:eastAsiaTheme="minorEastAsia"/>
              <w:noProof/>
              <w:sz w:val="18"/>
              <w:szCs w:val="22"/>
              <w:lang w:eastAsia="en-AU"/>
            </w:rPr>
          </w:pPr>
          <w:hyperlink w:anchor="_Toc166235167" w:history="1">
            <w:r w:rsidR="009027A3" w:rsidRPr="00CC0019">
              <w:rPr>
                <w:rStyle w:val="Hyperlink"/>
                <w:rFonts w:ascii="Times" w:hAnsi="Times" w:cstheme="majorHAnsi"/>
                <w:noProof/>
                <w:sz w:val="20"/>
              </w:rPr>
              <w:t>Figure C. Complications of subcutaneous catheters (performed by nursing staff days 2, 5 and 7)</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_Toc166235167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16</w:t>
            </w:r>
            <w:r w:rsidR="009027A3" w:rsidRPr="00CC0019">
              <w:rPr>
                <w:noProof/>
                <w:webHidden/>
                <w:sz w:val="20"/>
              </w:rPr>
              <w:fldChar w:fldCharType="end"/>
            </w:r>
          </w:hyperlink>
        </w:p>
        <w:p w14:paraId="0CF66A17" w14:textId="77777777" w:rsidR="009027A3" w:rsidRPr="00CC0019" w:rsidRDefault="00945291">
          <w:pPr>
            <w:pStyle w:val="TOC2"/>
            <w:tabs>
              <w:tab w:val="right" w:leader="dot" w:pos="9010"/>
            </w:tabs>
            <w:rPr>
              <w:rFonts w:eastAsiaTheme="minorEastAsia"/>
              <w:noProof/>
              <w:sz w:val="18"/>
              <w:szCs w:val="22"/>
              <w:lang w:eastAsia="en-AU"/>
            </w:rPr>
          </w:pPr>
          <w:hyperlink w:anchor="_Toc166235168" w:history="1">
            <w:r w:rsidR="009027A3" w:rsidRPr="00CC0019">
              <w:rPr>
                <w:rStyle w:val="Hyperlink"/>
                <w:rFonts w:ascii="Times" w:hAnsi="Times" w:cstheme="majorHAnsi"/>
                <w:noProof/>
                <w:sz w:val="20"/>
              </w:rPr>
              <w:t>Figure D. Review of previous subcutaneous catheter site at Day 7 of subcutaneous injections (by nursing staff)</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_Toc166235168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17</w:t>
            </w:r>
            <w:r w:rsidR="009027A3" w:rsidRPr="00CC0019">
              <w:rPr>
                <w:noProof/>
                <w:webHidden/>
                <w:sz w:val="20"/>
              </w:rPr>
              <w:fldChar w:fldCharType="end"/>
            </w:r>
          </w:hyperlink>
        </w:p>
        <w:p w14:paraId="64509EB0" w14:textId="77777777" w:rsidR="009027A3" w:rsidRPr="00CC0019" w:rsidRDefault="00945291">
          <w:pPr>
            <w:pStyle w:val="TOC2"/>
            <w:tabs>
              <w:tab w:val="right" w:leader="dot" w:pos="9010"/>
            </w:tabs>
            <w:rPr>
              <w:rFonts w:eastAsiaTheme="minorEastAsia"/>
              <w:noProof/>
              <w:sz w:val="18"/>
              <w:szCs w:val="22"/>
              <w:lang w:eastAsia="en-AU"/>
            </w:rPr>
          </w:pPr>
          <w:hyperlink w:anchor="_Toc166235169" w:history="1">
            <w:r w:rsidR="009027A3" w:rsidRPr="00CC0019">
              <w:rPr>
                <w:rStyle w:val="Hyperlink"/>
                <w:rFonts w:ascii="Times" w:hAnsi="Times" w:cstheme="majorHAnsi"/>
                <w:noProof/>
                <w:sz w:val="20"/>
              </w:rPr>
              <w:t>Figure E. End of study patient satisfaction survey (participants to complete)</w:t>
            </w:r>
            <w:r w:rsidR="009027A3" w:rsidRPr="00CC0019">
              <w:rPr>
                <w:noProof/>
                <w:webHidden/>
                <w:sz w:val="20"/>
              </w:rPr>
              <w:tab/>
            </w:r>
            <w:r w:rsidR="009027A3" w:rsidRPr="00CC0019">
              <w:rPr>
                <w:noProof/>
                <w:webHidden/>
                <w:sz w:val="20"/>
              </w:rPr>
              <w:fldChar w:fldCharType="begin"/>
            </w:r>
            <w:r w:rsidR="009027A3" w:rsidRPr="00CC0019">
              <w:rPr>
                <w:noProof/>
                <w:webHidden/>
                <w:sz w:val="20"/>
              </w:rPr>
              <w:instrText xml:space="preserve"> PAGEREF _Toc166235169 \h </w:instrText>
            </w:r>
            <w:r w:rsidR="009027A3" w:rsidRPr="00CC0019">
              <w:rPr>
                <w:noProof/>
                <w:webHidden/>
                <w:sz w:val="20"/>
              </w:rPr>
            </w:r>
            <w:r w:rsidR="009027A3" w:rsidRPr="00CC0019">
              <w:rPr>
                <w:noProof/>
                <w:webHidden/>
                <w:sz w:val="20"/>
              </w:rPr>
              <w:fldChar w:fldCharType="separate"/>
            </w:r>
            <w:r w:rsidR="009027A3" w:rsidRPr="00CC0019">
              <w:rPr>
                <w:noProof/>
                <w:webHidden/>
                <w:sz w:val="20"/>
              </w:rPr>
              <w:t>17</w:t>
            </w:r>
            <w:r w:rsidR="009027A3" w:rsidRPr="00CC0019">
              <w:rPr>
                <w:noProof/>
                <w:webHidden/>
                <w:sz w:val="20"/>
              </w:rPr>
              <w:fldChar w:fldCharType="end"/>
            </w:r>
          </w:hyperlink>
        </w:p>
        <w:p w14:paraId="520999F6" w14:textId="19797F49" w:rsidR="000A0A28" w:rsidRPr="00075724" w:rsidRDefault="000A0A28">
          <w:pPr>
            <w:rPr>
              <w:rFonts w:ascii="Times New Roman" w:hAnsi="Times New Roman" w:cs="Times New Roman"/>
            </w:rPr>
          </w:pPr>
          <w:r w:rsidRPr="00CC0019">
            <w:rPr>
              <w:rFonts w:ascii="Times New Roman" w:hAnsi="Times New Roman" w:cs="Times New Roman"/>
              <w:b/>
              <w:bCs/>
              <w:noProof/>
              <w:sz w:val="20"/>
            </w:rPr>
            <w:fldChar w:fldCharType="end"/>
          </w:r>
        </w:p>
      </w:sdtContent>
    </w:sdt>
    <w:p w14:paraId="54AE7D8C" w14:textId="77777777" w:rsidR="000A0A28" w:rsidRDefault="000A0A28">
      <w:pPr>
        <w:rPr>
          <w:rFonts w:ascii="Times" w:hAnsi="Times" w:cstheme="majorHAnsi"/>
          <w:b/>
          <w:sz w:val="22"/>
          <w:szCs w:val="22"/>
        </w:rPr>
      </w:pPr>
      <w:r>
        <w:rPr>
          <w:rFonts w:ascii="Times" w:hAnsi="Times" w:cstheme="majorHAnsi"/>
          <w:b/>
          <w:sz w:val="22"/>
          <w:szCs w:val="22"/>
        </w:rPr>
        <w:br w:type="page"/>
      </w:r>
    </w:p>
    <w:p w14:paraId="430E0B69" w14:textId="228EA075" w:rsidR="00E93BD2" w:rsidRPr="002C7DEE" w:rsidRDefault="00E93BD2" w:rsidP="00075724">
      <w:pPr>
        <w:pStyle w:val="Heading1"/>
        <w:rPr>
          <w:rFonts w:ascii="Times" w:hAnsi="Times" w:cstheme="majorHAnsi"/>
          <w:b/>
          <w:sz w:val="22"/>
          <w:szCs w:val="22"/>
        </w:rPr>
      </w:pPr>
      <w:bookmarkStart w:id="1" w:name="_Toc166235133"/>
      <w:r w:rsidRPr="002C7DEE">
        <w:rPr>
          <w:rFonts w:ascii="Times" w:hAnsi="Times" w:cstheme="majorHAnsi"/>
          <w:b/>
          <w:sz w:val="22"/>
          <w:szCs w:val="22"/>
        </w:rPr>
        <w:lastRenderedPageBreak/>
        <w:t>Introduction</w:t>
      </w:r>
      <w:r w:rsidR="00BA721E" w:rsidRPr="002C7DEE">
        <w:rPr>
          <w:rFonts w:ascii="Times" w:hAnsi="Times" w:cstheme="majorHAnsi"/>
          <w:b/>
          <w:sz w:val="22"/>
          <w:szCs w:val="22"/>
        </w:rPr>
        <w:t xml:space="preserve"> and background</w:t>
      </w:r>
      <w:bookmarkEnd w:id="1"/>
    </w:p>
    <w:p w14:paraId="65953762" w14:textId="77777777" w:rsidR="00BA721E" w:rsidRPr="002C7DEE" w:rsidRDefault="00BA721E" w:rsidP="00075724">
      <w:pPr>
        <w:jc w:val="both"/>
        <w:rPr>
          <w:rFonts w:ascii="Times" w:hAnsi="Times" w:cstheme="majorHAnsi"/>
          <w:sz w:val="22"/>
          <w:szCs w:val="22"/>
        </w:rPr>
      </w:pPr>
    </w:p>
    <w:p w14:paraId="5367A210" w14:textId="6B9BD92F" w:rsidR="00E57C02" w:rsidRPr="002C7DEE" w:rsidRDefault="00E57C02" w:rsidP="00075724">
      <w:pPr>
        <w:jc w:val="both"/>
        <w:rPr>
          <w:rFonts w:ascii="Times" w:hAnsi="Times" w:cstheme="majorHAnsi"/>
          <w:sz w:val="22"/>
          <w:szCs w:val="22"/>
        </w:rPr>
      </w:pPr>
      <w:r w:rsidRPr="002C7DEE">
        <w:rPr>
          <w:rFonts w:ascii="Times" w:hAnsi="Times" w:cstheme="majorHAnsi"/>
          <w:sz w:val="22"/>
          <w:szCs w:val="22"/>
        </w:rPr>
        <w:t xml:space="preserve">Low molecular weight heparins such as enoxaparin are frequently </w:t>
      </w:r>
      <w:r w:rsidR="0047341D" w:rsidRPr="002C7DEE">
        <w:rPr>
          <w:rFonts w:ascii="Times" w:hAnsi="Times" w:cstheme="majorHAnsi"/>
          <w:sz w:val="22"/>
          <w:szCs w:val="22"/>
        </w:rPr>
        <w:t>for venous thromboembolism (VTE)</w:t>
      </w:r>
      <w:r w:rsidRPr="002C7DEE">
        <w:rPr>
          <w:rFonts w:ascii="Times" w:hAnsi="Times" w:cstheme="majorHAnsi"/>
          <w:sz w:val="22"/>
          <w:szCs w:val="22"/>
        </w:rPr>
        <w:t xml:space="preserve"> prophyla</w:t>
      </w:r>
      <w:r w:rsidR="0047341D" w:rsidRPr="002C7DEE">
        <w:rPr>
          <w:rFonts w:ascii="Times" w:hAnsi="Times" w:cstheme="majorHAnsi"/>
          <w:sz w:val="22"/>
          <w:szCs w:val="22"/>
        </w:rPr>
        <w:t>xis and treatment in a wide range of patient populations</w:t>
      </w:r>
      <w:r w:rsidRPr="002C7DEE">
        <w:rPr>
          <w:rFonts w:ascii="Times" w:hAnsi="Times" w:cstheme="majorHAnsi"/>
          <w:sz w:val="22"/>
          <w:szCs w:val="22"/>
        </w:rPr>
        <w:t>. Long term therapy with daily or twice</w:t>
      </w:r>
      <w:r w:rsidR="0047341D" w:rsidRPr="002C7DEE">
        <w:rPr>
          <w:rFonts w:ascii="Times" w:hAnsi="Times" w:cstheme="majorHAnsi"/>
          <w:sz w:val="22"/>
          <w:szCs w:val="22"/>
        </w:rPr>
        <w:t>-</w:t>
      </w:r>
      <w:r w:rsidRPr="002C7DEE">
        <w:rPr>
          <w:rFonts w:ascii="Times" w:hAnsi="Times" w:cstheme="majorHAnsi"/>
          <w:sz w:val="22"/>
          <w:szCs w:val="22"/>
        </w:rPr>
        <w:t>daily</w:t>
      </w:r>
      <w:r w:rsidR="0047341D" w:rsidRPr="002C7DEE">
        <w:rPr>
          <w:rFonts w:ascii="Times" w:hAnsi="Times" w:cstheme="majorHAnsi"/>
          <w:sz w:val="22"/>
          <w:szCs w:val="22"/>
        </w:rPr>
        <w:t xml:space="preserve"> subcutaneous</w:t>
      </w:r>
      <w:r w:rsidRPr="002C7DEE">
        <w:rPr>
          <w:rFonts w:ascii="Times" w:hAnsi="Times" w:cstheme="majorHAnsi"/>
          <w:sz w:val="22"/>
          <w:szCs w:val="22"/>
        </w:rPr>
        <w:t xml:space="preserve"> injections carries</w:t>
      </w:r>
      <w:r w:rsidR="0047341D" w:rsidRPr="002C7DEE">
        <w:rPr>
          <w:rFonts w:ascii="Times" w:hAnsi="Times" w:cstheme="majorHAnsi"/>
          <w:sz w:val="22"/>
          <w:szCs w:val="22"/>
        </w:rPr>
        <w:t xml:space="preserve"> significant</w:t>
      </w:r>
      <w:r w:rsidRPr="002C7DEE">
        <w:rPr>
          <w:rFonts w:ascii="Times" w:hAnsi="Times" w:cstheme="majorHAnsi"/>
          <w:sz w:val="22"/>
          <w:szCs w:val="22"/>
        </w:rPr>
        <w:t xml:space="preserve"> morbidity</w:t>
      </w:r>
      <w:r w:rsidR="0047341D" w:rsidRPr="002C7DEE">
        <w:rPr>
          <w:rFonts w:ascii="Times" w:hAnsi="Times" w:cstheme="majorHAnsi"/>
          <w:sz w:val="22"/>
          <w:szCs w:val="22"/>
        </w:rPr>
        <w:t xml:space="preserve">, which is particularly relevant in patient groups such as </w:t>
      </w:r>
      <w:r w:rsidR="00836FAC" w:rsidRPr="002C7DEE">
        <w:rPr>
          <w:rFonts w:ascii="Times" w:hAnsi="Times" w:cstheme="majorHAnsi"/>
          <w:sz w:val="22"/>
          <w:szCs w:val="22"/>
        </w:rPr>
        <w:t>malignancy and pregnancy</w:t>
      </w:r>
      <w:r w:rsidRPr="002C7DEE">
        <w:rPr>
          <w:rFonts w:ascii="Times" w:hAnsi="Times" w:cstheme="majorHAnsi"/>
          <w:sz w:val="22"/>
          <w:szCs w:val="22"/>
        </w:rPr>
        <w:t>. Alternate methods of administration such as via a subcutaneous catheter have been trialled in the paediatric</w:t>
      </w:r>
      <w:r w:rsidR="00525647" w:rsidRPr="002C7DEE">
        <w:rPr>
          <w:rFonts w:ascii="Times" w:hAnsi="Times" w:cstheme="majorHAnsi"/>
          <w:sz w:val="22"/>
          <w:szCs w:val="22"/>
        </w:rPr>
        <w:t xml:space="preserve"> </w:t>
      </w:r>
      <w:r w:rsidR="004678C9" w:rsidRPr="002C7DEE">
        <w:rPr>
          <w:rFonts w:ascii="Times" w:hAnsi="Times" w:cstheme="majorHAnsi"/>
          <w:sz w:val="22"/>
          <w:szCs w:val="22"/>
        </w:rPr>
        <w:t>setting</w:t>
      </w:r>
      <w:r w:rsidRPr="002C7DEE">
        <w:rPr>
          <w:rFonts w:ascii="Times" w:hAnsi="Times" w:cstheme="majorHAnsi"/>
          <w:sz w:val="22"/>
          <w:szCs w:val="22"/>
        </w:rPr>
        <w:t xml:space="preserve">, </w:t>
      </w:r>
      <w:r w:rsidR="004678C9" w:rsidRPr="002C7DEE">
        <w:rPr>
          <w:rFonts w:ascii="Times" w:hAnsi="Times" w:cstheme="majorHAnsi"/>
          <w:sz w:val="22"/>
          <w:szCs w:val="22"/>
        </w:rPr>
        <w:t>and</w:t>
      </w:r>
      <w:r w:rsidR="00836FAC" w:rsidRPr="002C7DEE">
        <w:rPr>
          <w:rFonts w:ascii="Times" w:hAnsi="Times" w:cstheme="majorHAnsi"/>
          <w:sz w:val="22"/>
          <w:szCs w:val="22"/>
        </w:rPr>
        <w:t xml:space="preserve"> with unfractionated heparin in pregnancy, </w:t>
      </w:r>
      <w:r w:rsidRPr="002C7DEE">
        <w:rPr>
          <w:rFonts w:ascii="Times" w:hAnsi="Times" w:cstheme="majorHAnsi"/>
          <w:sz w:val="22"/>
          <w:szCs w:val="22"/>
        </w:rPr>
        <w:t>and offer a potential to reduce the burden of injections, and improve patient quality of life and acceptance of therapy in a multitude of clinical settings</w:t>
      </w:r>
      <w:r w:rsidR="004678C9" w:rsidRPr="002C7DEE">
        <w:rPr>
          <w:rFonts w:ascii="Times" w:hAnsi="Times" w:cstheme="majorHAnsi"/>
          <w:sz w:val="22"/>
          <w:szCs w:val="22"/>
        </w:rPr>
        <w:t xml:space="preserve"> including pregnancy and cancer patients</w:t>
      </w:r>
      <w:r w:rsidR="00836FAC"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&lt;EndNote&gt;&lt;Cite&gt;&lt;Author&gt;Anderson&lt;/Author&gt;&lt;Year&gt;1993&lt;/Year&gt;&lt;RecNum&gt;37&lt;/RecNum&gt;&lt;DisplayText&gt;[1, 2]&lt;/DisplayText&gt;&lt;record&gt;&lt;rec-number&gt;37&lt;/rec-number&gt;&lt;foreign-keys&gt;&lt;key app="EN" db-id="detxwp9vtwv2v0e5pxf5feaxwx0dr9drsff0" timestamp="1614213551"&gt;37&lt;/key&gt;&lt;/foreign-keys&gt;&lt;ref-type name="Journal Article"&gt;17&lt;/ref-type&gt;&lt;contributors&gt;&lt;authors&gt;&lt;author&gt;Anderson, D.; Ginsbery, J.; P Brill-Edwards, C Demers, R Burrows, J Hirsh&lt;/author&gt;&lt;/authors&gt;&lt;/contributors&gt;&lt;titles&gt;&lt;title&gt;The use of an indwelling teflon catheter for subcutaneous heparin administration during pregnancy: a randomized crossover study&lt;/title&gt;&lt;secondary-title&gt;Arch Intern Med&lt;/secondary-title&gt;&lt;/titles&gt;&lt;periodical&gt;&lt;full-title&gt;Arch Intern Med&lt;/full-title&gt;&lt;/periodical&gt;&lt;pages&gt;841-844&lt;/pages&gt;&lt;volume&gt;153&lt;/volume&gt;&lt;dates&gt;&lt;year&gt;1993&lt;/year&gt;&lt;/dates&gt;&lt;urls&gt;&lt;/urls&gt;&lt;/record&gt;&lt;/Cite&gt;&lt;Cite&gt;&lt;Author&gt;Marquez&lt;/Author&gt;&lt;Year&gt;2014&lt;/Year&gt;&lt;RecNum&gt;1&lt;/RecNum&gt;&lt;record&gt;&lt;rec-number&gt;1&lt;/rec-number&gt;&lt;foreign-keys&gt;&lt;key app="EN" db-id="detxwp9vtwv2v0e5pxf5feaxwx0dr9drsff0" timestamp="1613273208"&gt;1&lt;/key&gt;&lt;/foreign-keys&gt;&lt;ref-type name="Journal Article"&gt;17&lt;/ref-type&gt;&lt;contributors&gt;&lt;authors&gt;&lt;author&gt;Marquez, Roxana; P Pino, P Fajuri, P Zuniga&lt;/author&gt;&lt;/authors&gt;&lt;/contributors&gt;&lt;titles&gt;&lt;title&gt;Subcutaneous catheter for the administration of low molecular weight heparin in pediatrics&lt;/title&gt;&lt;secondary-title&gt;Chilean Journal of Pediatrics&lt;/secondary-title&gt;&lt;/titles&gt;&lt;periodical&gt;&lt;full-title&gt;Chilean Journal of Pediatrics&lt;/full-title&gt;&lt;/periodical&gt;&lt;volume&gt;85&lt;/volume&gt;&lt;number&gt;1&lt;/number&gt;&lt;dates&gt;&lt;year&gt;2014&lt;/year&gt;&lt;/dates&gt;&lt;urls&gt;&lt;/urls&gt;&lt;electronic-resource-num&gt;10.4067/S0370-41062014000100006&lt;/electronic-resource-num&gt;&lt;/record&gt;&lt;/Cite&gt;&lt;/EndNote&gt;</w:instrText>
      </w:r>
      <w:r w:rsidR="00836FAC" w:rsidRPr="002C7DEE">
        <w:rPr>
          <w:rFonts w:ascii="Times" w:hAnsi="Times" w:cstheme="majorHAnsi"/>
          <w:sz w:val="22"/>
          <w:szCs w:val="22"/>
        </w:rPr>
        <w:fldChar w:fldCharType="separate"/>
      </w:r>
      <w:r w:rsidR="00C43993" w:rsidRPr="002C7DEE">
        <w:rPr>
          <w:rFonts w:ascii="Times" w:hAnsi="Times" w:cstheme="majorHAnsi"/>
          <w:noProof/>
          <w:sz w:val="22"/>
          <w:szCs w:val="22"/>
        </w:rPr>
        <w:t>[1, 2]</w:t>
      </w:r>
      <w:r w:rsidR="00836FAC" w:rsidRPr="002C7DEE">
        <w:rPr>
          <w:rFonts w:ascii="Times" w:hAnsi="Times" w:cstheme="majorHAnsi"/>
          <w:sz w:val="22"/>
          <w:szCs w:val="22"/>
        </w:rPr>
        <w:fldChar w:fldCharType="end"/>
      </w:r>
      <w:r w:rsidRPr="002C7DEE">
        <w:rPr>
          <w:rFonts w:ascii="Times" w:hAnsi="Times" w:cstheme="majorHAnsi"/>
          <w:sz w:val="22"/>
          <w:szCs w:val="22"/>
        </w:rPr>
        <w:t xml:space="preserve">. </w:t>
      </w:r>
    </w:p>
    <w:p w14:paraId="1E149014" w14:textId="15E815DA" w:rsidR="00122305" w:rsidRPr="002C7DEE" w:rsidRDefault="00122305" w:rsidP="00075724">
      <w:pPr>
        <w:jc w:val="both"/>
        <w:rPr>
          <w:rFonts w:ascii="Times" w:hAnsi="Times" w:cstheme="majorHAnsi"/>
          <w:sz w:val="22"/>
          <w:szCs w:val="22"/>
        </w:rPr>
      </w:pPr>
    </w:p>
    <w:p w14:paraId="3C570A80" w14:textId="27E6E8FA" w:rsidR="009B696C" w:rsidRPr="002C7DEE" w:rsidRDefault="009B696C" w:rsidP="00075724">
      <w:pPr>
        <w:jc w:val="both"/>
        <w:rPr>
          <w:rFonts w:ascii="Times" w:hAnsi="Times" w:cstheme="majorHAnsi"/>
          <w:sz w:val="22"/>
          <w:szCs w:val="22"/>
        </w:rPr>
      </w:pPr>
      <w:r w:rsidRPr="002C7DEE">
        <w:rPr>
          <w:rFonts w:ascii="Times" w:hAnsi="Times" w:cstheme="majorHAnsi"/>
          <w:sz w:val="22"/>
          <w:szCs w:val="22"/>
        </w:rPr>
        <w:t>Venous thromboembolic disease poses a significant morbidity and mortality risk across multiple settings, including hospital inpatients, pregnancy, and those with active malignancy. VTE</w:t>
      </w:r>
      <w:r w:rsidR="00DB6368" w:rsidRPr="002C7DEE">
        <w:rPr>
          <w:rFonts w:ascii="Times" w:hAnsi="Times" w:cstheme="majorHAnsi"/>
          <w:sz w:val="22"/>
          <w:szCs w:val="22"/>
        </w:rPr>
        <w:t xml:space="preserve"> rates </w:t>
      </w:r>
      <w:r w:rsidRPr="002C7DEE">
        <w:rPr>
          <w:rFonts w:ascii="Times" w:hAnsi="Times" w:cstheme="majorHAnsi"/>
          <w:sz w:val="22"/>
          <w:szCs w:val="22"/>
        </w:rPr>
        <w:t xml:space="preserve">are </w:t>
      </w:r>
      <w:r w:rsidR="00DB6368" w:rsidRPr="002C7DEE">
        <w:rPr>
          <w:rFonts w:ascii="Times" w:hAnsi="Times" w:cstheme="majorHAnsi"/>
          <w:sz w:val="22"/>
          <w:szCs w:val="22"/>
        </w:rPr>
        <w:t xml:space="preserve">up to 130 times higher in hospitalised patients vs community, </w:t>
      </w:r>
      <w:r w:rsidRPr="002C7DEE">
        <w:rPr>
          <w:rFonts w:ascii="Times" w:hAnsi="Times" w:cstheme="majorHAnsi"/>
          <w:sz w:val="22"/>
          <w:szCs w:val="22"/>
        </w:rPr>
        <w:t>pulmonary embolism (</w:t>
      </w:r>
      <w:r w:rsidR="00DB6368" w:rsidRPr="002C7DEE">
        <w:rPr>
          <w:rFonts w:ascii="Times" w:hAnsi="Times" w:cstheme="majorHAnsi"/>
          <w:sz w:val="22"/>
          <w:szCs w:val="22"/>
        </w:rPr>
        <w:t>PE</w:t>
      </w:r>
      <w:r w:rsidRPr="002C7DEE">
        <w:rPr>
          <w:rFonts w:ascii="Times" w:hAnsi="Times" w:cstheme="majorHAnsi"/>
          <w:sz w:val="22"/>
          <w:szCs w:val="22"/>
        </w:rPr>
        <w:t>) being the</w:t>
      </w:r>
      <w:r w:rsidR="00DB6368" w:rsidRPr="002C7DEE">
        <w:rPr>
          <w:rFonts w:ascii="Times" w:hAnsi="Times" w:cstheme="majorHAnsi"/>
          <w:sz w:val="22"/>
          <w:szCs w:val="22"/>
        </w:rPr>
        <w:t xml:space="preserve"> </w:t>
      </w:r>
      <w:r w:rsidRPr="002C7DEE">
        <w:rPr>
          <w:rFonts w:ascii="Times" w:hAnsi="Times" w:cstheme="majorHAnsi"/>
          <w:sz w:val="22"/>
          <w:szCs w:val="22"/>
        </w:rPr>
        <w:t>cause</w:t>
      </w:r>
      <w:r w:rsidR="00DB6368" w:rsidRPr="002C7DEE">
        <w:rPr>
          <w:rFonts w:ascii="Times" w:hAnsi="Times" w:cstheme="majorHAnsi"/>
          <w:sz w:val="22"/>
          <w:szCs w:val="22"/>
        </w:rPr>
        <w:t xml:space="preserve"> death in up to 1.3</w:t>
      </w:r>
      <w:r w:rsidRPr="002C7DEE">
        <w:rPr>
          <w:rFonts w:ascii="Times" w:hAnsi="Times" w:cstheme="majorHAnsi"/>
          <w:sz w:val="22"/>
          <w:szCs w:val="22"/>
        </w:rPr>
        <w:t>%</w:t>
      </w:r>
      <w:r w:rsidR="00DB6368" w:rsidRPr="002C7DEE">
        <w:rPr>
          <w:rFonts w:ascii="Times" w:hAnsi="Times" w:cstheme="majorHAnsi"/>
          <w:sz w:val="22"/>
          <w:szCs w:val="22"/>
        </w:rPr>
        <w:t xml:space="preserve"> of hospitalised medical patients</w:t>
      </w:r>
      <w:r w:rsidRPr="002C7DEE">
        <w:rPr>
          <w:rFonts w:ascii="Times" w:hAnsi="Times" w:cstheme="majorHAnsi"/>
          <w:sz w:val="22"/>
          <w:szCs w:val="22"/>
        </w:rPr>
        <w:t xml:space="preserve">, with </w:t>
      </w:r>
      <w:r w:rsidR="00DB6368" w:rsidRPr="002C7DEE">
        <w:rPr>
          <w:rFonts w:ascii="Times" w:hAnsi="Times" w:cstheme="majorHAnsi"/>
          <w:sz w:val="22"/>
          <w:szCs w:val="22"/>
        </w:rPr>
        <w:t>45% of VTE events occur in the 3 months post discharge</w:t>
      </w:r>
      <w:r w:rsidR="00DB6368"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&lt;EndNote&gt;&lt;Cite&gt;&lt;Author&gt;Menaka Pai&lt;/Author&gt;&lt;Year&gt;2020&lt;/Year&gt;&lt;RecNum&gt;10&lt;/RecNum&gt;&lt;DisplayText&gt;[3]&lt;/DisplayText&gt;&lt;record&gt;&lt;rec-number&gt;10&lt;/rec-number&gt;&lt;foreign-keys&gt;&lt;key app="EN" db-id="detxwp9vtwv2v0e5pxf5feaxwx0dr9drsff0" timestamp="1613600881"&gt;10&lt;/key&gt;&lt;/foreign-keys&gt;&lt;ref-type name="Web Page"&gt;12&lt;/ref-type&gt;&lt;contributors&gt;&lt;authors&gt;&lt;author&gt;Menaka Pai, James Douketis&lt;/author&gt;&lt;/authors&gt;&lt;secondary-authors&gt;&lt;author&gt;Lawrence Leung, Jess Mandel, Geraldine Finlay&lt;/author&gt;&lt;/secondary-authors&gt;&lt;/contributors&gt;&lt;titles&gt;&lt;title&gt;Prevention of venous thromboembolic disease in acutely ill hospitalized medical adults&lt;/title&gt;&lt;/titles&gt;&lt;volume&gt;2021&lt;/volume&gt;&lt;number&gt;Feb&lt;/number&gt;&lt;dates&gt;&lt;year&gt;2020&lt;/year&gt;&lt;/dates&gt;&lt;pub-location&gt;UptoDate&lt;/pub-location&gt;&lt;urls&gt;&lt;/urls&gt;&lt;/record&gt;&lt;/Cite&gt;&lt;/EndNote&gt;</w:instrText>
      </w:r>
      <w:r w:rsidR="00DB6368" w:rsidRPr="002C7DEE">
        <w:rPr>
          <w:rFonts w:ascii="Times" w:hAnsi="Times" w:cstheme="majorHAnsi"/>
          <w:sz w:val="22"/>
          <w:szCs w:val="22"/>
        </w:rPr>
        <w:fldChar w:fldCharType="separate"/>
      </w:r>
      <w:r w:rsidR="00C43993" w:rsidRPr="002C7DEE">
        <w:rPr>
          <w:rFonts w:ascii="Times" w:hAnsi="Times" w:cstheme="majorHAnsi"/>
          <w:noProof/>
          <w:sz w:val="22"/>
          <w:szCs w:val="22"/>
        </w:rPr>
        <w:t>[3]</w:t>
      </w:r>
      <w:r w:rsidR="00DB6368" w:rsidRPr="002C7DEE">
        <w:rPr>
          <w:rFonts w:ascii="Times" w:hAnsi="Times" w:cstheme="majorHAnsi"/>
          <w:sz w:val="22"/>
          <w:szCs w:val="22"/>
        </w:rPr>
        <w:fldChar w:fldCharType="end"/>
      </w:r>
      <w:r w:rsidRPr="002C7DEE">
        <w:rPr>
          <w:rFonts w:ascii="Times" w:hAnsi="Times" w:cstheme="majorHAnsi"/>
          <w:sz w:val="22"/>
          <w:szCs w:val="22"/>
        </w:rPr>
        <w:t xml:space="preserve">. Reported rates of VTE in the community </w:t>
      </w:r>
      <w:r w:rsidR="004678C9" w:rsidRPr="002C7DEE">
        <w:rPr>
          <w:rFonts w:ascii="Times" w:hAnsi="Times" w:cstheme="majorHAnsi"/>
          <w:sz w:val="22"/>
          <w:szCs w:val="22"/>
        </w:rPr>
        <w:t>range</w:t>
      </w:r>
      <w:r w:rsidRPr="002C7DEE">
        <w:rPr>
          <w:rFonts w:ascii="Times" w:hAnsi="Times" w:cstheme="majorHAnsi"/>
          <w:sz w:val="22"/>
          <w:szCs w:val="22"/>
        </w:rPr>
        <w:t xml:space="preserve"> from 57 to 131 per 100,000 persons, with </w:t>
      </w:r>
      <w:r w:rsidR="004678C9" w:rsidRPr="002C7DEE">
        <w:rPr>
          <w:rFonts w:ascii="Times" w:hAnsi="Times" w:cstheme="majorHAnsi"/>
          <w:sz w:val="22"/>
          <w:szCs w:val="22"/>
        </w:rPr>
        <w:t xml:space="preserve">28 day </w:t>
      </w:r>
      <w:r w:rsidRPr="002C7DEE">
        <w:rPr>
          <w:rFonts w:ascii="Times" w:hAnsi="Times" w:cstheme="majorHAnsi"/>
          <w:sz w:val="22"/>
          <w:szCs w:val="22"/>
        </w:rPr>
        <w:t xml:space="preserve">case fatality </w:t>
      </w:r>
      <w:r w:rsidR="004678C9" w:rsidRPr="002C7DEE">
        <w:rPr>
          <w:rFonts w:ascii="Times" w:hAnsi="Times" w:cstheme="majorHAnsi"/>
          <w:sz w:val="22"/>
          <w:szCs w:val="22"/>
        </w:rPr>
        <w:t>rate of</w:t>
      </w:r>
      <w:r w:rsidRPr="002C7DEE">
        <w:rPr>
          <w:rFonts w:ascii="Times" w:hAnsi="Times" w:cstheme="majorHAnsi"/>
          <w:sz w:val="22"/>
          <w:szCs w:val="22"/>
        </w:rPr>
        <w:t xml:space="preserve"> 5% for unprovoked events, 7% for provoked, and 25% in those with active malignancy</w:t>
      </w:r>
      <w:r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&lt;EndNote&gt;&lt;Cite&gt;&lt;Author&gt;WHO&lt;/Author&gt;&lt;RecNum&gt;11&lt;/RecNum&gt;&lt;DisplayText&gt;[4]&lt;/DisplayText&gt;&lt;record&gt;&lt;rec-number&gt;11&lt;/rec-number&gt;&lt;foreign-keys&gt;&lt;key app="EN" db-id="detxwp9vtwv2v0e5pxf5feaxwx0dr9drsff0" timestamp="1613601053"&gt;11&lt;/key&gt;&lt;/foreign-keys&gt;&lt;ref-type name="Web Page"&gt;12&lt;/ref-type&gt;&lt;contributors&gt;&lt;authors&gt;&lt;author&gt;WHO&lt;/author&gt;&lt;/authors&gt;&lt;secondary-authors&gt;&lt;author&gt;WHO&lt;/author&gt;&lt;/secondary-authors&gt;&lt;/contributors&gt;&lt;titles&gt;&lt;title&gt;Addendum 1. Low molecular weight heparins for the treament of Venous Thromboembolism&lt;/title&gt;&lt;/titles&gt;&lt;volume&gt;2021&lt;/volume&gt;&lt;number&gt;Feb&lt;/number&gt;&lt;dates&gt;&lt;/dates&gt;&lt;pub-location&gt;Online&lt;/pub-location&gt;&lt;urls&gt;&lt;related-urls&gt;&lt;url&gt;www.who.int/selection_medicines/committees/expert/20/applications/Addendum1_LMWH.pdf&lt;/url&gt;&lt;/related-urls&gt;&lt;/urls&gt;&lt;/record&gt;&lt;/Cite&gt;&lt;/EndNote&gt;</w:instrText>
      </w:r>
      <w:r w:rsidRPr="002C7DEE">
        <w:rPr>
          <w:rFonts w:ascii="Times" w:hAnsi="Times" w:cstheme="majorHAnsi"/>
          <w:sz w:val="22"/>
          <w:szCs w:val="22"/>
        </w:rPr>
        <w:fldChar w:fldCharType="separate"/>
      </w:r>
      <w:r w:rsidR="00C43993" w:rsidRPr="002C7DEE">
        <w:rPr>
          <w:rFonts w:ascii="Times" w:hAnsi="Times" w:cstheme="majorHAnsi"/>
          <w:noProof/>
          <w:sz w:val="22"/>
          <w:szCs w:val="22"/>
        </w:rPr>
        <w:t>[4]</w:t>
      </w:r>
      <w:r w:rsidRPr="002C7DEE">
        <w:rPr>
          <w:rFonts w:ascii="Times" w:hAnsi="Times" w:cstheme="majorHAnsi"/>
          <w:sz w:val="22"/>
          <w:szCs w:val="22"/>
        </w:rPr>
        <w:fldChar w:fldCharType="end"/>
      </w:r>
      <w:r w:rsidRPr="002C7DEE">
        <w:rPr>
          <w:rFonts w:ascii="Times" w:hAnsi="Times" w:cstheme="majorHAnsi"/>
          <w:sz w:val="22"/>
          <w:szCs w:val="22"/>
        </w:rPr>
        <w:t xml:space="preserve">. </w:t>
      </w:r>
      <w:r w:rsidR="00836FAC" w:rsidRPr="002C7DEE">
        <w:rPr>
          <w:rFonts w:ascii="Times" w:hAnsi="Times" w:cstheme="majorHAnsi"/>
          <w:sz w:val="22"/>
          <w:szCs w:val="22"/>
        </w:rPr>
        <w:t>In Australia, the annual incidence is estimated at 0.83 per 1000 population, with an overall lifetime risk of 8%, with an estimated economic cost of $1.5 million per person</w:t>
      </w:r>
      <w:r w:rsidR="00836FAC"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&lt;EndNote&gt;&lt;Cite&gt;&lt;Year&gt;2008&lt;/Year&gt;&lt;RecNum&gt;40&lt;/RecNum&gt;&lt;DisplayText&gt;[5]&lt;/DisplayText&gt;&lt;record&gt;&lt;rec-number&gt;40&lt;/rec-number&gt;&lt;foreign-keys&gt;&lt;key app="EN" db-id="detxwp9vtwv2v0e5pxf5feaxwx0dr9drsff0" timestamp="1615176909"&gt;40&lt;/key&gt;&lt;/foreign-keys&gt;&lt;ref-type name="Report"&gt;27&lt;/ref-type&gt;&lt;contributors&gt;&lt;secondary-authors&gt;&lt;author&gt;Access Economics&lt;/author&gt;&lt;/secondary-authors&gt;&lt;/contributors&gt;&lt;titles&gt;&lt;title&gt;The burden of venous thromboembolism in Australia&lt;/title&gt;&lt;secondary-title&gt;Report for the Australian and New Zealand Working Party on the Management and Prevention of Venous Thromboembolis&lt;/secondary-title&gt;&lt;/titles&gt;&lt;dates&gt;&lt;year&gt;2008&lt;/year&gt;&lt;/dates&gt;&lt;urls&gt;&lt;related-urls&gt;&lt;url&gt;www.accesseconomics.com.au&lt;/url&gt;&lt;/related-urls&gt;&lt;/urls&gt;&lt;/record&gt;&lt;/Cite&gt;&lt;/EndNote&gt;</w:instrText>
      </w:r>
      <w:r w:rsidR="00836FAC" w:rsidRPr="002C7DEE">
        <w:rPr>
          <w:rFonts w:ascii="Times" w:hAnsi="Times" w:cstheme="majorHAnsi"/>
          <w:sz w:val="22"/>
          <w:szCs w:val="22"/>
        </w:rPr>
        <w:fldChar w:fldCharType="separate"/>
      </w:r>
      <w:r w:rsidR="00C43993" w:rsidRPr="002C7DEE">
        <w:rPr>
          <w:rFonts w:ascii="Times" w:hAnsi="Times" w:cstheme="majorHAnsi"/>
          <w:noProof/>
          <w:sz w:val="22"/>
          <w:szCs w:val="22"/>
        </w:rPr>
        <w:t>[5]</w:t>
      </w:r>
      <w:r w:rsidR="00836FAC" w:rsidRPr="002C7DEE">
        <w:rPr>
          <w:rFonts w:ascii="Times" w:hAnsi="Times" w:cstheme="majorHAnsi"/>
          <w:sz w:val="22"/>
          <w:szCs w:val="22"/>
        </w:rPr>
        <w:fldChar w:fldCharType="end"/>
      </w:r>
      <w:r w:rsidR="00836FAC" w:rsidRPr="002C7DEE">
        <w:rPr>
          <w:rFonts w:ascii="Times" w:hAnsi="Times" w:cstheme="majorHAnsi"/>
          <w:sz w:val="22"/>
          <w:szCs w:val="22"/>
        </w:rPr>
        <w:t xml:space="preserve">. </w:t>
      </w:r>
      <w:r w:rsidR="00C43993" w:rsidRPr="002C7DEE">
        <w:rPr>
          <w:rFonts w:ascii="Times" w:hAnsi="Times" w:cstheme="majorHAnsi"/>
          <w:sz w:val="22"/>
          <w:szCs w:val="22"/>
        </w:rPr>
        <w:t>C</w:t>
      </w:r>
      <w:r w:rsidRPr="002C7DEE">
        <w:rPr>
          <w:rFonts w:ascii="Times" w:hAnsi="Times" w:cstheme="majorHAnsi"/>
          <w:sz w:val="22"/>
          <w:szCs w:val="22"/>
        </w:rPr>
        <w:t>onditions such as pregnancy increase the risk of thrombosis, and PE remains a leading direct cause of maternal death</w:t>
      </w:r>
      <w:r w:rsidR="00C43993"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&lt;EndNote&gt;&lt;Cite&gt;&lt;Author&gt;RCOG&lt;/Author&gt;&lt;Year&gt;2015&lt;/Year&gt;&lt;RecNum&gt;8&lt;/RecNum&gt;&lt;DisplayText&gt;[6]&lt;/DisplayText&gt;&lt;record&gt;&lt;rec-number&gt;8&lt;/rec-number&gt;&lt;foreign-keys&gt;&lt;key app="EN" db-id="detxwp9vtwv2v0e5pxf5feaxwx0dr9drsff0" timestamp="1613600123"&gt;8&lt;/key&gt;&lt;/foreign-keys&gt;&lt;ref-type name="Journal Article"&gt;17&lt;/ref-type&gt;&lt;contributors&gt;&lt;authors&gt;&lt;author&gt;RCOG&lt;/author&gt;&lt;/authors&gt;&lt;/contributors&gt;&lt;titles&gt;&lt;title&gt;Reducing the Risk of Venous Thromboembolism during Pregnancy and the Pueperium&lt;/title&gt;&lt;secondary-title&gt;Green-top Guideline&lt;/secondary-title&gt;&lt;short-title&gt;Royal College of Obstetrcians &amp;amp; Gynaecologists&lt;/short-title&gt;&lt;/titles&gt;&lt;periodical&gt;&lt;full-title&gt;Green-top Guideline&lt;/full-title&gt;&lt;/periodical&gt;&lt;volume&gt;37a&lt;/volume&gt;&lt;number&gt;April 2015&lt;/number&gt;&lt;dates&gt;&lt;year&gt;2015&lt;/year&gt;&lt;/dates&gt;&lt;work-type&gt;Guideline&lt;/work-type&gt;&lt;urls&gt;&lt;/urls&gt;&lt;/record&gt;&lt;/Cite&gt;&lt;/EndNote&gt;</w:instrText>
      </w:r>
      <w:r w:rsidR="00C43993" w:rsidRPr="002C7DEE">
        <w:rPr>
          <w:rFonts w:ascii="Times" w:hAnsi="Times" w:cstheme="majorHAnsi"/>
          <w:sz w:val="22"/>
          <w:szCs w:val="22"/>
        </w:rPr>
        <w:fldChar w:fldCharType="separate"/>
      </w:r>
      <w:r w:rsidR="00C43993" w:rsidRPr="002C7DEE">
        <w:rPr>
          <w:rFonts w:ascii="Times" w:hAnsi="Times" w:cstheme="majorHAnsi"/>
          <w:noProof/>
          <w:sz w:val="22"/>
          <w:szCs w:val="22"/>
        </w:rPr>
        <w:t>[6]</w:t>
      </w:r>
      <w:r w:rsidR="00C43993" w:rsidRPr="002C7DEE">
        <w:rPr>
          <w:rFonts w:ascii="Times" w:hAnsi="Times" w:cstheme="majorHAnsi"/>
          <w:sz w:val="22"/>
          <w:szCs w:val="22"/>
        </w:rPr>
        <w:fldChar w:fldCharType="end"/>
      </w:r>
      <w:r w:rsidRPr="002C7DEE">
        <w:rPr>
          <w:rFonts w:ascii="Times" w:hAnsi="Times" w:cstheme="majorHAnsi"/>
          <w:sz w:val="22"/>
          <w:szCs w:val="22"/>
        </w:rPr>
        <w:t>. Low molecular weight heparin (</w:t>
      </w:r>
      <w:r w:rsidR="005D2060" w:rsidRPr="002C7DEE">
        <w:rPr>
          <w:rFonts w:ascii="Times" w:hAnsi="Times" w:cstheme="majorHAnsi"/>
          <w:sz w:val="22"/>
          <w:szCs w:val="22"/>
        </w:rPr>
        <w:t>LMWH</w:t>
      </w:r>
      <w:r w:rsidRPr="002C7DEE">
        <w:rPr>
          <w:rFonts w:ascii="Times" w:hAnsi="Times" w:cstheme="majorHAnsi"/>
          <w:sz w:val="22"/>
          <w:szCs w:val="22"/>
        </w:rPr>
        <w:t>)</w:t>
      </w:r>
      <w:r w:rsidR="005D2060" w:rsidRPr="002C7DEE">
        <w:rPr>
          <w:rFonts w:ascii="Times" w:hAnsi="Times" w:cstheme="majorHAnsi"/>
          <w:sz w:val="22"/>
          <w:szCs w:val="22"/>
        </w:rPr>
        <w:t xml:space="preserve"> reduce</w:t>
      </w:r>
      <w:r w:rsidRPr="002C7DEE">
        <w:rPr>
          <w:rFonts w:ascii="Times" w:hAnsi="Times" w:cstheme="majorHAnsi"/>
          <w:sz w:val="22"/>
          <w:szCs w:val="22"/>
        </w:rPr>
        <w:t>s</w:t>
      </w:r>
      <w:r w:rsidR="005D2060" w:rsidRPr="002C7DEE">
        <w:rPr>
          <w:rFonts w:ascii="Times" w:hAnsi="Times" w:cstheme="majorHAnsi"/>
          <w:sz w:val="22"/>
          <w:szCs w:val="22"/>
        </w:rPr>
        <w:t xml:space="preserve"> VTE risk in medical and surgical patients by 60</w:t>
      </w:r>
      <w:r w:rsidRPr="002C7DEE">
        <w:rPr>
          <w:rFonts w:ascii="Times" w:hAnsi="Times" w:cstheme="majorHAnsi"/>
          <w:sz w:val="22"/>
          <w:szCs w:val="22"/>
        </w:rPr>
        <w:t>%</w:t>
      </w:r>
      <w:r w:rsidR="005D2060" w:rsidRPr="002C7DEE">
        <w:rPr>
          <w:rFonts w:ascii="Times" w:hAnsi="Times" w:cstheme="majorHAnsi"/>
          <w:sz w:val="22"/>
          <w:szCs w:val="22"/>
        </w:rPr>
        <w:t xml:space="preserve"> and 70% respectively, </w:t>
      </w:r>
      <w:r w:rsidRPr="002C7DEE">
        <w:rPr>
          <w:rFonts w:ascii="Times" w:hAnsi="Times" w:cstheme="majorHAnsi"/>
          <w:sz w:val="22"/>
          <w:szCs w:val="22"/>
        </w:rPr>
        <w:t>with some studies finding up to 88% risk reduction in the obstetric setting</w:t>
      </w:r>
      <w:r w:rsidR="004253FB" w:rsidRPr="002C7DEE">
        <w:rPr>
          <w:rFonts w:ascii="Times" w:hAnsi="Times" w:cstheme="majorHAnsi"/>
          <w:sz w:val="22"/>
          <w:szCs w:val="22"/>
        </w:rPr>
        <w:fldChar w:fldCharType="begin">
          <w:fldData xml:space="preserve">PEVuZE5vdGU+PENpdGU+PEF1dGhvcj5SQ09HPC9BdXRob3I+PFllYXI+MjAxNTwvWWVhcj48UmVj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</w:fldData>
        </w:fldChar>
      </w:r>
      <w:r w:rsidR="00C43993" w:rsidRPr="002C7DEE">
        <w:rPr>
          <w:rFonts w:ascii="Times" w:hAnsi="Times" w:cstheme="majorHAnsi"/>
          <w:sz w:val="22"/>
          <w:szCs w:val="22"/>
        </w:rPr>
        <w:instrText xml:space="preserve"> ADDIN EN.CITE </w:instrText>
      </w:r>
      <w:r w:rsidR="00C43993" w:rsidRPr="002C7DEE">
        <w:rPr>
          <w:rFonts w:ascii="Times" w:hAnsi="Times" w:cstheme="majorHAnsi"/>
          <w:sz w:val="22"/>
          <w:szCs w:val="22"/>
        </w:rPr>
        <w:fldChar w:fldCharType="begin">
          <w:fldData xml:space="preserve">PEVuZE5vdGU+PENpdGU+PEF1dGhvcj5SQ09HPC9BdXRob3I+PFllYXI+MjAxNTwvWWVhcj48UmVj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</w:fldData>
        </w:fldChar>
      </w:r>
      <w:r w:rsidR="00C43993" w:rsidRPr="002C7DEE">
        <w:rPr>
          <w:rFonts w:ascii="Times" w:hAnsi="Times" w:cstheme="majorHAnsi"/>
          <w:sz w:val="22"/>
          <w:szCs w:val="22"/>
        </w:rPr>
        <w:instrText xml:space="preserve"> ADDIN EN.CITE.DATA </w:instrText>
      </w:r>
      <w:r w:rsidR="00C43993" w:rsidRPr="002C7DEE">
        <w:rPr>
          <w:rFonts w:ascii="Times" w:hAnsi="Times" w:cstheme="majorHAnsi"/>
          <w:sz w:val="22"/>
          <w:szCs w:val="22"/>
        </w:rPr>
      </w:r>
      <w:r w:rsidR="00C43993" w:rsidRPr="002C7DEE">
        <w:rPr>
          <w:rFonts w:ascii="Times" w:hAnsi="Times" w:cstheme="majorHAnsi"/>
          <w:sz w:val="22"/>
          <w:szCs w:val="22"/>
        </w:rPr>
        <w:fldChar w:fldCharType="end"/>
      </w:r>
      <w:r w:rsidR="004253FB" w:rsidRPr="002C7DEE">
        <w:rPr>
          <w:rFonts w:ascii="Times" w:hAnsi="Times" w:cstheme="majorHAnsi"/>
          <w:sz w:val="22"/>
          <w:szCs w:val="22"/>
        </w:rPr>
      </w:r>
      <w:r w:rsidR="004253FB" w:rsidRPr="002C7DEE">
        <w:rPr>
          <w:rFonts w:ascii="Times" w:hAnsi="Times" w:cstheme="majorHAnsi"/>
          <w:sz w:val="22"/>
          <w:szCs w:val="22"/>
        </w:rPr>
        <w:fldChar w:fldCharType="separate"/>
      </w:r>
      <w:r w:rsidR="00C43993" w:rsidRPr="002C7DEE">
        <w:rPr>
          <w:rFonts w:ascii="Times" w:hAnsi="Times" w:cstheme="majorHAnsi"/>
          <w:noProof/>
          <w:sz w:val="22"/>
          <w:szCs w:val="22"/>
        </w:rPr>
        <w:t>[6-11]</w:t>
      </w:r>
      <w:r w:rsidR="004253FB" w:rsidRPr="002C7DEE">
        <w:rPr>
          <w:rFonts w:ascii="Times" w:hAnsi="Times" w:cstheme="majorHAnsi"/>
          <w:sz w:val="22"/>
          <w:szCs w:val="22"/>
        </w:rPr>
        <w:fldChar w:fldCharType="end"/>
      </w:r>
      <w:r w:rsidRPr="002C7DEE">
        <w:rPr>
          <w:rFonts w:ascii="Times" w:hAnsi="Times" w:cstheme="majorHAnsi"/>
          <w:sz w:val="22"/>
          <w:szCs w:val="22"/>
        </w:rPr>
        <w:t>.</w:t>
      </w:r>
      <w:r w:rsidR="00836FAC" w:rsidRPr="002C7DEE">
        <w:rPr>
          <w:rFonts w:ascii="Times" w:hAnsi="Times" w:cstheme="majorHAnsi"/>
          <w:sz w:val="22"/>
          <w:szCs w:val="22"/>
        </w:rPr>
        <w:t xml:space="preserve"> </w:t>
      </w:r>
    </w:p>
    <w:p w14:paraId="12341B27" w14:textId="7402576C" w:rsidR="009E73F5" w:rsidRPr="002C7DEE" w:rsidRDefault="009E73F5" w:rsidP="00075724">
      <w:pPr>
        <w:jc w:val="both"/>
        <w:rPr>
          <w:rFonts w:ascii="Times" w:hAnsi="Times" w:cstheme="majorHAnsi"/>
          <w:sz w:val="22"/>
          <w:szCs w:val="22"/>
        </w:rPr>
      </w:pPr>
    </w:p>
    <w:p w14:paraId="224900E6" w14:textId="63A63276" w:rsidR="00BC1A74" w:rsidRPr="002C7DEE" w:rsidRDefault="009E73F5" w:rsidP="00075724">
      <w:pPr>
        <w:jc w:val="both"/>
        <w:rPr>
          <w:rFonts w:ascii="Times" w:hAnsi="Times" w:cstheme="majorHAnsi"/>
          <w:sz w:val="22"/>
          <w:szCs w:val="22"/>
        </w:rPr>
      </w:pPr>
      <w:r w:rsidRPr="002C7DEE">
        <w:rPr>
          <w:rFonts w:ascii="Times" w:hAnsi="Times" w:cstheme="majorHAnsi"/>
          <w:sz w:val="22"/>
          <w:szCs w:val="22"/>
        </w:rPr>
        <w:t xml:space="preserve">Enoxaparin is a low molecular weight heparin (LMWH) which is widely used in Australia for pharmacologic VTE prophylaxis in hospital inpatients, as well as being the primary LMWH used as parenteral therapy in the outpatient setting </w:t>
      </w:r>
      <w:r w:rsidR="00A01187"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&lt;EndNote&gt;&lt;Cite&gt;&lt;Author&gt;eTG&lt;/Author&gt;&lt;Year&gt;2020&lt;/Year&gt;&lt;RecNum&gt;35&lt;/RecNum&gt;&lt;DisplayText&gt;[12]&lt;/DisplayText&gt;&lt;record&gt;&lt;rec-number&gt;35&lt;/rec-number&gt;&lt;foreign-keys&gt;&lt;key app="EN" db-id="detxwp9vtwv2v0e5pxf5feaxwx0dr9drsff0" timestamp="1614205797"&gt;35&lt;/key&gt;&lt;/foreign-keys&gt;&lt;ref-type name="Web Page"&gt;12&lt;/ref-type&gt;&lt;contributors&gt;&lt;authors&gt;&lt;author&gt;eTG&lt;/author&gt;&lt;/authors&gt;&lt;secondary-authors&gt;&lt;author&gt;Therapeutic Guidelines Ltd&lt;/author&gt;&lt;/secondary-authors&gt;&lt;/contributors&gt;&lt;titles&gt;&lt;title&gt;Venous thromboemboliem: prophylaxis&lt;/title&gt;&lt;/titles&gt;&lt;volume&gt;2021&lt;/volume&gt;&lt;number&gt;Feb&lt;/number&gt;&lt;dates&gt;&lt;year&gt;2020&lt;/year&gt;&lt;/dates&gt;&lt;pub-location&gt;Online&lt;/pub-location&gt;&lt;publisher&gt;eTG&lt;/publisher&gt;&lt;urls&gt;&lt;related-urls&gt;&lt;url&gt;https://tglcdp.tg.org.au.acs.hcn.com.au/viewTopic?topicfile=venous-thromboembolism-prevention&amp;amp;guidelinesName=Cardiovascular#toc_d1e767&lt;/url&gt;&lt;/related-urls&gt;&lt;/urls&gt;&lt;/record&gt;&lt;/Cite&gt;&lt;/EndNote&gt;</w:instrText>
      </w:r>
      <w:r w:rsidR="00A01187" w:rsidRPr="002C7DEE">
        <w:rPr>
          <w:rFonts w:ascii="Times" w:hAnsi="Times" w:cstheme="majorHAnsi"/>
          <w:sz w:val="22"/>
          <w:szCs w:val="22"/>
        </w:rPr>
        <w:fldChar w:fldCharType="separate"/>
      </w:r>
      <w:r w:rsidR="00C43993" w:rsidRPr="002C7DEE">
        <w:rPr>
          <w:rFonts w:ascii="Times" w:hAnsi="Times" w:cstheme="majorHAnsi"/>
          <w:noProof/>
          <w:sz w:val="22"/>
          <w:szCs w:val="22"/>
        </w:rPr>
        <w:t>[12]</w:t>
      </w:r>
      <w:r w:rsidR="00A01187" w:rsidRPr="002C7DEE">
        <w:rPr>
          <w:rFonts w:ascii="Times" w:hAnsi="Times" w:cstheme="majorHAnsi"/>
          <w:sz w:val="22"/>
          <w:szCs w:val="22"/>
        </w:rPr>
        <w:fldChar w:fldCharType="end"/>
      </w:r>
      <w:r w:rsidRPr="002C7DEE">
        <w:rPr>
          <w:rFonts w:ascii="Times" w:hAnsi="Times" w:cstheme="majorHAnsi"/>
          <w:sz w:val="22"/>
          <w:szCs w:val="22"/>
        </w:rPr>
        <w:t xml:space="preserve">. </w:t>
      </w:r>
      <w:r w:rsidR="00604003" w:rsidRPr="002C7DEE">
        <w:rPr>
          <w:rFonts w:ascii="Times" w:hAnsi="Times" w:cstheme="majorHAnsi"/>
          <w:sz w:val="22"/>
          <w:szCs w:val="22"/>
        </w:rPr>
        <w:t>Historical studies have established enoxaparin and other low molecular weight heparins as both safe and effective in prevention and treatment of venous thromboembolism as compared to heparin</w:t>
      </w:r>
      <w:r w:rsidR="00FA2C52" w:rsidRPr="002C7DEE">
        <w:rPr>
          <w:rFonts w:ascii="Times" w:hAnsi="Times" w:cstheme="majorHAnsi"/>
          <w:sz w:val="22"/>
          <w:szCs w:val="22"/>
        </w:rPr>
        <w:fldChar w:fldCharType="begin">
          <w:fldData xml:space="preserve">PEVuZE5vdGU+PENpdGU+PEF1dGhvcj5NY0dhcnJ5PC9BdXRob3I+PFllYXI+MjAwNjwvWWVhcj48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=
</w:fldData>
        </w:fldChar>
      </w:r>
      <w:r w:rsidR="00C43993" w:rsidRPr="002C7DEE">
        <w:rPr>
          <w:rFonts w:ascii="Times" w:hAnsi="Times" w:cstheme="majorHAnsi"/>
          <w:sz w:val="22"/>
          <w:szCs w:val="22"/>
        </w:rPr>
        <w:instrText xml:space="preserve"> ADDIN EN.CITE </w:instrText>
      </w:r>
      <w:r w:rsidR="00C43993" w:rsidRPr="002C7DEE">
        <w:rPr>
          <w:rFonts w:ascii="Times" w:hAnsi="Times" w:cstheme="majorHAnsi"/>
          <w:sz w:val="22"/>
          <w:szCs w:val="22"/>
        </w:rPr>
        <w:fldChar w:fldCharType="begin">
          <w:fldData xml:space="preserve">PEVuZE5vdGU+PENpdGU+PEF1dGhvcj5NY0dhcnJ5PC9BdXRob3I+PFllYXI+MjAwNjwvWWVhcj48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=
</w:fldData>
        </w:fldChar>
      </w:r>
      <w:r w:rsidR="00C43993" w:rsidRPr="002C7DEE">
        <w:rPr>
          <w:rFonts w:ascii="Times" w:hAnsi="Times" w:cstheme="majorHAnsi"/>
          <w:sz w:val="22"/>
          <w:szCs w:val="22"/>
        </w:rPr>
        <w:instrText xml:space="preserve"> ADDIN EN.CITE.DATA </w:instrText>
      </w:r>
      <w:r w:rsidR="00C43993" w:rsidRPr="002C7DEE">
        <w:rPr>
          <w:rFonts w:ascii="Times" w:hAnsi="Times" w:cstheme="majorHAnsi"/>
          <w:sz w:val="22"/>
          <w:szCs w:val="22"/>
        </w:rPr>
      </w:r>
      <w:r w:rsidR="00C43993" w:rsidRPr="002C7DEE">
        <w:rPr>
          <w:rFonts w:ascii="Times" w:hAnsi="Times" w:cstheme="majorHAnsi"/>
          <w:sz w:val="22"/>
          <w:szCs w:val="22"/>
        </w:rPr>
        <w:fldChar w:fldCharType="end"/>
      </w:r>
      <w:r w:rsidR="00FA2C52" w:rsidRPr="002C7DEE">
        <w:rPr>
          <w:rFonts w:ascii="Times" w:hAnsi="Times" w:cstheme="majorHAnsi"/>
          <w:sz w:val="22"/>
          <w:szCs w:val="22"/>
        </w:rPr>
      </w:r>
      <w:r w:rsidR="00FA2C52" w:rsidRPr="002C7DEE">
        <w:rPr>
          <w:rFonts w:ascii="Times" w:hAnsi="Times" w:cstheme="majorHAnsi"/>
          <w:sz w:val="22"/>
          <w:szCs w:val="22"/>
        </w:rPr>
        <w:fldChar w:fldCharType="separate"/>
      </w:r>
      <w:r w:rsidR="00C43993" w:rsidRPr="002C7DEE">
        <w:rPr>
          <w:rFonts w:ascii="Times" w:hAnsi="Times" w:cstheme="majorHAnsi"/>
          <w:noProof/>
          <w:sz w:val="22"/>
          <w:szCs w:val="22"/>
        </w:rPr>
        <w:t>[13-15]</w:t>
      </w:r>
      <w:r w:rsidR="00FA2C52" w:rsidRPr="002C7DEE">
        <w:rPr>
          <w:rFonts w:ascii="Times" w:hAnsi="Times" w:cstheme="majorHAnsi"/>
          <w:sz w:val="22"/>
          <w:szCs w:val="22"/>
        </w:rPr>
        <w:fldChar w:fldCharType="end"/>
      </w:r>
      <w:r w:rsidR="00604003" w:rsidRPr="002C7DEE">
        <w:rPr>
          <w:rFonts w:ascii="Times" w:hAnsi="Times" w:cstheme="majorHAnsi"/>
          <w:sz w:val="22"/>
          <w:szCs w:val="22"/>
        </w:rPr>
        <w:t>. The predictable pharmacokinetic profile make them easier to use clinically, and minimise the need to monitor drug levels in the majority of patients</w:t>
      </w:r>
      <w:r w:rsidR="0010340F" w:rsidRPr="002C7DEE">
        <w:rPr>
          <w:rFonts w:ascii="Times" w:hAnsi="Times" w:cstheme="majorHAnsi"/>
          <w:sz w:val="22"/>
          <w:szCs w:val="22"/>
        </w:rPr>
        <w:t xml:space="preserve"> </w:t>
      </w:r>
      <w:r w:rsidR="00460986" w:rsidRPr="002C7DEE">
        <w:rPr>
          <w:rFonts w:ascii="Times" w:hAnsi="Times" w:cstheme="majorHAnsi"/>
          <w:sz w:val="22"/>
          <w:szCs w:val="22"/>
        </w:rPr>
        <w:fldChar w:fldCharType="begin">
          <w:fldData xml:space="preserve">PEVuZE5vdGU+PENpdGU+PEF1dGhvcj5lVEc8L0F1dGhvcj48WWVhcj4yMDIwPC9ZZWFyPjxSZWNO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</w:fldData>
        </w:fldChar>
      </w:r>
      <w:r w:rsidR="00C43993" w:rsidRPr="002C7DEE">
        <w:rPr>
          <w:rFonts w:ascii="Times" w:hAnsi="Times" w:cstheme="majorHAnsi"/>
          <w:sz w:val="22"/>
          <w:szCs w:val="22"/>
        </w:rPr>
        <w:instrText xml:space="preserve"> ADDIN EN.CITE </w:instrText>
      </w:r>
      <w:r w:rsidR="00C43993" w:rsidRPr="002C7DEE">
        <w:rPr>
          <w:rFonts w:ascii="Times" w:hAnsi="Times" w:cstheme="majorHAnsi"/>
          <w:sz w:val="22"/>
          <w:szCs w:val="22"/>
        </w:rPr>
        <w:fldChar w:fldCharType="begin">
          <w:fldData xml:space="preserve">PEVuZE5vdGU+PENpdGU+PEF1dGhvcj5lVEc8L0F1dGhvcj48WWVhcj4yMDIwPC9ZZWFyPjxSZWNO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</w:fldData>
        </w:fldChar>
      </w:r>
      <w:r w:rsidR="00C43993" w:rsidRPr="002C7DEE">
        <w:rPr>
          <w:rFonts w:ascii="Times" w:hAnsi="Times" w:cstheme="majorHAnsi"/>
          <w:sz w:val="22"/>
          <w:szCs w:val="22"/>
        </w:rPr>
        <w:instrText xml:space="preserve"> ADDIN EN.CITE.DATA </w:instrText>
      </w:r>
      <w:r w:rsidR="00C43993" w:rsidRPr="002C7DEE">
        <w:rPr>
          <w:rFonts w:ascii="Times" w:hAnsi="Times" w:cstheme="majorHAnsi"/>
          <w:sz w:val="22"/>
          <w:szCs w:val="22"/>
        </w:rPr>
      </w:r>
      <w:r w:rsidR="00C43993" w:rsidRPr="002C7DEE">
        <w:rPr>
          <w:rFonts w:ascii="Times" w:hAnsi="Times" w:cstheme="majorHAnsi"/>
          <w:sz w:val="22"/>
          <w:szCs w:val="22"/>
        </w:rPr>
        <w:fldChar w:fldCharType="end"/>
      </w:r>
      <w:r w:rsidR="00460986" w:rsidRPr="002C7DEE">
        <w:rPr>
          <w:rFonts w:ascii="Times" w:hAnsi="Times" w:cstheme="majorHAnsi"/>
          <w:sz w:val="22"/>
          <w:szCs w:val="22"/>
        </w:rPr>
      </w:r>
      <w:r w:rsidR="00460986" w:rsidRPr="002C7DEE">
        <w:rPr>
          <w:rFonts w:ascii="Times" w:hAnsi="Times" w:cstheme="majorHAnsi"/>
          <w:sz w:val="22"/>
          <w:szCs w:val="22"/>
        </w:rPr>
        <w:fldChar w:fldCharType="separate"/>
      </w:r>
      <w:r w:rsidR="00C43993" w:rsidRPr="002C7DEE">
        <w:rPr>
          <w:rFonts w:ascii="Times" w:hAnsi="Times" w:cstheme="majorHAnsi"/>
          <w:noProof/>
          <w:sz w:val="22"/>
          <w:szCs w:val="22"/>
        </w:rPr>
        <w:t>[10, 12, 16]</w:t>
      </w:r>
      <w:r w:rsidR="00460986" w:rsidRPr="002C7DEE">
        <w:rPr>
          <w:rFonts w:ascii="Times" w:hAnsi="Times" w:cstheme="majorHAnsi"/>
          <w:sz w:val="22"/>
          <w:szCs w:val="22"/>
        </w:rPr>
        <w:fldChar w:fldCharType="end"/>
      </w:r>
      <w:r w:rsidR="00C43993" w:rsidRPr="002C7DEE">
        <w:rPr>
          <w:rFonts w:ascii="Times" w:hAnsi="Times" w:cstheme="majorHAnsi"/>
          <w:sz w:val="22"/>
          <w:szCs w:val="22"/>
        </w:rPr>
        <w:t>.</w:t>
      </w:r>
      <w:r w:rsidR="00604003" w:rsidRPr="002C7DEE">
        <w:rPr>
          <w:rFonts w:ascii="Times" w:hAnsi="Times" w:cstheme="majorHAnsi"/>
          <w:sz w:val="22"/>
          <w:szCs w:val="22"/>
        </w:rPr>
        <w:t xml:space="preserve"> As such, there are no clear guidelines on monitoring in the prophylactic setting, though certain patient subsets have been postulated to warrant closer monitoring</w:t>
      </w:r>
      <w:r w:rsidR="00606C73" w:rsidRPr="002C7DEE">
        <w:rPr>
          <w:rFonts w:ascii="Times" w:hAnsi="Times" w:cstheme="majorHAnsi"/>
          <w:sz w:val="22"/>
          <w:szCs w:val="22"/>
        </w:rPr>
        <w:t>, including post-surgical patients, obesity (</w:t>
      </w:r>
      <w:r w:rsidR="00164581" w:rsidRPr="002C7DEE">
        <w:rPr>
          <w:rFonts w:ascii="Times" w:hAnsi="Times" w:cstheme="majorHAnsi"/>
          <w:sz w:val="22"/>
          <w:szCs w:val="22"/>
        </w:rPr>
        <w:t>body mass index (</w:t>
      </w:r>
      <w:r w:rsidR="00606C73" w:rsidRPr="002C7DEE">
        <w:rPr>
          <w:rFonts w:ascii="Times" w:hAnsi="Times" w:cstheme="majorHAnsi"/>
          <w:sz w:val="22"/>
          <w:szCs w:val="22"/>
        </w:rPr>
        <w:t>BMI</w:t>
      </w:r>
      <w:r w:rsidR="00164581" w:rsidRPr="002C7DEE">
        <w:rPr>
          <w:rFonts w:ascii="Times" w:hAnsi="Times" w:cstheme="majorHAnsi"/>
          <w:sz w:val="22"/>
          <w:szCs w:val="22"/>
        </w:rPr>
        <w:t xml:space="preserve">) </w:t>
      </w:r>
      <w:r w:rsidR="00606C73" w:rsidRPr="002C7DEE">
        <w:rPr>
          <w:rFonts w:ascii="Times" w:hAnsi="Times" w:cstheme="majorHAnsi"/>
          <w:sz w:val="22"/>
          <w:szCs w:val="22"/>
        </w:rPr>
        <w:t>&gt;50kg/m</w:t>
      </w:r>
      <w:r w:rsidR="00606C73" w:rsidRPr="002C7DEE">
        <w:rPr>
          <w:rFonts w:ascii="Times" w:hAnsi="Times" w:cstheme="majorHAnsi"/>
          <w:sz w:val="22"/>
          <w:szCs w:val="22"/>
          <w:vertAlign w:val="superscript"/>
        </w:rPr>
        <w:t>2</w:t>
      </w:r>
      <w:r w:rsidR="00606C73" w:rsidRPr="002C7DEE">
        <w:rPr>
          <w:rFonts w:ascii="Times" w:hAnsi="Times" w:cstheme="majorHAnsi"/>
          <w:sz w:val="22"/>
          <w:szCs w:val="22"/>
        </w:rPr>
        <w:t>, renal impairment with CrCl&lt;30mL/min, and pregnancy)</w:t>
      </w:r>
      <w:r w:rsidR="00604003" w:rsidRPr="002C7DEE">
        <w:rPr>
          <w:rFonts w:ascii="Times" w:hAnsi="Times" w:cstheme="majorHAnsi"/>
          <w:sz w:val="22"/>
          <w:szCs w:val="22"/>
        </w:rPr>
        <w:t xml:space="preserve"> </w:t>
      </w:r>
      <w:r w:rsidR="008D0681" w:rsidRPr="002C7DEE">
        <w:rPr>
          <w:rFonts w:ascii="Times" w:hAnsi="Times" w:cstheme="majorHAnsi"/>
          <w:sz w:val="22"/>
          <w:szCs w:val="22"/>
        </w:rPr>
        <w:fldChar w:fldCharType="begin">
          <w:fldData xml:space="preserve">PEVuZE5vdGU+PENpdGU+PEF1dGhvcj5FZGl0aCBBIE51dGVzY3U7IFNhcmFoIEEgU3Bpbmxlcjwv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</w:fldData>
        </w:fldChar>
      </w:r>
      <w:r w:rsidR="00C43993" w:rsidRPr="002C7DEE">
        <w:rPr>
          <w:rFonts w:ascii="Times" w:hAnsi="Times" w:cstheme="majorHAnsi"/>
          <w:sz w:val="22"/>
          <w:szCs w:val="22"/>
        </w:rPr>
        <w:instrText xml:space="preserve"> ADDIN EN.CITE </w:instrText>
      </w:r>
      <w:r w:rsidR="00C43993" w:rsidRPr="002C7DEE">
        <w:rPr>
          <w:rFonts w:ascii="Times" w:hAnsi="Times" w:cstheme="majorHAnsi"/>
          <w:sz w:val="22"/>
          <w:szCs w:val="22"/>
        </w:rPr>
        <w:fldChar w:fldCharType="begin">
          <w:fldData xml:space="preserve">PEVuZE5vdGU+PENpdGU+PEF1dGhvcj5FZGl0aCBBIE51dGVzY3U7IFNhcmFoIEEgU3Bpbmxlcjwv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</w:fldData>
        </w:fldChar>
      </w:r>
      <w:r w:rsidR="00C43993" w:rsidRPr="002C7DEE">
        <w:rPr>
          <w:rFonts w:ascii="Times" w:hAnsi="Times" w:cstheme="majorHAnsi"/>
          <w:sz w:val="22"/>
          <w:szCs w:val="22"/>
        </w:rPr>
        <w:instrText xml:space="preserve"> ADDIN EN.CITE.DATA </w:instrText>
      </w:r>
      <w:r w:rsidR="00C43993" w:rsidRPr="002C7DEE">
        <w:rPr>
          <w:rFonts w:ascii="Times" w:hAnsi="Times" w:cstheme="majorHAnsi"/>
          <w:sz w:val="22"/>
          <w:szCs w:val="22"/>
        </w:rPr>
      </w:r>
      <w:r w:rsidR="00C43993" w:rsidRPr="002C7DEE">
        <w:rPr>
          <w:rFonts w:ascii="Times" w:hAnsi="Times" w:cstheme="majorHAnsi"/>
          <w:sz w:val="22"/>
          <w:szCs w:val="22"/>
        </w:rPr>
        <w:fldChar w:fldCharType="end"/>
      </w:r>
      <w:r w:rsidR="008D0681" w:rsidRPr="002C7DEE">
        <w:rPr>
          <w:rFonts w:ascii="Times" w:hAnsi="Times" w:cstheme="majorHAnsi"/>
          <w:sz w:val="22"/>
          <w:szCs w:val="22"/>
        </w:rPr>
      </w:r>
      <w:r w:rsidR="008D0681" w:rsidRPr="002C7DEE">
        <w:rPr>
          <w:rFonts w:ascii="Times" w:hAnsi="Times" w:cstheme="majorHAnsi"/>
          <w:sz w:val="22"/>
          <w:szCs w:val="22"/>
        </w:rPr>
        <w:fldChar w:fldCharType="separate"/>
      </w:r>
      <w:r w:rsidR="00C43993" w:rsidRPr="002C7DEE">
        <w:rPr>
          <w:rFonts w:ascii="Times" w:hAnsi="Times" w:cstheme="majorHAnsi"/>
          <w:noProof/>
          <w:sz w:val="22"/>
          <w:szCs w:val="22"/>
        </w:rPr>
        <w:t>[16-19]</w:t>
      </w:r>
      <w:r w:rsidR="008D0681" w:rsidRPr="002C7DEE">
        <w:rPr>
          <w:rFonts w:ascii="Times" w:hAnsi="Times" w:cstheme="majorHAnsi"/>
          <w:sz w:val="22"/>
          <w:szCs w:val="22"/>
        </w:rPr>
        <w:fldChar w:fldCharType="end"/>
      </w:r>
      <w:r w:rsidR="00BC1A74" w:rsidRPr="002C7DEE">
        <w:rPr>
          <w:rFonts w:ascii="Times" w:hAnsi="Times" w:cstheme="majorHAnsi"/>
          <w:sz w:val="22"/>
          <w:szCs w:val="22"/>
        </w:rPr>
        <w:t>. Target anti-</w:t>
      </w:r>
      <w:r w:rsidR="00D31AF4" w:rsidRPr="002C7DEE">
        <w:rPr>
          <w:rFonts w:ascii="Times" w:hAnsi="Times" w:cstheme="majorHAnsi"/>
          <w:sz w:val="22"/>
          <w:szCs w:val="22"/>
        </w:rPr>
        <w:t>factor-</w:t>
      </w:r>
      <w:r w:rsidR="00BC1A74" w:rsidRPr="002C7DEE">
        <w:rPr>
          <w:rFonts w:ascii="Times" w:hAnsi="Times" w:cstheme="majorHAnsi"/>
          <w:sz w:val="22"/>
          <w:szCs w:val="22"/>
        </w:rPr>
        <w:t xml:space="preserve">Xa </w:t>
      </w:r>
      <w:r w:rsidR="00D31AF4" w:rsidRPr="002C7DEE">
        <w:rPr>
          <w:rFonts w:ascii="Times" w:hAnsi="Times" w:cstheme="majorHAnsi"/>
          <w:sz w:val="22"/>
          <w:szCs w:val="22"/>
        </w:rPr>
        <w:t>(a</w:t>
      </w:r>
      <w:r w:rsidR="00572CA0" w:rsidRPr="002C7DEE">
        <w:rPr>
          <w:rFonts w:ascii="Times" w:hAnsi="Times" w:cstheme="majorHAnsi"/>
          <w:sz w:val="22"/>
          <w:szCs w:val="22"/>
        </w:rPr>
        <w:t>nti-</w:t>
      </w:r>
      <w:r w:rsidR="00D31AF4" w:rsidRPr="002C7DEE">
        <w:rPr>
          <w:rFonts w:ascii="Times" w:hAnsi="Times" w:cstheme="majorHAnsi"/>
          <w:sz w:val="22"/>
          <w:szCs w:val="22"/>
        </w:rPr>
        <w:t xml:space="preserve">Xa) </w:t>
      </w:r>
      <w:r w:rsidR="00BC1A74" w:rsidRPr="002C7DEE">
        <w:rPr>
          <w:rFonts w:ascii="Times" w:hAnsi="Times" w:cstheme="majorHAnsi"/>
          <w:sz w:val="22"/>
          <w:szCs w:val="22"/>
        </w:rPr>
        <w:t>levels in the prophylactic setting have a wide range of definitions, predominantly ranging from 0.2-0.5</w:t>
      </w:r>
      <w:r w:rsidR="00C96812"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&lt;EndNote&gt;&lt;Cite&gt;&lt;Author&gt;Wei&lt;/Author&gt;&lt;Year&gt;2015&lt;/Year&gt;&lt;RecNum&gt;39&lt;/RecNum&gt;&lt;DisplayText&gt;[20]&lt;/DisplayText&gt;&lt;record&gt;&lt;rec-number&gt;39&lt;/rec-number&gt;&lt;foreign-keys&gt;&lt;key app="EN" db-id="detxwp9vtwv2v0e5pxf5feaxwx0dr9drsff0" timestamp="1614809232"&gt;39&lt;/key&gt;&lt;/foreign-keys&gt;&lt;ref-type name="Journal Article"&gt;17&lt;/ref-type&gt;&lt;contributors&gt;&lt;authors&gt;&lt;author&gt;Wei, M.; Ward, S&lt;/author&gt;&lt;/authors&gt;&lt;/contributors&gt;&lt;titles&gt;&lt;title&gt;The Anti-Factor Xa Range For Low Molecular Weight Heparin Thromboprophylaxis&lt;/title&gt;&lt;secondary-title&gt;Hematol Rep&lt;/secondary-title&gt;&lt;/titles&gt;&lt;periodical&gt;&lt;full-title&gt;Hematol Rep&lt;/full-title&gt;&lt;/periodical&gt;&lt;pages&gt;5844&lt;/pages&gt;&lt;volume&gt;7&lt;/volume&gt;&lt;number&gt;4&lt;/number&gt;&lt;dates&gt;&lt;year&gt;2015&lt;/year&gt;&lt;/dates&gt;&lt;urls&gt;&lt;/urls&gt;&lt;custom2&gt;PMC4691677&lt;/custom2&gt;&lt;electronic-resource-num&gt;10.4081/hr.2015.5844&lt;/electronic-resource-num&gt;&lt;/record&gt;&lt;/Cite&gt;&lt;/EndNote&gt;</w:instrText>
      </w:r>
      <w:r w:rsidR="00C96812" w:rsidRPr="002C7DEE">
        <w:rPr>
          <w:rFonts w:ascii="Times" w:hAnsi="Times" w:cstheme="majorHAnsi"/>
          <w:sz w:val="22"/>
          <w:szCs w:val="22"/>
        </w:rPr>
        <w:fldChar w:fldCharType="separate"/>
      </w:r>
      <w:r w:rsidR="00C43993" w:rsidRPr="002C7DEE">
        <w:rPr>
          <w:rFonts w:ascii="Times" w:hAnsi="Times" w:cstheme="majorHAnsi"/>
          <w:noProof/>
          <w:sz w:val="22"/>
          <w:szCs w:val="22"/>
        </w:rPr>
        <w:t>[20]</w:t>
      </w:r>
      <w:r w:rsidR="00C96812" w:rsidRPr="002C7DEE">
        <w:rPr>
          <w:rFonts w:ascii="Times" w:hAnsi="Times" w:cstheme="majorHAnsi"/>
          <w:sz w:val="22"/>
          <w:szCs w:val="22"/>
        </w:rPr>
        <w:fldChar w:fldCharType="end"/>
      </w:r>
      <w:r w:rsidR="00C96812" w:rsidRPr="002C7DEE">
        <w:rPr>
          <w:rFonts w:ascii="Times" w:hAnsi="Times" w:cstheme="majorHAnsi"/>
          <w:sz w:val="22"/>
          <w:szCs w:val="22"/>
        </w:rPr>
        <w:t>.</w:t>
      </w:r>
      <w:r w:rsidR="00BC1A74" w:rsidRPr="002C7DEE">
        <w:rPr>
          <w:rFonts w:ascii="Times" w:hAnsi="Times" w:cstheme="majorHAnsi"/>
          <w:sz w:val="22"/>
          <w:szCs w:val="22"/>
        </w:rPr>
        <w:t xml:space="preserve"> Data in the obese population are more limited, </w:t>
      </w:r>
      <w:r w:rsidR="00460986" w:rsidRPr="002C7DEE">
        <w:rPr>
          <w:rFonts w:ascii="Times" w:hAnsi="Times" w:cstheme="majorHAnsi"/>
          <w:sz w:val="22"/>
          <w:szCs w:val="22"/>
        </w:rPr>
        <w:t>however</w:t>
      </w:r>
      <w:r w:rsidR="00BC1A74" w:rsidRPr="002C7DEE">
        <w:rPr>
          <w:rFonts w:ascii="Times" w:hAnsi="Times" w:cstheme="majorHAnsi"/>
          <w:sz w:val="22"/>
          <w:szCs w:val="22"/>
        </w:rPr>
        <w:t xml:space="preserve"> a range of 0.2-0.4 or 0.5 appears consistent </w:t>
      </w:r>
      <w:r w:rsidR="009E7276" w:rsidRPr="002C7DEE">
        <w:rPr>
          <w:rFonts w:ascii="Times" w:hAnsi="Times" w:cstheme="majorHAnsi"/>
          <w:sz w:val="22"/>
          <w:szCs w:val="22"/>
        </w:rPr>
        <w:t>from the</w:t>
      </w:r>
      <w:r w:rsidR="00BC1A74" w:rsidRPr="002C7DEE">
        <w:rPr>
          <w:rFonts w:ascii="Times" w:hAnsi="Times" w:cstheme="majorHAnsi"/>
          <w:sz w:val="22"/>
          <w:szCs w:val="22"/>
        </w:rPr>
        <w:t xml:space="preserve"> available literature</w:t>
      </w:r>
      <w:r w:rsidR="00C43993"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&lt;EndNote&gt;&lt;Cite&gt;&lt;Author&gt;Wei&lt;/Author&gt;&lt;Year&gt;2015&lt;/Year&gt;&lt;RecNum&gt;39&lt;/RecNum&gt;&lt;DisplayText&gt;[20]&lt;/DisplayText&gt;&lt;record&gt;&lt;rec-number&gt;39&lt;/rec-number&gt;&lt;foreign-keys&gt;&lt;key app="EN" db-id="detxwp9vtwv2v0e5pxf5feaxwx0dr9drsff0" timestamp="1614809232"&gt;39&lt;/key&gt;&lt;/foreign-keys&gt;&lt;ref-type name="Journal Article"&gt;17&lt;/ref-type&gt;&lt;contributors&gt;&lt;authors&gt;&lt;author&gt;Wei, M.; Ward, S&lt;/author&gt;&lt;/authors&gt;&lt;/contributors&gt;&lt;titles&gt;&lt;title&gt;The Anti-Factor Xa Range For Low Molecular Weight Heparin Thromboprophylaxis&lt;/title&gt;&lt;secondary-title&gt;Hematol Rep&lt;/secondary-title&gt;&lt;/titles&gt;&lt;periodical&gt;&lt;full-title&gt;Hematol Rep&lt;/full-title&gt;&lt;/periodical&gt;&lt;pages&gt;5844&lt;/pages&gt;&lt;volume&gt;7&lt;/volume&gt;&lt;number&gt;4&lt;/number&gt;&lt;dates&gt;&lt;year&gt;2015&lt;/year&gt;&lt;/dates&gt;&lt;urls&gt;&lt;/urls&gt;&lt;custom2&gt;PMC4691677&lt;/custom2&gt;&lt;electronic-resource-num&gt;10.4081/hr.2015.5844&lt;/electronic-resource-num&gt;&lt;/record&gt;&lt;/Cite&gt;&lt;/EndNote&gt;</w:instrText>
      </w:r>
      <w:r w:rsidR="00C43993" w:rsidRPr="002C7DEE">
        <w:rPr>
          <w:rFonts w:ascii="Times" w:hAnsi="Times" w:cstheme="majorHAnsi"/>
          <w:sz w:val="22"/>
          <w:szCs w:val="22"/>
        </w:rPr>
        <w:fldChar w:fldCharType="separate"/>
      </w:r>
      <w:r w:rsidR="00C43993" w:rsidRPr="002C7DEE">
        <w:rPr>
          <w:rFonts w:ascii="Times" w:hAnsi="Times" w:cstheme="majorHAnsi"/>
          <w:noProof/>
          <w:sz w:val="22"/>
          <w:szCs w:val="22"/>
        </w:rPr>
        <w:t>[20]</w:t>
      </w:r>
      <w:r w:rsidR="00C43993" w:rsidRPr="002C7DEE">
        <w:rPr>
          <w:rFonts w:ascii="Times" w:hAnsi="Times" w:cstheme="majorHAnsi"/>
          <w:sz w:val="22"/>
          <w:szCs w:val="22"/>
        </w:rPr>
        <w:fldChar w:fldCharType="end"/>
      </w:r>
      <w:r w:rsidR="00BC1A74" w:rsidRPr="002C7DEE">
        <w:rPr>
          <w:rFonts w:ascii="Times" w:hAnsi="Times" w:cstheme="majorHAnsi"/>
          <w:sz w:val="22"/>
          <w:szCs w:val="22"/>
        </w:rPr>
        <w:t xml:space="preserve">. Regarding therapeutic dosing and </w:t>
      </w:r>
      <w:r w:rsidR="00D31AF4" w:rsidRPr="002C7DEE">
        <w:rPr>
          <w:rFonts w:ascii="Times" w:hAnsi="Times" w:cstheme="majorHAnsi"/>
          <w:sz w:val="22"/>
          <w:szCs w:val="22"/>
        </w:rPr>
        <w:t>a</w:t>
      </w:r>
      <w:r w:rsidR="00572CA0" w:rsidRPr="002C7DEE">
        <w:rPr>
          <w:rFonts w:ascii="Times" w:hAnsi="Times" w:cstheme="majorHAnsi"/>
          <w:sz w:val="22"/>
          <w:szCs w:val="22"/>
        </w:rPr>
        <w:t>nti-</w:t>
      </w:r>
      <w:r w:rsidR="00BC1A74" w:rsidRPr="002C7DEE">
        <w:rPr>
          <w:rFonts w:ascii="Times" w:hAnsi="Times" w:cstheme="majorHAnsi"/>
          <w:sz w:val="22"/>
          <w:szCs w:val="22"/>
        </w:rPr>
        <w:t xml:space="preserve">Xa levels with twice-daily dosing, accepted levels range from 0.5-1.0, however, an Australian study demonstrated that among both obese and non-obese patients, peak </w:t>
      </w:r>
      <w:r w:rsidR="00D31AF4" w:rsidRPr="002C7DEE">
        <w:rPr>
          <w:rFonts w:ascii="Times" w:hAnsi="Times" w:cstheme="majorHAnsi"/>
          <w:sz w:val="22"/>
          <w:szCs w:val="22"/>
        </w:rPr>
        <w:t>a</w:t>
      </w:r>
      <w:r w:rsidR="00572CA0" w:rsidRPr="002C7DEE">
        <w:rPr>
          <w:rFonts w:ascii="Times" w:hAnsi="Times" w:cstheme="majorHAnsi"/>
          <w:sz w:val="22"/>
          <w:szCs w:val="22"/>
        </w:rPr>
        <w:t>nti-</w:t>
      </w:r>
      <w:r w:rsidR="00BC1A74" w:rsidRPr="002C7DEE">
        <w:rPr>
          <w:rFonts w:ascii="Times" w:hAnsi="Times" w:cstheme="majorHAnsi"/>
          <w:sz w:val="22"/>
          <w:szCs w:val="22"/>
        </w:rPr>
        <w:t>Xa levels ranged up to 1.2 in a significant proportion of patients without any evidence of increased bleeding</w:t>
      </w:r>
      <w:r w:rsidR="00BC1A74"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&lt;EndNote&gt;&lt;Cite&gt;&lt;Author&gt;Kylee H. Maclachlan; Hannah P. Stevens&lt;/Author&gt;&lt;Year&gt;2019&lt;/Year&gt;&lt;RecNum&gt;31&lt;/RecNum&gt;&lt;DisplayText&gt;[20, 21]&lt;/DisplayText&gt;&lt;record&gt;&lt;rec-number&gt;31&lt;/rec-number&gt;&lt;foreign-keys&gt;&lt;key app="EN" db-id="detxwp9vtwv2v0e5pxf5feaxwx0dr9drsff0" timestamp="1614056309"&gt;31&lt;/key&gt;&lt;/foreign-keys&gt;&lt;ref-type name="Journal Article"&gt;17&lt;/ref-type&gt;&lt;contributors&gt;&lt;authors&gt;&lt;author&gt;Kylee H. Maclachlan; Hannah P. Stevens, Huyen A. Tran, Sanjeev D. Chunilal&lt;/author&gt;&lt;/authors&gt;&lt;/contributors&gt;&lt;titles&gt;&lt;title&gt;Weight-Based Enoxaparin for Venous Thromboembolism in Obesity Gives Similar Anti-Xa Levels to Patients &amp;lt;100 kg, with No Increase in Major Bleeding&lt;/title&gt;&lt;secondary-title&gt;Semin Thromb Hemost&lt;/secondary-title&gt;&lt;/titles&gt;&lt;periodical&gt;&lt;full-title&gt;Semin Thromb Hemost&lt;/full-title&gt;&lt;/periodical&gt;&lt;pages&gt;94-99&lt;/pages&gt;&lt;volume&gt;45&lt;/volume&gt;&lt;dates&gt;&lt;year&gt;2019&lt;/year&gt;&lt;/dates&gt;&lt;isbn&gt;0094-6176&lt;/isbn&gt;&lt;urls&gt;&lt;/urls&gt;&lt;electronic-resource-num&gt;DOI https://doi.org/10.1055/s-0038-1677019&lt;/electronic-resource-num&gt;&lt;/record&gt;&lt;/Cite&gt;&lt;Cite&gt;&lt;Author&gt;Wei&lt;/Author&gt;&lt;Year&gt;2015&lt;/Year&gt;&lt;RecNum&gt;39&lt;/RecNum&gt;&lt;record&gt;&lt;rec-number&gt;39&lt;/rec-number&gt;&lt;foreign-keys&gt;&lt;key app="EN" db-id="detxwp9vtwv2v0e5pxf5feaxwx0dr9drsff0" timestamp="1614809232"&gt;39&lt;/key&gt;&lt;/foreign-keys&gt;&lt;ref-type name="Journal Article"&gt;17&lt;/ref-type&gt;&lt;contributors&gt;&lt;authors&gt;&lt;author&gt;Wei, M.; Ward, S&lt;/author&gt;&lt;/authors&gt;&lt;/contributors&gt;&lt;titles&gt;&lt;title&gt;The Anti-Factor Xa Range For Low Molecular Weight Heparin Thromboprophylaxis&lt;/title&gt;&lt;secondary-title&gt;Hematol Rep&lt;/secondary-title&gt;&lt;/titles&gt;&lt;periodical&gt;&lt;full-title&gt;Hematol Rep&lt;/full-title&gt;&lt;/periodical&gt;&lt;pages&gt;5844&lt;/pages&gt;&lt;volume&gt;7&lt;/volume&gt;&lt;number&gt;4&lt;/number&gt;&lt;dates&gt;&lt;year&gt;2015&lt;/year&gt;&lt;/dates&gt;&lt;urls&gt;&lt;/urls&gt;&lt;custom2&gt;PMC4691677&lt;/custom2&gt;&lt;electronic-resource-num&gt;10.4081/hr.2015.5844&lt;/electronic-resource-num&gt;&lt;/record&gt;&lt;/Cite&gt;&lt;/EndNote&gt;</w:instrText>
      </w:r>
      <w:r w:rsidR="00BC1A74" w:rsidRPr="002C7DEE">
        <w:rPr>
          <w:rFonts w:ascii="Times" w:hAnsi="Times" w:cstheme="majorHAnsi"/>
          <w:sz w:val="22"/>
          <w:szCs w:val="22"/>
        </w:rPr>
        <w:fldChar w:fldCharType="separate"/>
      </w:r>
      <w:r w:rsidR="00C43993" w:rsidRPr="002C7DEE">
        <w:rPr>
          <w:rFonts w:ascii="Times" w:hAnsi="Times" w:cstheme="majorHAnsi"/>
          <w:noProof/>
          <w:sz w:val="22"/>
          <w:szCs w:val="22"/>
        </w:rPr>
        <w:t>[20, 21]</w:t>
      </w:r>
      <w:r w:rsidR="00BC1A74" w:rsidRPr="002C7DEE">
        <w:rPr>
          <w:rFonts w:ascii="Times" w:hAnsi="Times" w:cstheme="majorHAnsi"/>
          <w:sz w:val="22"/>
          <w:szCs w:val="22"/>
        </w:rPr>
        <w:fldChar w:fldCharType="end"/>
      </w:r>
      <w:r w:rsidR="00BC1A74" w:rsidRPr="002C7DEE">
        <w:rPr>
          <w:rFonts w:ascii="Times" w:hAnsi="Times" w:cstheme="majorHAnsi"/>
          <w:sz w:val="22"/>
          <w:szCs w:val="22"/>
        </w:rPr>
        <w:t>.</w:t>
      </w:r>
      <w:r w:rsidR="00133D37" w:rsidRPr="002C7DEE">
        <w:rPr>
          <w:rFonts w:ascii="Times" w:hAnsi="Times" w:cstheme="majorHAnsi"/>
          <w:sz w:val="22"/>
          <w:szCs w:val="22"/>
        </w:rPr>
        <w:t xml:space="preserve"> </w:t>
      </w:r>
    </w:p>
    <w:p w14:paraId="4D35D957" w14:textId="77777777" w:rsidR="009B696C" w:rsidRPr="002C7DEE" w:rsidRDefault="009B696C" w:rsidP="00075724">
      <w:pPr>
        <w:jc w:val="both"/>
        <w:rPr>
          <w:rFonts w:ascii="Times" w:hAnsi="Times" w:cstheme="majorHAnsi"/>
          <w:sz w:val="22"/>
          <w:szCs w:val="22"/>
        </w:rPr>
      </w:pPr>
    </w:p>
    <w:p w14:paraId="6046E678" w14:textId="10196357" w:rsidR="00863D33" w:rsidRPr="002C7DEE" w:rsidRDefault="00820331" w:rsidP="00075724">
      <w:pPr>
        <w:jc w:val="both"/>
        <w:rPr>
          <w:rFonts w:ascii="Times" w:hAnsi="Times" w:cstheme="majorHAnsi"/>
          <w:sz w:val="22"/>
          <w:szCs w:val="22"/>
        </w:rPr>
      </w:pPr>
      <w:r w:rsidRPr="002C7DEE">
        <w:rPr>
          <w:rFonts w:ascii="Times" w:hAnsi="Times" w:cstheme="majorHAnsi"/>
          <w:sz w:val="22"/>
          <w:szCs w:val="22"/>
        </w:rPr>
        <w:t xml:space="preserve">Enoxaparin therapy </w:t>
      </w:r>
      <w:r w:rsidR="00DB78A3" w:rsidRPr="002C7DEE">
        <w:rPr>
          <w:rFonts w:ascii="Times" w:hAnsi="Times" w:cstheme="majorHAnsi"/>
          <w:sz w:val="22"/>
          <w:szCs w:val="22"/>
        </w:rPr>
        <w:t>has</w:t>
      </w:r>
      <w:r w:rsidRPr="002C7DEE">
        <w:rPr>
          <w:rFonts w:ascii="Times" w:hAnsi="Times" w:cstheme="majorHAnsi"/>
          <w:sz w:val="22"/>
          <w:szCs w:val="22"/>
        </w:rPr>
        <w:t xml:space="preserve"> be</w:t>
      </w:r>
      <w:r w:rsidR="00DB78A3" w:rsidRPr="002C7DEE">
        <w:rPr>
          <w:rFonts w:ascii="Times" w:hAnsi="Times" w:cstheme="majorHAnsi"/>
          <w:sz w:val="22"/>
          <w:szCs w:val="22"/>
        </w:rPr>
        <w:t>en</w:t>
      </w:r>
      <w:r w:rsidRPr="002C7DEE">
        <w:rPr>
          <w:rFonts w:ascii="Times" w:hAnsi="Times" w:cstheme="majorHAnsi"/>
          <w:sz w:val="22"/>
          <w:szCs w:val="22"/>
        </w:rPr>
        <w:t xml:space="preserve"> associated with local reactions, including bruising and pain at injection sites, which impacts tolerability of therapy, particularly for those requiring longer durations of treatment</w:t>
      </w:r>
      <w:r w:rsidR="00B8427E"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&lt;EndNote&gt;&lt;Cite&gt;&lt;Year&gt;2016&lt;/Year&gt;&lt;RecNum&gt;3&lt;/RecNum&gt;&lt;DisplayText&gt;[22]&lt;/DisplayText&gt;&lt;record&gt;&lt;rec-number&gt;3&lt;/rec-number&gt;&lt;foreign-keys&gt;&lt;key app="EN" db-id="detxwp9vtwv2v0e5pxf5feaxwx0dr9drsff0" timestamp="1613273469"&gt;3&lt;/key&gt;&lt;/foreign-keys&gt;&lt;ref-type name="Journal Article"&gt;17&lt;/ref-type&gt;&lt;contributors&gt;&lt;/contributors&gt;&lt;titles&gt;&lt;title&gt;The effect of subcutaneous injection duration on patients receiving low-molecular-weight heparin: Evidence from a systematic review&lt;/title&gt;&lt;secondary-title&gt;International Journal of Nursing Sciences&lt;/secondary-title&gt;&lt;/titles&gt;&lt;periodical&gt;&lt;full-title&gt;International Journal of Nursing Sciences&lt;/full-title&gt;&lt;/periodical&gt;&lt;dates&gt;&lt;year&gt;2016&lt;/year&gt;&lt;/dates&gt;&lt;urls&gt;&lt;/urls&gt;&lt;electronic-resource-num&gt;0.1016/j.ijnss.2016.02.008&lt;/electronic-resource-num&gt;&lt;/record&gt;&lt;/Cite&gt;&lt;/EndNote&gt;</w:instrText>
      </w:r>
      <w:r w:rsidR="00B8427E" w:rsidRPr="002C7DEE">
        <w:rPr>
          <w:rFonts w:ascii="Times" w:hAnsi="Times" w:cstheme="majorHAnsi"/>
          <w:sz w:val="22"/>
          <w:szCs w:val="22"/>
        </w:rPr>
        <w:fldChar w:fldCharType="separate"/>
      </w:r>
      <w:r w:rsidR="00C43993" w:rsidRPr="002C7DEE">
        <w:rPr>
          <w:rFonts w:ascii="Times" w:hAnsi="Times" w:cstheme="majorHAnsi"/>
          <w:noProof/>
          <w:sz w:val="22"/>
          <w:szCs w:val="22"/>
        </w:rPr>
        <w:t>[22]</w:t>
      </w:r>
      <w:r w:rsidR="00B8427E" w:rsidRPr="002C7DEE">
        <w:rPr>
          <w:rFonts w:ascii="Times" w:hAnsi="Times" w:cstheme="majorHAnsi"/>
          <w:sz w:val="22"/>
          <w:szCs w:val="22"/>
        </w:rPr>
        <w:fldChar w:fldCharType="end"/>
      </w:r>
      <w:r w:rsidR="00B8427E" w:rsidRPr="002C7DEE">
        <w:rPr>
          <w:rFonts w:ascii="Times" w:hAnsi="Times" w:cstheme="majorHAnsi"/>
          <w:sz w:val="22"/>
          <w:szCs w:val="22"/>
        </w:rPr>
        <w:t xml:space="preserve">. </w:t>
      </w:r>
      <w:r w:rsidRPr="002C7DEE">
        <w:rPr>
          <w:rFonts w:ascii="Times" w:hAnsi="Times" w:cstheme="majorHAnsi"/>
          <w:sz w:val="22"/>
          <w:szCs w:val="22"/>
        </w:rPr>
        <w:t>Several studies have assessed various methods of administration, including slower injection, which may reduce symptoms</w:t>
      </w:r>
      <w:r w:rsidR="00C63A34" w:rsidRPr="002C7DEE">
        <w:rPr>
          <w:rFonts w:ascii="Times" w:hAnsi="Times" w:cstheme="majorHAnsi"/>
          <w:sz w:val="22"/>
          <w:szCs w:val="22"/>
        </w:rPr>
        <w:t>, however data are inconsistent</w:t>
      </w:r>
      <w:r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&lt;EndNote&gt;&lt;Cite&gt;&lt;Author&gt;Dadaeen Azar&lt;/Author&gt;&lt;Year&gt;2015&lt;/Year&gt;&lt;RecNum&gt;21&lt;/RecNum&gt;&lt;DisplayText&gt;[23, 24]&lt;/DisplayText&gt;&lt;record&gt;&lt;rec-number&gt;21&lt;/rec-number&gt;&lt;foreign-keys&gt;&lt;key app="EN" db-id="detxwp9vtwv2v0e5pxf5feaxwx0dr9drsff0" timestamp="1613607252"&gt;21&lt;/key&gt;&lt;/foreign-keys&gt;&lt;ref-type name="Journal Article"&gt;17&lt;/ref-type&gt;&lt;contributors&gt;&lt;authors&gt;&lt;author&gt;Dadaeen Azar, Bahreini Masoud, Bazi Parviz, Ostovar Afshin, Raeisi Alireza, Dobaradaran Sina&lt;/author&gt;&lt;/authors&gt;&lt;/contributors&gt;&lt;titles&gt;&lt;title&gt;The effect of duration of subcutaneous injection on the extent of bruising and pain intensity at injection sites among patients receiving enoxaparin sodium: a randomized self-controlled clinical trial&lt;/title&gt;&lt;secondary-title&gt;International Cardiovascular Research Journal&lt;/secondary-title&gt;&lt;/titles&gt;&lt;periodical&gt;&lt;full-title&gt;International Cardiovascular Research Journal&lt;/full-title&gt;&lt;/periodical&gt;&lt;pages&gt;77-82&lt;/pages&gt;&lt;volume&gt;9&lt;/volume&gt;&lt;number&gt;2&lt;/number&gt;&lt;dates&gt;&lt;year&gt;2015&lt;/year&gt;&lt;/dates&gt;&lt;urls&gt;&lt;/urls&gt;&lt;/record&gt;&lt;/Cite&gt;&lt;Cite&gt;&lt;Author&gt;M. Mohammady; L Janani&lt;/Author&gt;&lt;Year&gt;2017&lt;/Year&gt;&lt;RecNum&gt;4&lt;/RecNum&gt;&lt;record&gt;&lt;rec-number&gt;4&lt;/rec-number&gt;&lt;foreign-keys&gt;&lt;key app="EN" db-id="detxwp9vtwv2v0e5pxf5feaxwx0dr9drsff0" timestamp="1613273525"&gt;4&lt;/key&gt;&lt;/foreign-keys&gt;&lt;ref-type name="Journal Article"&gt;17&lt;/ref-type&gt;&lt;contributors&gt;&lt;authors&gt;&lt;author&gt;M. Mohammady; L Janani, S Akbari&lt;/author&gt;&lt;/authors&gt;&lt;/contributors&gt;&lt;titles&gt;&lt;title&gt;Does the speed of injection make a difference in the amount of pain and bruising in people receiving heparin injections?&lt;/title&gt;&lt;secondary-title&gt;Cochrane review&lt;/secondary-title&gt;&lt;/titles&gt;&lt;periodical&gt;&lt;full-title&gt;Cochrane review&lt;/full-title&gt;&lt;/periodical&gt;&lt;dates&gt;&lt;year&gt;2017&lt;/year&gt;&lt;/dates&gt;&lt;urls&gt;&lt;/urls&gt;&lt;/record&gt;&lt;/Cite&gt;&lt;/EndNote&gt;</w:instrText>
      </w:r>
      <w:r w:rsidRPr="002C7DEE">
        <w:rPr>
          <w:rFonts w:ascii="Times" w:hAnsi="Times" w:cstheme="majorHAnsi"/>
          <w:sz w:val="22"/>
          <w:szCs w:val="22"/>
        </w:rPr>
        <w:fldChar w:fldCharType="separate"/>
      </w:r>
      <w:r w:rsidR="00C43993" w:rsidRPr="002C7DEE">
        <w:rPr>
          <w:rFonts w:ascii="Times" w:hAnsi="Times" w:cstheme="majorHAnsi"/>
          <w:noProof/>
          <w:sz w:val="22"/>
          <w:szCs w:val="22"/>
        </w:rPr>
        <w:t>[23, 24]</w:t>
      </w:r>
      <w:r w:rsidRPr="002C7DEE">
        <w:rPr>
          <w:rFonts w:ascii="Times" w:hAnsi="Times" w:cstheme="majorHAnsi"/>
          <w:sz w:val="22"/>
          <w:szCs w:val="22"/>
        </w:rPr>
        <w:fldChar w:fldCharType="end"/>
      </w:r>
      <w:r w:rsidRPr="002C7DEE">
        <w:rPr>
          <w:rFonts w:ascii="Times" w:hAnsi="Times" w:cstheme="majorHAnsi"/>
          <w:sz w:val="22"/>
          <w:szCs w:val="22"/>
        </w:rPr>
        <w:t xml:space="preserve">. </w:t>
      </w:r>
      <w:r w:rsidR="00C43993" w:rsidRPr="002C7DEE">
        <w:rPr>
          <w:rFonts w:ascii="Times" w:hAnsi="Times" w:cstheme="majorHAnsi"/>
          <w:sz w:val="22"/>
          <w:szCs w:val="22"/>
        </w:rPr>
        <w:t>Broadhurst et al, 2020, performed a</w:t>
      </w:r>
      <w:r w:rsidR="007B4099" w:rsidRPr="002C7DEE">
        <w:rPr>
          <w:rFonts w:ascii="Times" w:hAnsi="Times" w:cstheme="majorHAnsi"/>
          <w:sz w:val="22"/>
          <w:szCs w:val="22"/>
        </w:rPr>
        <w:t xml:space="preserve"> systematic review of subcutaneous catheters in adults, paediatrics and palliative populations for a range of interventions, including </w:t>
      </w:r>
      <w:r w:rsidR="00C43993" w:rsidRPr="002C7DEE">
        <w:rPr>
          <w:rFonts w:ascii="Times" w:hAnsi="Times" w:cstheme="majorHAnsi"/>
          <w:sz w:val="22"/>
          <w:szCs w:val="22"/>
        </w:rPr>
        <w:t xml:space="preserve">both </w:t>
      </w:r>
      <w:r w:rsidR="007B4099" w:rsidRPr="002C7DEE">
        <w:rPr>
          <w:rFonts w:ascii="Times" w:hAnsi="Times" w:cstheme="majorHAnsi"/>
          <w:sz w:val="22"/>
          <w:szCs w:val="22"/>
        </w:rPr>
        <w:t xml:space="preserve">medication administration and subcutaneous hydration, </w:t>
      </w:r>
      <w:r w:rsidR="00C43993" w:rsidRPr="002C7DEE">
        <w:rPr>
          <w:rFonts w:ascii="Times" w:hAnsi="Times" w:cstheme="majorHAnsi"/>
          <w:sz w:val="22"/>
          <w:szCs w:val="22"/>
        </w:rPr>
        <w:t>finding</w:t>
      </w:r>
      <w:r w:rsidR="007B4099" w:rsidRPr="002C7DEE">
        <w:rPr>
          <w:rFonts w:ascii="Times" w:hAnsi="Times" w:cstheme="majorHAnsi"/>
          <w:sz w:val="22"/>
          <w:szCs w:val="22"/>
        </w:rPr>
        <w:t xml:space="preserve"> </w:t>
      </w:r>
      <w:r w:rsidR="00C43993" w:rsidRPr="002C7DEE">
        <w:rPr>
          <w:rFonts w:ascii="Times" w:hAnsi="Times" w:cstheme="majorHAnsi"/>
          <w:sz w:val="22"/>
          <w:szCs w:val="22"/>
        </w:rPr>
        <w:t>they were both</w:t>
      </w:r>
      <w:r w:rsidR="007B4099" w:rsidRPr="002C7DEE">
        <w:rPr>
          <w:rFonts w:ascii="Times" w:hAnsi="Times" w:cstheme="majorHAnsi"/>
          <w:sz w:val="22"/>
          <w:szCs w:val="22"/>
        </w:rPr>
        <w:t xml:space="preserve"> efficacious and well-accepted in adults, with less clear signals in the paediatric and palliative settings</w:t>
      </w:r>
      <w:r w:rsidR="007B4099"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&lt;EndNote&gt;&lt;Cite&gt;&lt;Author&gt;Broadhurst D&lt;/Author&gt;&lt;Year&gt;2020&lt;/Year&gt;&lt;RecNum&gt;32&lt;/RecNum&gt;&lt;DisplayText&gt;[25]&lt;/DisplayText&gt;&lt;record&gt;&lt;rec-number&gt;32&lt;/rec-number&gt;&lt;foreign-keys&gt;&lt;key app="EN" db-id="detxwp9vtwv2v0e5pxf5feaxwx0dr9drsff0" timestamp="1614056842"&gt;32&lt;/key&gt;&lt;/foreign-keys&gt;&lt;ref-type name="Electronic Article"&gt;43&lt;/ref-type&gt;&lt;contributors&gt;&lt;authors&gt;&lt;author&gt;Broadhurst D, Cooke M, Sriram D, Gray B. &lt;/author&gt;&lt;/authors&gt;&lt;/contributors&gt;&lt;titles&gt;&lt;title&gt;Subcutaneous hydration and medications infusions (effectiveness, safety, acceptability): A systematic review of systematic reviews&lt;/title&gt;&lt;secondary-title&gt;PLoS One&lt;/secondary-title&gt;&lt;/titles&gt;&lt;periodical&gt;&lt;full-title&gt;PLoS One&lt;/full-title&gt;&lt;/periodical&gt;&lt;volume&gt;15&lt;/volume&gt;&lt;number&gt;8&lt;/number&gt;&lt;num-vols&gt;e0237572&lt;/num-vols&gt;&lt;section&gt;Aug 24 2020&lt;/section&gt;&lt;dates&gt;&lt;year&gt;2020&lt;/year&gt;&lt;/dates&gt;&lt;publisher&gt;PLoS One&lt;/publisher&gt;&lt;urls&gt;&lt;/urls&gt;&lt;electronic-resource-num&gt;doi:10.1371/journal.pone.0237572&lt;/electronic-resource-num&gt;&lt;/record&gt;&lt;/Cite&gt;&lt;/EndNote&gt;</w:instrText>
      </w:r>
      <w:r w:rsidR="007B4099" w:rsidRPr="002C7DEE">
        <w:rPr>
          <w:rFonts w:ascii="Times" w:hAnsi="Times" w:cstheme="majorHAnsi"/>
          <w:sz w:val="22"/>
          <w:szCs w:val="22"/>
        </w:rPr>
        <w:fldChar w:fldCharType="separate"/>
      </w:r>
      <w:r w:rsidR="00C43993" w:rsidRPr="002C7DEE">
        <w:rPr>
          <w:rFonts w:ascii="Times" w:hAnsi="Times" w:cstheme="majorHAnsi"/>
          <w:noProof/>
          <w:sz w:val="22"/>
          <w:szCs w:val="22"/>
        </w:rPr>
        <w:t>[25]</w:t>
      </w:r>
      <w:r w:rsidR="007B4099" w:rsidRPr="002C7DEE">
        <w:rPr>
          <w:rFonts w:ascii="Times" w:hAnsi="Times" w:cstheme="majorHAnsi"/>
          <w:sz w:val="22"/>
          <w:szCs w:val="22"/>
        </w:rPr>
        <w:fldChar w:fldCharType="end"/>
      </w:r>
      <w:r w:rsidR="007B4099" w:rsidRPr="002C7DEE">
        <w:rPr>
          <w:rFonts w:ascii="Times" w:hAnsi="Times" w:cstheme="majorHAnsi"/>
          <w:sz w:val="22"/>
          <w:szCs w:val="22"/>
        </w:rPr>
        <w:t xml:space="preserve">. </w:t>
      </w:r>
      <w:r w:rsidR="00B750EA" w:rsidRPr="002C7DEE">
        <w:rPr>
          <w:rFonts w:ascii="Times" w:hAnsi="Times" w:cstheme="majorHAnsi"/>
          <w:sz w:val="22"/>
          <w:szCs w:val="22"/>
        </w:rPr>
        <w:t>Based on the pharmacokinetics and bioavailability of enoxaparin, there is unlikely to be a significant difference in bioavailability or peak anti-Xa effect between the two methods of administration, however the data supporting this are limited</w:t>
      </w:r>
      <w:r w:rsidR="00B750EA" w:rsidRPr="002C7DEE">
        <w:rPr>
          <w:rFonts w:ascii="Times" w:hAnsi="Times" w:cstheme="majorHAnsi"/>
          <w:sz w:val="22"/>
          <w:szCs w:val="22"/>
        </w:rPr>
        <w:fldChar w:fldCharType="begin"/>
      </w:r>
      <w:r w:rsidR="00B750EA" w:rsidRPr="002C7DEE">
        <w:rPr>
          <w:rFonts w:ascii="Times" w:hAnsi="Times" w:cstheme="majorHAnsi"/>
          <w:sz w:val="22"/>
          <w:szCs w:val="22"/>
        </w:rPr>
        <w:instrText xml:space="preserve"> ADDIN EN.CITE &lt;EndNote&gt;&lt;Cite&gt;&lt;Author&gt;MIMS&lt;/Author&gt;&lt;Year&gt;2021&lt;/Year&gt;&lt;RecNum&gt;20&lt;/RecNum&gt;&lt;DisplayText&gt;[31]&lt;/DisplayText&gt;&lt;record&gt;&lt;rec-number&gt;20&lt;/rec-number&gt;&lt;foreign-keys&gt;&lt;key app="EN" db-id="detxwp9vtwv2v0e5pxf5feaxwx0dr9drsff0" timestamp="1613605229"&gt;20&lt;/key&gt;&lt;/foreign-keys&gt;&lt;ref-type name="Web Page"&gt;12&lt;/ref-type&gt;&lt;contributors&gt;&lt;authors&gt;&lt;author&gt;MIMS &lt;/author&gt;&lt;/authors&gt;&lt;/contributors&gt;&lt;titles&gt;&lt;title&gt;Clexane and Clexane Forte&lt;/title&gt;&lt;/titles&gt;&lt;volume&gt;2021&lt;/volume&gt;&lt;number&gt;Feb&lt;/number&gt;&lt;dates&gt;&lt;year&gt;2021&lt;/year&gt;&lt;/dates&gt;&lt;urls&gt;&lt;related-urls&gt;&lt;url&gt;www.mimsonline.com.au.acs.hcn.com.au/Search/FullPI.aspx?ModuleName=ProductInfo&amp;amp;searchKeyword=enoxaparin&lt;/url&gt;&lt;/related-urls&gt;&lt;/urls&gt;&lt;/record&gt;&lt;/Cite&gt;&lt;/EndNote&gt;</w:instrText>
      </w:r>
      <w:r w:rsidR="00B750EA" w:rsidRPr="002C7DEE">
        <w:rPr>
          <w:rFonts w:ascii="Times" w:hAnsi="Times" w:cstheme="majorHAnsi"/>
          <w:sz w:val="22"/>
          <w:szCs w:val="22"/>
        </w:rPr>
        <w:fldChar w:fldCharType="separate"/>
      </w:r>
      <w:r w:rsidR="00B750EA" w:rsidRPr="002C7DEE">
        <w:rPr>
          <w:rFonts w:ascii="Times" w:hAnsi="Times" w:cstheme="majorHAnsi"/>
          <w:noProof/>
          <w:sz w:val="22"/>
          <w:szCs w:val="22"/>
        </w:rPr>
        <w:t>[31]</w:t>
      </w:r>
      <w:r w:rsidR="00B750EA" w:rsidRPr="002C7DEE">
        <w:rPr>
          <w:rFonts w:ascii="Times" w:hAnsi="Times" w:cstheme="majorHAnsi"/>
          <w:sz w:val="22"/>
          <w:szCs w:val="22"/>
        </w:rPr>
        <w:fldChar w:fldCharType="end"/>
      </w:r>
      <w:r w:rsidR="00B750EA" w:rsidRPr="002C7DEE">
        <w:rPr>
          <w:rFonts w:ascii="Times" w:hAnsi="Times" w:cstheme="majorHAnsi"/>
          <w:sz w:val="22"/>
          <w:szCs w:val="22"/>
        </w:rPr>
        <w:t xml:space="preserve">. </w:t>
      </w:r>
      <w:r w:rsidR="00B8427E" w:rsidRPr="002C7DEE">
        <w:rPr>
          <w:rFonts w:ascii="Times" w:hAnsi="Times" w:cstheme="majorHAnsi"/>
          <w:sz w:val="22"/>
          <w:szCs w:val="22"/>
        </w:rPr>
        <w:t xml:space="preserve">In the paediatric setting, use of </w:t>
      </w:r>
      <w:r w:rsidR="00243365" w:rsidRPr="002C7DEE">
        <w:rPr>
          <w:rFonts w:ascii="Times" w:hAnsi="Times" w:cstheme="majorHAnsi"/>
          <w:sz w:val="22"/>
          <w:szCs w:val="22"/>
        </w:rPr>
        <w:t xml:space="preserve">both intravenous low-molecular-weight-heparin, and via </w:t>
      </w:r>
      <w:r w:rsidR="00B8427E" w:rsidRPr="002C7DEE">
        <w:rPr>
          <w:rFonts w:ascii="Times" w:hAnsi="Times" w:cstheme="majorHAnsi"/>
          <w:sz w:val="22"/>
          <w:szCs w:val="22"/>
        </w:rPr>
        <w:t xml:space="preserve">a subcutaneous catheter, such as the Insuflon catheter, </w:t>
      </w:r>
      <w:r w:rsidR="00243365" w:rsidRPr="002C7DEE">
        <w:rPr>
          <w:rFonts w:ascii="Times" w:hAnsi="Times" w:cstheme="majorHAnsi"/>
          <w:sz w:val="22"/>
          <w:szCs w:val="22"/>
        </w:rPr>
        <w:t>have been trialled with promising results</w:t>
      </w:r>
      <w:r w:rsidR="00C43993"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&lt;EndNote&gt;&lt;Cite&gt;&lt;Author&gt;J Blatny&lt;/Author&gt;&lt;Year&gt;2009&lt;/Year&gt;&lt;RecNum&gt;24&lt;/RecNum&gt;&lt;DisplayText&gt;[2, 26]&lt;/DisplayText&gt;&lt;record&gt;&lt;rec-number&gt;24&lt;/rec-number&gt;&lt;foreign-keys&gt;&lt;key app="EN" db-id="detxwp9vtwv2v0e5pxf5feaxwx0dr9drsff0" timestamp="1613609308"&gt;24&lt;/key&gt;&lt;/foreign-keys&gt;&lt;ref-type name="Journal Article"&gt;17&lt;/ref-type&gt;&lt;contributors&gt;&lt;authors&gt;&lt;author&gt;J Blatny, V Fiamoli&lt;/author&gt;&lt;/authors&gt;&lt;/contributors&gt;&lt;titles&gt;&lt;title&gt;Treatment of deep vein thrombosis with continuous intravenous infusion of LMWH in children - an alternative to subcutaneous application when needed&lt;/title&gt;&lt;secondary-title&gt;Vnitr Lek.&lt;/secondary-title&gt;&lt;/titles&gt;&lt;periodical&gt;&lt;full-title&gt;Vnitr Lek.&lt;/full-title&gt;&lt;/periodical&gt;&lt;pages&gt;227-232&lt;/pages&gt;&lt;volume&gt;55&lt;/volume&gt;&lt;number&gt;3&lt;/number&gt;&lt;dates&gt;&lt;year&gt;2009&lt;/year&gt;&lt;/dates&gt;&lt;urls&gt;&lt;/urls&gt;&lt;/record&gt;&lt;/Cite&gt;&lt;Cite&gt;&lt;Author&gt;Marquez&lt;/Author&gt;&lt;Year&gt;2014&lt;/Year&gt;&lt;RecNum&gt;1&lt;/RecNum&gt;&lt;record&gt;&lt;rec-number&gt;1&lt;/rec-number&gt;&lt;foreign-keys&gt;&lt;key app="EN" db-id="detxwp9vtwv2v0e5pxf5feaxwx0dr9drsff0" timestamp="1613273208"&gt;1&lt;/key&gt;&lt;/foreign-keys&gt;&lt;ref-type name="Journal Article"&gt;17&lt;/ref-type&gt;&lt;contributors&gt;&lt;authors&gt;&lt;author&gt;Marquez, Roxana; P Pino, P Fajuri, P Zuniga&lt;/author&gt;&lt;/authors&gt;&lt;/contributors&gt;&lt;titles&gt;&lt;title&gt;Subcutaneous catheter for the administration of low molecular weight heparin in pediatrics&lt;/title&gt;&lt;secondary-title&gt;Chilean Journal of Pediatrics&lt;/secondary-title&gt;&lt;/titles&gt;&lt;periodical&gt;&lt;full-title&gt;Chilean Journal of Pediatrics&lt;/full-title&gt;&lt;/periodical&gt;&lt;volume&gt;85&lt;/volume&gt;&lt;number&gt;1&lt;/number&gt;&lt;dates&gt;&lt;year&gt;2014&lt;/year&gt;&lt;/dates&gt;&lt;urls&gt;&lt;/urls&gt;&lt;electronic-resource-num&gt;10.4067/S0370-41062014000100006&lt;/electronic-resource-num&gt;&lt;/record&gt;&lt;/Cite&gt;&lt;/EndNote&gt;</w:instrText>
      </w:r>
      <w:r w:rsidR="00C43993" w:rsidRPr="002C7DEE">
        <w:rPr>
          <w:rFonts w:ascii="Times" w:hAnsi="Times" w:cstheme="majorHAnsi"/>
          <w:sz w:val="22"/>
          <w:szCs w:val="22"/>
        </w:rPr>
        <w:fldChar w:fldCharType="separate"/>
      </w:r>
      <w:r w:rsidR="00C43993" w:rsidRPr="002C7DEE">
        <w:rPr>
          <w:rFonts w:ascii="Times" w:hAnsi="Times" w:cstheme="majorHAnsi"/>
          <w:noProof/>
          <w:sz w:val="22"/>
          <w:szCs w:val="22"/>
        </w:rPr>
        <w:t>[2, 26]</w:t>
      </w:r>
      <w:r w:rsidR="00C43993" w:rsidRPr="002C7DEE">
        <w:rPr>
          <w:rFonts w:ascii="Times" w:hAnsi="Times" w:cstheme="majorHAnsi"/>
          <w:sz w:val="22"/>
          <w:szCs w:val="22"/>
        </w:rPr>
        <w:fldChar w:fldCharType="end"/>
      </w:r>
      <w:r w:rsidR="00B8427E" w:rsidRPr="002C7DEE">
        <w:rPr>
          <w:rFonts w:ascii="Times" w:hAnsi="Times" w:cstheme="majorHAnsi"/>
          <w:sz w:val="22"/>
          <w:szCs w:val="22"/>
        </w:rPr>
        <w:t xml:space="preserve">. These </w:t>
      </w:r>
      <w:r w:rsidR="00243365" w:rsidRPr="002C7DEE">
        <w:rPr>
          <w:rFonts w:ascii="Times" w:hAnsi="Times" w:cstheme="majorHAnsi"/>
          <w:sz w:val="22"/>
          <w:szCs w:val="22"/>
        </w:rPr>
        <w:t xml:space="preserve">subcutaneous </w:t>
      </w:r>
      <w:r w:rsidR="00B8427E" w:rsidRPr="002C7DEE">
        <w:rPr>
          <w:rFonts w:ascii="Times" w:hAnsi="Times" w:cstheme="majorHAnsi"/>
          <w:sz w:val="22"/>
          <w:szCs w:val="22"/>
        </w:rPr>
        <w:t>catheters can remain in situ for 7</w:t>
      </w:r>
      <w:r w:rsidR="00404576" w:rsidRPr="002C7DEE">
        <w:rPr>
          <w:rFonts w:ascii="Times" w:hAnsi="Times" w:cstheme="majorHAnsi"/>
          <w:sz w:val="22"/>
          <w:szCs w:val="22"/>
        </w:rPr>
        <w:t>-10</w:t>
      </w:r>
      <w:r w:rsidR="00B8427E" w:rsidRPr="002C7DEE">
        <w:rPr>
          <w:rFonts w:ascii="Times" w:hAnsi="Times" w:cstheme="majorHAnsi"/>
          <w:sz w:val="22"/>
          <w:szCs w:val="22"/>
        </w:rPr>
        <w:t xml:space="preserve"> days, </w:t>
      </w:r>
      <w:r w:rsidR="00243365" w:rsidRPr="002C7DEE">
        <w:rPr>
          <w:rFonts w:ascii="Times" w:hAnsi="Times" w:cstheme="majorHAnsi"/>
          <w:sz w:val="22"/>
          <w:szCs w:val="22"/>
        </w:rPr>
        <w:t>reducing</w:t>
      </w:r>
      <w:r w:rsidR="00B8427E" w:rsidRPr="002C7DEE">
        <w:rPr>
          <w:rFonts w:ascii="Times" w:hAnsi="Times" w:cstheme="majorHAnsi"/>
          <w:sz w:val="22"/>
          <w:szCs w:val="22"/>
        </w:rPr>
        <w:t xml:space="preserve"> the number of skin punctures required</w:t>
      </w:r>
      <w:r w:rsidR="00243365" w:rsidRPr="002C7DEE">
        <w:rPr>
          <w:rFonts w:ascii="Times" w:hAnsi="Times" w:cstheme="majorHAnsi"/>
          <w:sz w:val="22"/>
          <w:szCs w:val="22"/>
        </w:rPr>
        <w:t>, and have been incorporated into local guidelines at several paediatric institutions</w:t>
      </w:r>
      <w:r w:rsidR="00B8427E"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&lt;EndNote&gt;&lt;Cite&gt;&lt;Author&gt;RCH&lt;/Author&gt;&lt;Year&gt;2014&lt;/Year&gt;&lt;RecNum&gt;14&lt;/RecNum&gt;&lt;DisplayText&gt;[27, 28]&lt;/DisplayText&gt;&lt;record&gt;&lt;rec-number&gt;14&lt;/rec-number&gt;&lt;foreign-keys&gt;&lt;key app="EN" db-id="detxwp9vtwv2v0e5pxf5feaxwx0dr9drsff0" timestamp="1613602649"&gt;14&lt;/key&gt;&lt;/foreign-keys&gt;&lt;ref-type name="Web Page"&gt;12&lt;/ref-type&gt;&lt;contributors&gt;&lt;authors&gt;&lt;author&gt;RCH&lt;/author&gt;&lt;/authors&gt;&lt;secondary-authors&gt;&lt;author&gt;Royal Children’s Hospital, Haematology Department&lt;/author&gt;&lt;/secondary-authors&gt;&lt;/contributors&gt;&lt;titles&gt;&lt;title&gt;Clinical Guidelines: Subcutaneous catheter devices management of insuflon and BD safTIntima devices&lt;/title&gt;&lt;/titles&gt;&lt;volume&gt;2021&lt;/volume&gt;&lt;number&gt;Feb&lt;/number&gt;&lt;dates&gt;&lt;year&gt;2014&lt;/year&gt;&lt;/dates&gt;&lt;pub-location&gt;Online&lt;/pub-location&gt;&lt;publisher&gt;Royal Children’s Hospital&lt;/publisher&gt;&lt;urls&gt;&lt;related-urls&gt;&lt;url&gt;www.rch.org.au/rchcpg/hospital_clinical_guideline_index/Subcutaneous_catheter_devices_management_of_insuflon_and_BD_safTIntima_devices/&lt;/url&gt;&lt;/related-urls&gt;&lt;/urls&gt;&lt;/record&gt;&lt;/Cite&gt;&lt;Cite&gt;&lt;Author&gt;RCH&lt;/Author&gt;&lt;Year&gt;2014&lt;/Year&gt;&lt;RecNum&gt;2&lt;/RecNum&gt;&lt;record&gt;&lt;rec-number&gt;2&lt;/rec-number&gt;&lt;foreign-keys&gt;&lt;key app="EN" db-id="detxwp9vtwv2v0e5pxf5feaxwx0dr9drsff0" timestamp="1613273360"&gt;2&lt;/key&gt;&lt;/foreign-keys&gt;&lt;ref-type name="Web Page"&gt;12&lt;/ref-type&gt;&lt;contributors&gt;&lt;authors&gt;&lt;author&gt;RCH&lt;/author&gt;&lt;/authors&gt;&lt;secondary-authors&gt;&lt;author&gt;Clinical Haematology Department&lt;/author&gt;&lt;/secondary-authors&gt;&lt;/contributors&gt;&lt;titles&gt;&lt;title&gt;Clexane Guidelines for Clinicians Low Molecular Weight Heparin&lt;/title&gt;&lt;secondary-title&gt;Clinical Guidelines&lt;/secondary-title&gt;&lt;/titles&gt;&lt;volume&gt;2021&lt;/volume&gt;&lt;number&gt;Feb 2021&lt;/number&gt;&lt;dates&gt;&lt;year&gt;2014&lt;/year&gt;&lt;/dates&gt;&lt;publisher&gt;Royal Childrens Hospital&lt;/publisher&gt;&lt;urls&gt;&lt;related-urls&gt;&lt;url&gt;ttps://www.rch.org.au/haematology/anticoagulaton_service/clexane-guidelines/&lt;/url&gt;&lt;/related-urls&gt;&lt;/urls&gt;&lt;/record&gt;&lt;/Cite&gt;&lt;/EndNote&gt;</w:instrText>
      </w:r>
      <w:r w:rsidR="00B8427E" w:rsidRPr="002C7DEE">
        <w:rPr>
          <w:rFonts w:ascii="Times" w:hAnsi="Times" w:cstheme="majorHAnsi"/>
          <w:sz w:val="22"/>
          <w:szCs w:val="22"/>
        </w:rPr>
        <w:fldChar w:fldCharType="separate"/>
      </w:r>
      <w:r w:rsidR="00C43993" w:rsidRPr="002C7DEE">
        <w:rPr>
          <w:rFonts w:ascii="Times" w:hAnsi="Times" w:cstheme="majorHAnsi"/>
          <w:noProof/>
          <w:sz w:val="22"/>
          <w:szCs w:val="22"/>
        </w:rPr>
        <w:t>[27, 28]</w:t>
      </w:r>
      <w:r w:rsidR="00B8427E" w:rsidRPr="002C7DEE">
        <w:rPr>
          <w:rFonts w:ascii="Times" w:hAnsi="Times" w:cstheme="majorHAnsi"/>
          <w:sz w:val="22"/>
          <w:szCs w:val="22"/>
        </w:rPr>
        <w:fldChar w:fldCharType="end"/>
      </w:r>
      <w:r w:rsidR="00B8427E" w:rsidRPr="002C7DEE">
        <w:rPr>
          <w:rFonts w:ascii="Times" w:hAnsi="Times" w:cstheme="majorHAnsi"/>
          <w:sz w:val="22"/>
          <w:szCs w:val="22"/>
        </w:rPr>
        <w:t xml:space="preserve">. Several studies have further </w:t>
      </w:r>
      <w:r w:rsidR="00B8427E" w:rsidRPr="002C7DEE">
        <w:rPr>
          <w:rFonts w:ascii="Times" w:hAnsi="Times" w:cstheme="majorHAnsi"/>
          <w:sz w:val="22"/>
          <w:szCs w:val="22"/>
        </w:rPr>
        <w:lastRenderedPageBreak/>
        <w:t>assessed the utility and clinical efficacy of a subcutaneous catheter for enoxaparin administration</w:t>
      </w:r>
      <w:r w:rsidR="00404576" w:rsidRPr="002C7DEE">
        <w:rPr>
          <w:rFonts w:ascii="Times" w:hAnsi="Times" w:cstheme="majorHAnsi"/>
          <w:sz w:val="22"/>
          <w:szCs w:val="22"/>
        </w:rPr>
        <w:t xml:space="preserve"> in the paediatric population</w:t>
      </w:r>
      <w:r w:rsidR="00B8427E" w:rsidRPr="002C7DEE">
        <w:rPr>
          <w:rFonts w:ascii="Times" w:hAnsi="Times" w:cstheme="majorHAnsi"/>
          <w:sz w:val="22"/>
          <w:szCs w:val="22"/>
        </w:rPr>
        <w:t xml:space="preserve">, finding that it appears both safe and </w:t>
      </w:r>
      <w:r w:rsidR="00CB1BA5" w:rsidRPr="002C7DEE">
        <w:rPr>
          <w:rFonts w:ascii="Times" w:hAnsi="Times" w:cstheme="majorHAnsi"/>
          <w:sz w:val="22"/>
          <w:szCs w:val="22"/>
        </w:rPr>
        <w:t>efficacious</w:t>
      </w:r>
      <w:r w:rsidR="00B8427E"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&lt;EndNote&gt;&lt;Cite&gt;&lt;Author&gt;Marquez&lt;/Author&gt;&lt;Year&gt;2014&lt;/Year&gt;&lt;RecNum&gt;1&lt;/RecNum&gt;&lt;DisplayText&gt;[2, 29]&lt;/DisplayText&gt;&lt;record&gt;&lt;rec-number&gt;1&lt;/rec-number&gt;&lt;foreign-keys&gt;&lt;key app="EN" db-id="detxwp9vtwv2v0e5pxf5feaxwx0dr9drsff0" timestamp="1613273208"&gt;1&lt;/key&gt;&lt;/foreign-keys&gt;&lt;ref-type name="Journal Article"&gt;17&lt;/ref-type&gt;&lt;contributors&gt;&lt;authors&gt;&lt;author&gt;Marquez, Roxana; P Pino, P Fajuri, P Zuniga&lt;/author&gt;&lt;/authors&gt;&lt;/contributors&gt;&lt;titles&gt;&lt;title&gt;Subcutaneous catheter for the administration of low molecular weight heparin in pediatrics&lt;/title&gt;&lt;secondary-title&gt;Chilean Journal of Pediatrics&lt;/secondary-title&gt;&lt;/titles&gt;&lt;periodical&gt;&lt;full-title&gt;Chilean Journal of Pediatrics&lt;/full-title&gt;&lt;/periodical&gt;&lt;volume&gt;85&lt;/volume&gt;&lt;number&gt;1&lt;/number&gt;&lt;dates&gt;&lt;year&gt;2014&lt;/year&gt;&lt;/dates&gt;&lt;urls&gt;&lt;/urls&gt;&lt;electronic-resource-num&gt;10.4067/S0370-41062014000100006&lt;/electronic-resource-num&gt;&lt;/record&gt;&lt;/Cite&gt;&lt;Cite&gt;&lt;Author&gt;Tamara Meeker&lt;/Author&gt;&lt;Year&gt;2013&lt;/Year&gt;&lt;RecNum&gt;17&lt;/RecNum&gt;&lt;record&gt;&lt;rec-number&gt;17&lt;/rec-number&gt;&lt;foreign-keys&gt;&lt;key app="EN" db-id="detxwp9vtwv2v0e5pxf5feaxwx0dr9drsff0" timestamp="1613604342"&gt;17&lt;/key&gt;&lt;/foreign-keys&gt;&lt;ref-type name="Journal Article"&gt;17&lt;/ref-type&gt;&lt;contributors&gt;&lt;authors&gt;&lt;author&gt;Tamara Meeker, Taryn Edwards&lt;/author&gt;&lt;/authors&gt;&lt;/contributors&gt;&lt;titles&gt;&lt;title&gt;The Use of Enoxaparin and Insuflon Catheter to Direct Treatment of CVL Thrombosis&lt;/title&gt;&lt;secondary-title&gt;Newborn and Infant Nursing Reviews&lt;/secondary-title&gt;&lt;/titles&gt;&lt;periodical&gt;&lt;full-title&gt;Newborn and Infant Nursing Reviews&lt;/full-title&gt;&lt;/periodical&gt;&lt;volume&gt;14&lt;/volume&gt;&lt;number&gt;1&lt;/number&gt;&lt;dates&gt;&lt;year&gt;2013&lt;/year&gt;&lt;/dates&gt;&lt;urls&gt;&lt;/urls&gt;&lt;electronic-resource-num&gt;10.1053/j.nainr.2013.12.006&lt;/electronic-resource-num&gt;&lt;/record&gt;&lt;/Cite&gt;&lt;/EndNote&gt;</w:instrText>
      </w:r>
      <w:r w:rsidR="00B8427E" w:rsidRPr="002C7DEE">
        <w:rPr>
          <w:rFonts w:ascii="Times" w:hAnsi="Times" w:cstheme="majorHAnsi"/>
          <w:sz w:val="22"/>
          <w:szCs w:val="22"/>
        </w:rPr>
        <w:fldChar w:fldCharType="separate"/>
      </w:r>
      <w:r w:rsidR="00C43993" w:rsidRPr="002C7DEE">
        <w:rPr>
          <w:rFonts w:ascii="Times" w:hAnsi="Times" w:cstheme="majorHAnsi"/>
          <w:noProof/>
          <w:sz w:val="22"/>
          <w:szCs w:val="22"/>
        </w:rPr>
        <w:t>[2, 29]</w:t>
      </w:r>
      <w:r w:rsidR="00B8427E" w:rsidRPr="002C7DEE">
        <w:rPr>
          <w:rFonts w:ascii="Times" w:hAnsi="Times" w:cstheme="majorHAnsi"/>
          <w:sz w:val="22"/>
          <w:szCs w:val="22"/>
        </w:rPr>
        <w:fldChar w:fldCharType="end"/>
      </w:r>
      <w:r w:rsidR="00B8427E" w:rsidRPr="002C7DEE">
        <w:rPr>
          <w:rFonts w:ascii="Times" w:hAnsi="Times" w:cstheme="majorHAnsi"/>
          <w:sz w:val="22"/>
          <w:szCs w:val="22"/>
        </w:rPr>
        <w:t>. In the adult population</w:t>
      </w:r>
      <w:r w:rsidR="005B5A74" w:rsidRPr="002C7DEE">
        <w:rPr>
          <w:rFonts w:ascii="Times" w:hAnsi="Times" w:cstheme="majorHAnsi"/>
          <w:sz w:val="22"/>
          <w:szCs w:val="22"/>
        </w:rPr>
        <w:t xml:space="preserve"> however,</w:t>
      </w:r>
      <w:r w:rsidR="00B8427E" w:rsidRPr="002C7DEE">
        <w:rPr>
          <w:rFonts w:ascii="Times" w:hAnsi="Times" w:cstheme="majorHAnsi"/>
          <w:sz w:val="22"/>
          <w:szCs w:val="22"/>
        </w:rPr>
        <w:t xml:space="preserve"> </w:t>
      </w:r>
      <w:r w:rsidR="00CB1BA5" w:rsidRPr="002C7DEE">
        <w:rPr>
          <w:rFonts w:ascii="Times" w:hAnsi="Times" w:cstheme="majorHAnsi"/>
          <w:sz w:val="22"/>
          <w:szCs w:val="22"/>
        </w:rPr>
        <w:t>there is a paucity of published data</w:t>
      </w:r>
      <w:r w:rsidR="00930995" w:rsidRPr="002C7DEE">
        <w:rPr>
          <w:rFonts w:ascii="Times" w:hAnsi="Times" w:cstheme="majorHAnsi"/>
          <w:sz w:val="22"/>
          <w:szCs w:val="22"/>
        </w:rPr>
        <w:t>. A</w:t>
      </w:r>
      <w:r w:rsidR="00C43993" w:rsidRPr="002C7DEE">
        <w:rPr>
          <w:rFonts w:ascii="Times" w:hAnsi="Times" w:cstheme="majorHAnsi"/>
          <w:sz w:val="22"/>
          <w:szCs w:val="22"/>
        </w:rPr>
        <w:t xml:space="preserve">nderson et al, 1993, trialled unfractionated heparin administration via subcutaneous catheter in </w:t>
      </w:r>
      <w:r w:rsidR="00930995" w:rsidRPr="002C7DEE">
        <w:rPr>
          <w:rFonts w:ascii="Times" w:hAnsi="Times" w:cstheme="majorHAnsi"/>
          <w:sz w:val="22"/>
          <w:szCs w:val="22"/>
        </w:rPr>
        <w:t>pregnant women</w:t>
      </w:r>
      <w:r w:rsidR="00C43993" w:rsidRPr="002C7DEE">
        <w:rPr>
          <w:rFonts w:ascii="Times" w:hAnsi="Times" w:cstheme="majorHAnsi"/>
          <w:sz w:val="22"/>
          <w:szCs w:val="22"/>
        </w:rPr>
        <w:t>,</w:t>
      </w:r>
      <w:r w:rsidR="00930995" w:rsidRPr="002C7DEE">
        <w:rPr>
          <w:rFonts w:ascii="Times" w:hAnsi="Times" w:cstheme="majorHAnsi"/>
          <w:sz w:val="22"/>
          <w:szCs w:val="22"/>
        </w:rPr>
        <w:t xml:space="preserve"> </w:t>
      </w:r>
      <w:r w:rsidR="00C43993" w:rsidRPr="002C7DEE">
        <w:rPr>
          <w:rFonts w:ascii="Times" w:hAnsi="Times" w:cstheme="majorHAnsi"/>
          <w:sz w:val="22"/>
          <w:szCs w:val="22"/>
        </w:rPr>
        <w:t>finding</w:t>
      </w:r>
      <w:r w:rsidR="00930995" w:rsidRPr="002C7DEE">
        <w:rPr>
          <w:rFonts w:ascii="Times" w:hAnsi="Times" w:cstheme="majorHAnsi"/>
          <w:sz w:val="22"/>
          <w:szCs w:val="22"/>
        </w:rPr>
        <w:t xml:space="preserve"> that there was patient preference for using a subcutaneous catheter</w:t>
      </w:r>
      <w:r w:rsidR="00C43993" w:rsidRPr="002C7DEE">
        <w:rPr>
          <w:rFonts w:ascii="Times" w:hAnsi="Times" w:cstheme="majorHAnsi"/>
          <w:sz w:val="22"/>
          <w:szCs w:val="22"/>
        </w:rPr>
        <w:t xml:space="preserve">. </w:t>
      </w:r>
      <w:r w:rsidR="004678C9" w:rsidRPr="002C7DEE">
        <w:rPr>
          <w:rFonts w:ascii="Times" w:hAnsi="Times" w:cstheme="majorHAnsi"/>
          <w:sz w:val="22"/>
          <w:szCs w:val="22"/>
        </w:rPr>
        <w:t>T</w:t>
      </w:r>
      <w:r w:rsidR="00930995" w:rsidRPr="002C7DEE">
        <w:rPr>
          <w:rFonts w:ascii="Times" w:hAnsi="Times" w:cstheme="majorHAnsi"/>
          <w:sz w:val="22"/>
          <w:szCs w:val="22"/>
        </w:rPr>
        <w:t xml:space="preserve">here was no direct assessment of </w:t>
      </w:r>
      <w:r w:rsidR="004678C9" w:rsidRPr="002C7DEE">
        <w:rPr>
          <w:rFonts w:ascii="Times" w:hAnsi="Times" w:cstheme="majorHAnsi"/>
          <w:sz w:val="22"/>
          <w:szCs w:val="22"/>
        </w:rPr>
        <w:t>drug</w:t>
      </w:r>
      <w:r w:rsidR="00930995" w:rsidRPr="002C7DEE">
        <w:rPr>
          <w:rFonts w:ascii="Times" w:hAnsi="Times" w:cstheme="majorHAnsi"/>
          <w:sz w:val="22"/>
          <w:szCs w:val="22"/>
        </w:rPr>
        <w:t xml:space="preserve"> exposure using this method</w:t>
      </w:r>
      <w:r w:rsidR="00C43993" w:rsidRPr="002C7DEE">
        <w:rPr>
          <w:rFonts w:ascii="Times" w:hAnsi="Times" w:cstheme="majorHAnsi"/>
          <w:sz w:val="22"/>
          <w:szCs w:val="22"/>
        </w:rPr>
        <w:t>, and it was not incorporated into routine clinical practice</w:t>
      </w:r>
      <w:r w:rsidR="004678C9" w:rsidRPr="002C7DEE">
        <w:rPr>
          <w:rFonts w:ascii="Times" w:hAnsi="Times" w:cstheme="majorHAnsi"/>
          <w:sz w:val="22"/>
          <w:szCs w:val="22"/>
        </w:rPr>
        <w:t>, and in current practice unfractionated heparin is no longer routinely used</w:t>
      </w:r>
      <w:r w:rsidR="00930995"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&lt;EndNote&gt;&lt;Cite&gt;&lt;Author&gt;Anderson&lt;/Author&gt;&lt;Year&gt;1993&lt;/Year&gt;&lt;RecNum&gt;37&lt;/RecNum&gt;&lt;DisplayText&gt;[1]&lt;/DisplayText&gt;&lt;record&gt;&lt;rec-number&gt;37&lt;/rec-number&gt;&lt;foreign-keys&gt;&lt;key app="EN" db-id="detxwp9vtwv2v0e5pxf5feaxwx0dr9drsff0" timestamp="1614213551"&gt;37&lt;/key&gt;&lt;/foreign-keys&gt;&lt;ref-type name="Journal Article"&gt;17&lt;/ref-type&gt;&lt;contributors&gt;&lt;authors&gt;&lt;author&gt;Anderson, D.; Ginsbery, J.; P Brill-Edwards, C Demers, R Burrows, J Hirsh&lt;/author&gt;&lt;/authors&gt;&lt;/contributors&gt;&lt;titles&gt;&lt;title&gt;The use of an indwelling teflon catheter for subcutaneous heparin administration during pregnancy: a randomized crossover study&lt;/title&gt;&lt;secondary-title&gt;Arch Intern Med&lt;/secondary-title&gt;&lt;/titles&gt;&lt;periodical&gt;&lt;full-title&gt;Arch Intern Med&lt;/full-title&gt;&lt;/periodical&gt;&lt;pages&gt;841-844&lt;/pages&gt;&lt;volume&gt;153&lt;/volume&gt;&lt;dates&gt;&lt;year&gt;1993&lt;/year&gt;&lt;/dates&gt;&lt;urls&gt;&lt;/urls&gt;&lt;/record&gt;&lt;/Cite&gt;&lt;/EndNote&gt;</w:instrText>
      </w:r>
      <w:r w:rsidR="00930995" w:rsidRPr="002C7DEE">
        <w:rPr>
          <w:rFonts w:ascii="Times" w:hAnsi="Times" w:cstheme="majorHAnsi"/>
          <w:sz w:val="22"/>
          <w:szCs w:val="22"/>
        </w:rPr>
        <w:fldChar w:fldCharType="separate"/>
      </w:r>
      <w:r w:rsidR="00C43993" w:rsidRPr="002C7DEE">
        <w:rPr>
          <w:rFonts w:ascii="Times" w:hAnsi="Times" w:cstheme="majorHAnsi"/>
          <w:noProof/>
          <w:sz w:val="22"/>
          <w:szCs w:val="22"/>
        </w:rPr>
        <w:t>[1]</w:t>
      </w:r>
      <w:r w:rsidR="00930995" w:rsidRPr="002C7DEE">
        <w:rPr>
          <w:rFonts w:ascii="Times" w:hAnsi="Times" w:cstheme="majorHAnsi"/>
          <w:sz w:val="22"/>
          <w:szCs w:val="22"/>
        </w:rPr>
        <w:fldChar w:fldCharType="end"/>
      </w:r>
      <w:r w:rsidR="00930995" w:rsidRPr="002C7DEE">
        <w:rPr>
          <w:rFonts w:ascii="Times" w:hAnsi="Times" w:cstheme="majorHAnsi"/>
          <w:sz w:val="22"/>
          <w:szCs w:val="22"/>
        </w:rPr>
        <w:t>.</w:t>
      </w:r>
      <w:r w:rsidR="00CB1BA5" w:rsidRPr="002C7DEE">
        <w:rPr>
          <w:rFonts w:ascii="Times" w:hAnsi="Times" w:cstheme="majorHAnsi"/>
          <w:sz w:val="22"/>
          <w:szCs w:val="22"/>
        </w:rPr>
        <w:t xml:space="preserve"> </w:t>
      </w:r>
      <w:r w:rsidR="00930995" w:rsidRPr="002C7DEE">
        <w:rPr>
          <w:rFonts w:ascii="Times" w:hAnsi="Times" w:cstheme="majorHAnsi"/>
          <w:sz w:val="22"/>
          <w:szCs w:val="22"/>
        </w:rPr>
        <w:t>A recent</w:t>
      </w:r>
      <w:r w:rsidR="00CB1BA5" w:rsidRPr="002C7DEE">
        <w:rPr>
          <w:rFonts w:ascii="Times" w:hAnsi="Times" w:cstheme="majorHAnsi"/>
          <w:sz w:val="22"/>
          <w:szCs w:val="22"/>
        </w:rPr>
        <w:t xml:space="preserve"> study evaluating a</w:t>
      </w:r>
      <w:r w:rsidR="00572CA0" w:rsidRPr="002C7DEE">
        <w:rPr>
          <w:rFonts w:ascii="Times" w:hAnsi="Times" w:cstheme="majorHAnsi"/>
          <w:sz w:val="22"/>
          <w:szCs w:val="22"/>
        </w:rPr>
        <w:t>nti-</w:t>
      </w:r>
      <w:r w:rsidR="00CB1BA5" w:rsidRPr="002C7DEE">
        <w:rPr>
          <w:rFonts w:ascii="Times" w:hAnsi="Times" w:cstheme="majorHAnsi"/>
          <w:sz w:val="22"/>
          <w:szCs w:val="22"/>
        </w:rPr>
        <w:t>Xa levels in 21 patients</w:t>
      </w:r>
      <w:r w:rsidR="00C43993" w:rsidRPr="002C7DEE">
        <w:rPr>
          <w:rFonts w:ascii="Times" w:hAnsi="Times" w:cstheme="majorHAnsi"/>
          <w:sz w:val="22"/>
          <w:szCs w:val="22"/>
        </w:rPr>
        <w:t xml:space="preserve"> receiving therapeutic anticoagulation </w:t>
      </w:r>
      <w:r w:rsidR="00B750EA" w:rsidRPr="002C7DEE">
        <w:rPr>
          <w:rFonts w:ascii="Times" w:hAnsi="Times" w:cstheme="majorHAnsi"/>
          <w:sz w:val="22"/>
          <w:szCs w:val="22"/>
        </w:rPr>
        <w:t>compared</w:t>
      </w:r>
      <w:r w:rsidR="00CB1BA5" w:rsidRPr="002C7DEE">
        <w:rPr>
          <w:rFonts w:ascii="Times" w:hAnsi="Times" w:cstheme="majorHAnsi"/>
          <w:sz w:val="22"/>
          <w:szCs w:val="22"/>
        </w:rPr>
        <w:t xml:space="preserve"> subcutaneous catheter and subcutaneous injections, </w:t>
      </w:r>
      <w:r w:rsidR="00B750EA" w:rsidRPr="002C7DEE">
        <w:rPr>
          <w:rFonts w:ascii="Times" w:hAnsi="Times" w:cstheme="majorHAnsi"/>
          <w:sz w:val="22"/>
          <w:szCs w:val="22"/>
        </w:rPr>
        <w:t xml:space="preserve">demonstrating that both methods </w:t>
      </w:r>
      <w:r w:rsidR="005B5A74" w:rsidRPr="002C7DEE">
        <w:rPr>
          <w:rFonts w:ascii="Times" w:hAnsi="Times" w:cstheme="majorHAnsi"/>
          <w:sz w:val="22"/>
          <w:szCs w:val="22"/>
        </w:rPr>
        <w:t>resulted in</w:t>
      </w:r>
      <w:r w:rsidR="00B750EA" w:rsidRPr="002C7DEE">
        <w:rPr>
          <w:rFonts w:ascii="Times" w:hAnsi="Times" w:cstheme="majorHAnsi"/>
          <w:sz w:val="22"/>
          <w:szCs w:val="22"/>
        </w:rPr>
        <w:t xml:space="preserve"> </w:t>
      </w:r>
      <w:r w:rsidR="005B5A74" w:rsidRPr="002C7DEE">
        <w:rPr>
          <w:rFonts w:ascii="Times" w:hAnsi="Times" w:cstheme="majorHAnsi"/>
          <w:sz w:val="22"/>
          <w:szCs w:val="22"/>
        </w:rPr>
        <w:t>similar</w:t>
      </w:r>
      <w:r w:rsidR="00B750EA" w:rsidRPr="002C7DEE">
        <w:rPr>
          <w:rFonts w:ascii="Times" w:hAnsi="Times" w:cstheme="majorHAnsi"/>
          <w:sz w:val="22"/>
          <w:szCs w:val="22"/>
        </w:rPr>
        <w:t xml:space="preserve"> peak a</w:t>
      </w:r>
      <w:r w:rsidR="00572CA0" w:rsidRPr="002C7DEE">
        <w:rPr>
          <w:rFonts w:ascii="Times" w:hAnsi="Times" w:cstheme="majorHAnsi"/>
          <w:sz w:val="22"/>
          <w:szCs w:val="22"/>
        </w:rPr>
        <w:t>nti-</w:t>
      </w:r>
      <w:r w:rsidR="00B750EA" w:rsidRPr="002C7DEE">
        <w:rPr>
          <w:rFonts w:ascii="Times" w:hAnsi="Times" w:cstheme="majorHAnsi"/>
          <w:sz w:val="22"/>
          <w:szCs w:val="22"/>
        </w:rPr>
        <w:t>Xa levels, and that there was no significant drug accumulation via subcutaneous catheter</w:t>
      </w:r>
      <w:r w:rsidR="005B5A74" w:rsidRPr="002C7DEE">
        <w:rPr>
          <w:rFonts w:ascii="Times" w:hAnsi="Times" w:cstheme="majorHAnsi"/>
          <w:sz w:val="22"/>
          <w:szCs w:val="22"/>
        </w:rPr>
        <w:t xml:space="preserve"> administration</w:t>
      </w:r>
      <w:r w:rsidR="00404576" w:rsidRPr="002C7DEE">
        <w:rPr>
          <w:rFonts w:ascii="Times" w:hAnsi="Times" w:cstheme="majorHAnsi"/>
          <w:sz w:val="22"/>
          <w:szCs w:val="22"/>
        </w:rPr>
        <w:t xml:space="preserve">. Of note, </w:t>
      </w:r>
      <w:r w:rsidR="00B750EA" w:rsidRPr="002C7DEE">
        <w:rPr>
          <w:rFonts w:ascii="Times" w:hAnsi="Times" w:cstheme="majorHAnsi"/>
          <w:sz w:val="22"/>
          <w:szCs w:val="22"/>
        </w:rPr>
        <w:t xml:space="preserve">numbers were small and patients receiving prophylactic enoxaparin, those with </w:t>
      </w:r>
      <w:r w:rsidR="00404576" w:rsidRPr="002C7DEE">
        <w:rPr>
          <w:rFonts w:ascii="Times" w:hAnsi="Times" w:cstheme="majorHAnsi"/>
          <w:sz w:val="22"/>
          <w:szCs w:val="22"/>
        </w:rPr>
        <w:t>renal impairment (CrCl&lt;30mL/min) and pregnant patients were excluded</w:t>
      </w:r>
      <w:r w:rsidR="00CB1BA5" w:rsidRPr="002C7DEE">
        <w:rPr>
          <w:rFonts w:ascii="Times" w:hAnsi="Times" w:cstheme="majorHAnsi"/>
          <w:sz w:val="22"/>
          <w:szCs w:val="22"/>
        </w:rPr>
        <w:fldChar w:fldCharType="begin"/>
      </w:r>
      <w:r w:rsidR="00C43993" w:rsidRPr="002C7DEE">
        <w:rPr>
          <w:rFonts w:ascii="Times" w:hAnsi="Times" w:cstheme="majorHAnsi"/>
          <w:sz w:val="22"/>
          <w:szCs w:val="22"/>
        </w:rPr>
        <w:instrText xml:space="preserve"> ADDIN EN.CITE &lt;EndNote&gt;&lt;Cite&gt;&lt;Author&gt;Moll&lt;/Author&gt;&lt;Year&gt;2017&lt;/Year&gt;&lt;RecNum&gt;16&lt;/RecNum&gt;&lt;DisplayText&gt;[30]&lt;/DisplayText&gt;&lt;record&gt;&lt;rec-number&gt;16&lt;/rec-number&gt;&lt;foreign-keys&gt;&lt;key app="EN" db-id="detxwp9vtwv2v0e5pxf5feaxwx0dr9drsff0" timestamp="1613603931"&gt;16&lt;/key&gt;&lt;/foreign-keys&gt;&lt;ref-type name="Unpublished Work"&gt;34&lt;/ref-type&gt;&lt;contributors&gt;&lt;authors&gt;&lt;author&gt;Stephan Moll&lt;/author&gt;&lt;/authors&gt;&lt;secondary-authors&gt;&lt;author&gt;NIH&lt;/author&gt;&lt;/secondary-authors&gt;&lt;/contributors&gt;&lt;titles&gt;&lt;title&gt;Once weekly subcutaneous ports for the administration of anticoagulants&lt;/title&gt;&lt;secondary-title&gt;US National Library of Medicine&lt;/secondary-title&gt;&lt;/titles&gt;&lt;dates&gt;&lt;year&gt;2017&lt;/year&gt;&lt;/dates&gt;&lt;pub-location&gt;ClinicalTrials.gov&lt;/pub-location&gt;&lt;urls&gt;&lt;/urls&gt;&lt;/record&gt;&lt;/Cite&gt;&lt;/EndNote&gt;</w:instrText>
      </w:r>
      <w:r w:rsidR="00CB1BA5" w:rsidRPr="002C7DEE">
        <w:rPr>
          <w:rFonts w:ascii="Times" w:hAnsi="Times" w:cstheme="majorHAnsi"/>
          <w:sz w:val="22"/>
          <w:szCs w:val="22"/>
        </w:rPr>
        <w:fldChar w:fldCharType="separate"/>
      </w:r>
      <w:r w:rsidR="00C43993" w:rsidRPr="002C7DEE">
        <w:rPr>
          <w:rFonts w:ascii="Times" w:hAnsi="Times" w:cstheme="majorHAnsi"/>
          <w:noProof/>
          <w:sz w:val="22"/>
          <w:szCs w:val="22"/>
        </w:rPr>
        <w:t>[30]</w:t>
      </w:r>
      <w:r w:rsidR="00CB1BA5" w:rsidRPr="002C7DEE">
        <w:rPr>
          <w:rFonts w:ascii="Times" w:hAnsi="Times" w:cstheme="majorHAnsi"/>
          <w:sz w:val="22"/>
          <w:szCs w:val="22"/>
        </w:rPr>
        <w:fldChar w:fldCharType="end"/>
      </w:r>
      <w:r w:rsidR="00441FCB" w:rsidRPr="002C7DEE">
        <w:rPr>
          <w:rFonts w:ascii="Times" w:hAnsi="Times" w:cstheme="majorHAnsi"/>
          <w:sz w:val="22"/>
          <w:szCs w:val="22"/>
        </w:rPr>
        <w:t>.</w:t>
      </w:r>
      <w:r w:rsidR="00F70E7B" w:rsidRPr="002C7DEE">
        <w:rPr>
          <w:rFonts w:ascii="Times" w:hAnsi="Times" w:cstheme="majorHAnsi"/>
          <w:sz w:val="22"/>
          <w:szCs w:val="22"/>
        </w:rPr>
        <w:t xml:space="preserve"> </w:t>
      </w:r>
      <w:r w:rsidR="00863D33" w:rsidRPr="002C7DEE">
        <w:rPr>
          <w:rFonts w:ascii="Times" w:hAnsi="Times" w:cstheme="majorHAnsi"/>
          <w:sz w:val="22"/>
          <w:szCs w:val="22"/>
        </w:rPr>
        <w:t xml:space="preserve">This requires further evaluation with </w:t>
      </w:r>
      <w:r w:rsidR="00B750EA" w:rsidRPr="002C7DEE">
        <w:rPr>
          <w:rFonts w:ascii="Times" w:hAnsi="Times" w:cstheme="majorHAnsi"/>
          <w:sz w:val="22"/>
          <w:szCs w:val="22"/>
        </w:rPr>
        <w:t xml:space="preserve">additional </w:t>
      </w:r>
      <w:r w:rsidR="00863D33" w:rsidRPr="002C7DEE">
        <w:rPr>
          <w:rFonts w:ascii="Times" w:hAnsi="Times" w:cstheme="majorHAnsi"/>
          <w:sz w:val="22"/>
          <w:szCs w:val="22"/>
        </w:rPr>
        <w:t xml:space="preserve">prospective data to </w:t>
      </w:r>
      <w:r w:rsidR="00B750EA" w:rsidRPr="002C7DEE">
        <w:rPr>
          <w:rFonts w:ascii="Times" w:hAnsi="Times" w:cstheme="majorHAnsi"/>
          <w:sz w:val="22"/>
          <w:szCs w:val="22"/>
        </w:rPr>
        <w:t>support this alternative method of administration, and in a wider patient population</w:t>
      </w:r>
      <w:r w:rsidR="00863D33" w:rsidRPr="002C7DEE">
        <w:rPr>
          <w:rFonts w:ascii="Times" w:hAnsi="Times" w:cstheme="majorHAnsi"/>
          <w:sz w:val="22"/>
          <w:szCs w:val="22"/>
        </w:rPr>
        <w:t xml:space="preserve">, in both the prophylactic and therapeutic dosing settings. </w:t>
      </w:r>
    </w:p>
    <w:p w14:paraId="321CE8F3" w14:textId="1A217D95" w:rsidR="002D7F49" w:rsidRPr="002C7DEE" w:rsidRDefault="002D7F49" w:rsidP="00075724">
      <w:pPr>
        <w:jc w:val="both"/>
        <w:rPr>
          <w:rFonts w:ascii="Times" w:hAnsi="Times" w:cstheme="majorHAnsi"/>
          <w:sz w:val="22"/>
          <w:szCs w:val="22"/>
        </w:rPr>
      </w:pPr>
    </w:p>
    <w:p w14:paraId="11DB85AA" w14:textId="2DA377A4" w:rsidR="002D7F49" w:rsidRPr="002C7DEE" w:rsidRDefault="002D7F49" w:rsidP="00075724">
      <w:pPr>
        <w:jc w:val="both"/>
        <w:rPr>
          <w:rFonts w:ascii="Times" w:hAnsi="Times" w:cstheme="majorHAnsi"/>
          <w:sz w:val="22"/>
          <w:szCs w:val="22"/>
        </w:rPr>
      </w:pPr>
    </w:p>
    <w:p w14:paraId="58475253" w14:textId="77777777" w:rsidR="000A0A28" w:rsidRPr="00075724" w:rsidRDefault="002D7F49" w:rsidP="00075724">
      <w:pPr>
        <w:pStyle w:val="Heading2"/>
        <w:rPr>
          <w:rFonts w:ascii="Times" w:hAnsi="Times" w:cstheme="majorHAnsi"/>
          <w:i/>
          <w:sz w:val="22"/>
          <w:szCs w:val="22"/>
        </w:rPr>
      </w:pPr>
      <w:bookmarkStart w:id="2" w:name="_Toc166235134"/>
      <w:r w:rsidRPr="00075724">
        <w:rPr>
          <w:rFonts w:ascii="Times" w:hAnsi="Times" w:cstheme="majorHAnsi"/>
          <w:i/>
          <w:sz w:val="22"/>
          <w:szCs w:val="22"/>
        </w:rPr>
        <w:t>Significance</w:t>
      </w:r>
      <w:bookmarkEnd w:id="2"/>
    </w:p>
    <w:p w14:paraId="1CF184ED" w14:textId="495B98F2" w:rsidR="002D7F49" w:rsidRPr="002C7DEE" w:rsidRDefault="002D7F49">
      <w:pPr>
        <w:rPr>
          <w:rFonts w:ascii="Times" w:hAnsi="Times" w:cstheme="majorHAnsi"/>
          <w:sz w:val="22"/>
          <w:szCs w:val="22"/>
        </w:rPr>
      </w:pPr>
      <w:r w:rsidRPr="002C7DEE">
        <w:rPr>
          <w:rFonts w:ascii="Times" w:hAnsi="Times" w:cstheme="majorHAnsi"/>
          <w:sz w:val="22"/>
          <w:szCs w:val="22"/>
        </w:rPr>
        <w:t>This trial will further e</w:t>
      </w:r>
      <w:r w:rsidR="00937ED6" w:rsidRPr="002C7DEE">
        <w:rPr>
          <w:rFonts w:ascii="Times" w:hAnsi="Times" w:cstheme="majorHAnsi"/>
          <w:sz w:val="22"/>
          <w:szCs w:val="22"/>
        </w:rPr>
        <w:t xml:space="preserve">valuate the efficacy, safety and acceptability of </w:t>
      </w:r>
      <w:r w:rsidR="0053656B">
        <w:rPr>
          <w:rFonts w:ascii="Times" w:hAnsi="Times" w:cstheme="majorHAnsi"/>
          <w:sz w:val="22"/>
          <w:szCs w:val="22"/>
        </w:rPr>
        <w:t>low molecular weight heparin (LMWH)</w:t>
      </w:r>
      <w:r w:rsidR="0053656B" w:rsidRPr="002C7DEE">
        <w:rPr>
          <w:rFonts w:ascii="Times" w:hAnsi="Times" w:cstheme="majorHAnsi"/>
          <w:sz w:val="22"/>
          <w:szCs w:val="22"/>
        </w:rPr>
        <w:t xml:space="preserve"> </w:t>
      </w:r>
      <w:r w:rsidR="00937ED6" w:rsidRPr="002C7DEE">
        <w:rPr>
          <w:rFonts w:ascii="Times" w:hAnsi="Times" w:cstheme="majorHAnsi"/>
          <w:sz w:val="22"/>
          <w:szCs w:val="22"/>
        </w:rPr>
        <w:t>therapy administered by a subcutaneous catheter in adults. Based on existing data, it appears that subcutaneous catheters are an acceptable method of medication administration in adults and pregnant patients</w:t>
      </w:r>
      <w:r w:rsidR="00AC7708" w:rsidRPr="002C7DEE">
        <w:rPr>
          <w:rFonts w:ascii="Times" w:hAnsi="Times" w:cstheme="majorHAnsi"/>
          <w:sz w:val="22"/>
          <w:szCs w:val="22"/>
        </w:rPr>
        <w:t xml:space="preserve">, and the limited data appear to show that </w:t>
      </w:r>
      <w:r w:rsidR="0053656B">
        <w:rPr>
          <w:rFonts w:ascii="Times" w:hAnsi="Times" w:cstheme="majorHAnsi"/>
          <w:sz w:val="22"/>
          <w:szCs w:val="22"/>
        </w:rPr>
        <w:t>LMWH</w:t>
      </w:r>
      <w:r w:rsidR="0053656B" w:rsidRPr="002C7DEE">
        <w:rPr>
          <w:rFonts w:ascii="Times" w:hAnsi="Times" w:cstheme="majorHAnsi"/>
          <w:sz w:val="22"/>
          <w:szCs w:val="22"/>
        </w:rPr>
        <w:t xml:space="preserve"> </w:t>
      </w:r>
      <w:r w:rsidR="00AC7708" w:rsidRPr="002C7DEE">
        <w:rPr>
          <w:rFonts w:ascii="Times" w:hAnsi="Times" w:cstheme="majorHAnsi"/>
          <w:sz w:val="22"/>
          <w:szCs w:val="22"/>
        </w:rPr>
        <w:t xml:space="preserve">can be safely administered via this route without compromising efficacy or safety. </w:t>
      </w:r>
      <w:r w:rsidR="00937ED6" w:rsidRPr="002C7DEE">
        <w:rPr>
          <w:rFonts w:ascii="Times" w:hAnsi="Times" w:cstheme="majorHAnsi"/>
          <w:sz w:val="22"/>
          <w:szCs w:val="22"/>
        </w:rPr>
        <w:t xml:space="preserve">This study will </w:t>
      </w:r>
      <w:r w:rsidR="00AC7708" w:rsidRPr="002C7DEE">
        <w:rPr>
          <w:rFonts w:ascii="Times" w:hAnsi="Times" w:cstheme="majorHAnsi"/>
          <w:sz w:val="22"/>
          <w:szCs w:val="22"/>
        </w:rPr>
        <w:t xml:space="preserve">aim to further support that </w:t>
      </w:r>
      <w:r w:rsidR="0053656B">
        <w:rPr>
          <w:rFonts w:ascii="Times" w:hAnsi="Times" w:cstheme="majorHAnsi"/>
          <w:sz w:val="22"/>
          <w:szCs w:val="22"/>
        </w:rPr>
        <w:t>LMWH</w:t>
      </w:r>
      <w:r w:rsidR="0053656B" w:rsidRPr="002C7DEE">
        <w:rPr>
          <w:rFonts w:ascii="Times" w:hAnsi="Times" w:cstheme="majorHAnsi"/>
          <w:sz w:val="22"/>
          <w:szCs w:val="22"/>
        </w:rPr>
        <w:t xml:space="preserve"> </w:t>
      </w:r>
      <w:r w:rsidR="00AC7708" w:rsidRPr="002C7DEE">
        <w:rPr>
          <w:rFonts w:ascii="Times" w:hAnsi="Times" w:cstheme="majorHAnsi"/>
          <w:sz w:val="22"/>
          <w:szCs w:val="22"/>
        </w:rPr>
        <w:t xml:space="preserve">can be administered via subcutaneous catheter, and broaden the included patient groups, including </w:t>
      </w:r>
      <w:r w:rsidR="00937ED6" w:rsidRPr="002C7DEE">
        <w:rPr>
          <w:rFonts w:ascii="Times" w:hAnsi="Times" w:cstheme="majorHAnsi"/>
          <w:sz w:val="22"/>
          <w:szCs w:val="22"/>
        </w:rPr>
        <w:t>pregnancy and non-dialysis-dependent renal failure</w:t>
      </w:r>
      <w:r w:rsidR="00AC7708" w:rsidRPr="002C7DEE">
        <w:rPr>
          <w:rFonts w:ascii="Times" w:hAnsi="Times" w:cstheme="majorHAnsi"/>
          <w:sz w:val="22"/>
          <w:szCs w:val="22"/>
        </w:rPr>
        <w:t>. Additionally, it will assess</w:t>
      </w:r>
      <w:r w:rsidR="00937ED6" w:rsidRPr="002C7DEE">
        <w:rPr>
          <w:rFonts w:ascii="Times" w:hAnsi="Times" w:cstheme="majorHAnsi"/>
          <w:sz w:val="22"/>
          <w:szCs w:val="22"/>
        </w:rPr>
        <w:t xml:space="preserve"> both prophylactic and therapeutic </w:t>
      </w:r>
      <w:r w:rsidR="00AC7708" w:rsidRPr="002C7DEE">
        <w:rPr>
          <w:rFonts w:ascii="Times" w:hAnsi="Times" w:cstheme="majorHAnsi"/>
          <w:sz w:val="22"/>
          <w:szCs w:val="22"/>
        </w:rPr>
        <w:t>doses, which is of particular relevance in pregnant females requiring extended thromboprophylaxis throughout their pregnancy</w:t>
      </w:r>
      <w:r w:rsidR="00937ED6" w:rsidRPr="002C7DEE">
        <w:rPr>
          <w:rFonts w:ascii="Times" w:hAnsi="Times" w:cstheme="majorHAnsi"/>
          <w:sz w:val="22"/>
          <w:szCs w:val="22"/>
        </w:rPr>
        <w:t>. This data has</w:t>
      </w:r>
      <w:r w:rsidRPr="002C7DEE">
        <w:rPr>
          <w:rFonts w:ascii="Times" w:hAnsi="Times" w:cstheme="majorHAnsi"/>
          <w:sz w:val="22"/>
          <w:szCs w:val="22"/>
        </w:rPr>
        <w:t xml:space="preserve"> potential </w:t>
      </w:r>
      <w:r w:rsidR="00937ED6" w:rsidRPr="002C7DEE">
        <w:rPr>
          <w:rFonts w:ascii="Times" w:hAnsi="Times" w:cstheme="majorHAnsi"/>
          <w:sz w:val="22"/>
          <w:szCs w:val="22"/>
        </w:rPr>
        <w:t xml:space="preserve">to </w:t>
      </w:r>
      <w:r w:rsidRPr="002C7DEE">
        <w:rPr>
          <w:rFonts w:ascii="Times" w:hAnsi="Times" w:cstheme="majorHAnsi"/>
          <w:sz w:val="22"/>
          <w:szCs w:val="22"/>
        </w:rPr>
        <w:t xml:space="preserve">change </w:t>
      </w:r>
      <w:r w:rsidR="00937ED6" w:rsidRPr="002C7DEE">
        <w:rPr>
          <w:rFonts w:ascii="Times" w:hAnsi="Times" w:cstheme="majorHAnsi"/>
          <w:sz w:val="22"/>
          <w:szCs w:val="22"/>
        </w:rPr>
        <w:t>routine clinical</w:t>
      </w:r>
      <w:r w:rsidRPr="002C7DEE">
        <w:rPr>
          <w:rFonts w:ascii="Times" w:hAnsi="Times" w:cstheme="majorHAnsi"/>
          <w:sz w:val="22"/>
          <w:szCs w:val="22"/>
        </w:rPr>
        <w:t xml:space="preserve"> practice</w:t>
      </w:r>
      <w:r w:rsidR="00937ED6" w:rsidRPr="002C7DEE">
        <w:rPr>
          <w:rFonts w:ascii="Times" w:hAnsi="Times" w:cstheme="majorHAnsi"/>
          <w:sz w:val="22"/>
          <w:szCs w:val="22"/>
        </w:rPr>
        <w:t xml:space="preserve"> and reduce morbidity</w:t>
      </w:r>
      <w:r w:rsidRPr="002C7DEE">
        <w:rPr>
          <w:rFonts w:ascii="Times" w:hAnsi="Times" w:cstheme="majorHAnsi"/>
          <w:sz w:val="22"/>
          <w:szCs w:val="22"/>
        </w:rPr>
        <w:t xml:space="preserve">, particularly </w:t>
      </w:r>
      <w:r w:rsidR="00937ED6" w:rsidRPr="002C7DEE">
        <w:rPr>
          <w:rFonts w:ascii="Times" w:hAnsi="Times" w:cstheme="majorHAnsi"/>
          <w:sz w:val="22"/>
          <w:szCs w:val="22"/>
        </w:rPr>
        <w:t>in specific patient groups such</w:t>
      </w:r>
      <w:r w:rsidRPr="002C7DEE">
        <w:rPr>
          <w:rFonts w:ascii="Times" w:hAnsi="Times" w:cstheme="majorHAnsi"/>
          <w:sz w:val="22"/>
          <w:szCs w:val="22"/>
        </w:rPr>
        <w:t xml:space="preserve"> pregnancy and </w:t>
      </w:r>
      <w:r w:rsidR="00AC7708" w:rsidRPr="002C7DEE">
        <w:rPr>
          <w:rFonts w:ascii="Times" w:hAnsi="Times" w:cstheme="majorHAnsi"/>
          <w:sz w:val="22"/>
          <w:szCs w:val="22"/>
        </w:rPr>
        <w:t>those</w:t>
      </w:r>
      <w:r w:rsidRPr="002C7DEE">
        <w:rPr>
          <w:rFonts w:ascii="Times" w:hAnsi="Times" w:cstheme="majorHAnsi"/>
          <w:sz w:val="22"/>
          <w:szCs w:val="22"/>
        </w:rPr>
        <w:t xml:space="preserve"> requiring long term therapy with enoxaparin. </w:t>
      </w:r>
      <w:r w:rsidR="00105020" w:rsidRPr="002C7DEE">
        <w:rPr>
          <w:rFonts w:ascii="Times" w:hAnsi="Times" w:cstheme="majorHAnsi"/>
          <w:sz w:val="22"/>
          <w:szCs w:val="22"/>
        </w:rPr>
        <w:t xml:space="preserve">Regular monitoring of anti-Xa levels will not be required if this study demonstrates adequate similarity between both methods of administration. </w:t>
      </w:r>
    </w:p>
    <w:p w14:paraId="7331A0D9" w14:textId="5A81FEE3" w:rsidR="002D7F49" w:rsidRPr="002C7DEE" w:rsidRDefault="002D7F49" w:rsidP="00075724">
      <w:pPr>
        <w:jc w:val="both"/>
        <w:rPr>
          <w:rFonts w:ascii="Times" w:hAnsi="Times" w:cstheme="majorHAnsi"/>
          <w:sz w:val="22"/>
          <w:szCs w:val="22"/>
        </w:rPr>
      </w:pPr>
    </w:p>
    <w:p w14:paraId="3873BDC5" w14:textId="6FA1E8CB" w:rsidR="002D7F49" w:rsidRDefault="002D7F49" w:rsidP="00075724">
      <w:pPr>
        <w:jc w:val="both"/>
        <w:rPr>
          <w:rFonts w:ascii="Times" w:hAnsi="Times" w:cstheme="majorHAnsi"/>
          <w:sz w:val="22"/>
          <w:szCs w:val="22"/>
        </w:rPr>
      </w:pPr>
    </w:p>
    <w:p w14:paraId="5022260B" w14:textId="77D928C2" w:rsidR="000A0A28" w:rsidRPr="00075724" w:rsidRDefault="000A0A28" w:rsidP="00075724">
      <w:pPr>
        <w:pStyle w:val="Heading1"/>
        <w:rPr>
          <w:rFonts w:ascii="Times" w:hAnsi="Times" w:cstheme="majorHAnsi"/>
          <w:b/>
          <w:sz w:val="22"/>
          <w:szCs w:val="22"/>
        </w:rPr>
      </w:pPr>
      <w:bookmarkStart w:id="3" w:name="_Toc166235135"/>
      <w:r w:rsidRPr="00075724">
        <w:rPr>
          <w:rFonts w:ascii="Times" w:hAnsi="Times" w:cstheme="majorHAnsi"/>
          <w:b/>
          <w:sz w:val="22"/>
          <w:szCs w:val="22"/>
        </w:rPr>
        <w:t>Study Outline</w:t>
      </w:r>
      <w:bookmarkEnd w:id="3"/>
    </w:p>
    <w:p w14:paraId="70D0083E" w14:textId="77777777" w:rsidR="000A0A28" w:rsidRPr="002C7DEE" w:rsidRDefault="000A0A28" w:rsidP="00075724">
      <w:pPr>
        <w:jc w:val="both"/>
        <w:rPr>
          <w:rFonts w:ascii="Times" w:hAnsi="Times" w:cstheme="majorHAnsi"/>
          <w:sz w:val="22"/>
          <w:szCs w:val="22"/>
        </w:rPr>
      </w:pPr>
    </w:p>
    <w:p w14:paraId="5AD94138" w14:textId="5FE78690" w:rsidR="000A0A28" w:rsidRPr="00075724" w:rsidRDefault="006F34B6" w:rsidP="00075724">
      <w:pPr>
        <w:pStyle w:val="Heading2"/>
        <w:rPr>
          <w:rFonts w:ascii="Times" w:hAnsi="Times" w:cstheme="majorHAnsi"/>
          <w:i/>
          <w:sz w:val="22"/>
          <w:szCs w:val="22"/>
        </w:rPr>
      </w:pPr>
      <w:bookmarkStart w:id="4" w:name="_Toc166235136"/>
      <w:r w:rsidRPr="00075724">
        <w:rPr>
          <w:rFonts w:ascii="Times" w:hAnsi="Times" w:cstheme="majorHAnsi"/>
          <w:i/>
          <w:sz w:val="22"/>
          <w:szCs w:val="22"/>
        </w:rPr>
        <w:t>Objective</w:t>
      </w:r>
      <w:r w:rsidR="000A0A28" w:rsidRPr="00075724">
        <w:rPr>
          <w:rFonts w:ascii="Times" w:hAnsi="Times" w:cstheme="majorHAnsi"/>
          <w:i/>
          <w:sz w:val="22"/>
          <w:szCs w:val="22"/>
        </w:rPr>
        <w:t>s</w:t>
      </w:r>
      <w:bookmarkEnd w:id="4"/>
    </w:p>
    <w:p w14:paraId="20AECAE5" w14:textId="5A0755D4" w:rsidR="00231913" w:rsidRPr="002C7DEE" w:rsidRDefault="00231913">
      <w:pPr>
        <w:rPr>
          <w:rFonts w:ascii="Times" w:hAnsi="Times" w:cstheme="majorHAnsi"/>
          <w:sz w:val="22"/>
          <w:szCs w:val="22"/>
        </w:rPr>
      </w:pPr>
      <w:r w:rsidRPr="002C7DEE">
        <w:rPr>
          <w:rFonts w:ascii="Times" w:hAnsi="Times" w:cstheme="majorHAnsi"/>
          <w:sz w:val="22"/>
          <w:szCs w:val="22"/>
        </w:rPr>
        <w:t xml:space="preserve">To demonstrate proof of concept that subcutaneous catheter administration of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 xml:space="preserve">is a safe and acceptable alternative to subcutaneous injections in both the prophylactic and therapeutic settings. </w:t>
      </w:r>
    </w:p>
    <w:p w14:paraId="1FC2E663" w14:textId="423167BD" w:rsidR="00880B42" w:rsidRPr="002C7DEE" w:rsidRDefault="00880B42">
      <w:pPr>
        <w:rPr>
          <w:rFonts w:ascii="Times" w:hAnsi="Times" w:cstheme="majorHAnsi"/>
          <w:sz w:val="22"/>
          <w:szCs w:val="22"/>
        </w:rPr>
      </w:pPr>
    </w:p>
    <w:p w14:paraId="7C65A74E" w14:textId="77777777" w:rsidR="00231913" w:rsidRPr="002C7DEE" w:rsidRDefault="00231913" w:rsidP="00075724">
      <w:pPr>
        <w:jc w:val="both"/>
        <w:rPr>
          <w:rFonts w:ascii="Times" w:hAnsi="Times" w:cstheme="majorHAnsi"/>
          <w:sz w:val="22"/>
          <w:szCs w:val="22"/>
        </w:rPr>
      </w:pPr>
    </w:p>
    <w:p w14:paraId="059A9AFA" w14:textId="54B38397" w:rsidR="00880B42" w:rsidRPr="00075724" w:rsidRDefault="00880B42" w:rsidP="00075724">
      <w:pPr>
        <w:pStyle w:val="Heading2"/>
        <w:rPr>
          <w:rFonts w:ascii="Times" w:hAnsi="Times" w:cstheme="majorHAnsi"/>
          <w:i/>
          <w:sz w:val="22"/>
          <w:szCs w:val="22"/>
        </w:rPr>
      </w:pPr>
      <w:bookmarkStart w:id="5" w:name="_Toc166235137"/>
      <w:r w:rsidRPr="00075724">
        <w:rPr>
          <w:rFonts w:ascii="Times" w:hAnsi="Times" w:cstheme="majorHAnsi"/>
          <w:i/>
          <w:sz w:val="22"/>
          <w:szCs w:val="22"/>
        </w:rPr>
        <w:t>Hypotheses</w:t>
      </w:r>
      <w:bookmarkEnd w:id="5"/>
      <w:r w:rsidRPr="00075724">
        <w:rPr>
          <w:rFonts w:ascii="Times" w:hAnsi="Times" w:cstheme="majorHAnsi"/>
          <w:i/>
          <w:sz w:val="22"/>
          <w:szCs w:val="22"/>
        </w:rPr>
        <w:t xml:space="preserve"> </w:t>
      </w:r>
    </w:p>
    <w:p w14:paraId="4F71427E" w14:textId="66747EA7" w:rsidR="00880B42" w:rsidRPr="002C7DEE" w:rsidRDefault="00880B42" w:rsidP="00075724">
      <w:pPr>
        <w:pStyle w:val="ListParagraph"/>
        <w:numPr>
          <w:ilvl w:val="0"/>
          <w:numId w:val="6"/>
        </w:numPr>
        <w:jc w:val="both"/>
        <w:rPr>
          <w:rFonts w:ascii="Times" w:hAnsi="Times" w:cstheme="majorHAnsi"/>
          <w:sz w:val="22"/>
          <w:szCs w:val="22"/>
        </w:rPr>
      </w:pPr>
      <w:r w:rsidRPr="002C7DEE">
        <w:rPr>
          <w:rFonts w:ascii="Times" w:hAnsi="Times" w:cstheme="majorHAnsi"/>
          <w:sz w:val="22"/>
          <w:szCs w:val="22"/>
        </w:rPr>
        <w:t xml:space="preserve">That there is no clinically significant difference in </w:t>
      </w:r>
      <w:r w:rsidR="00E84173" w:rsidRPr="002C7DEE">
        <w:rPr>
          <w:rFonts w:ascii="Times" w:hAnsi="Times" w:cstheme="majorHAnsi"/>
          <w:sz w:val="22"/>
          <w:szCs w:val="22"/>
        </w:rPr>
        <w:t>peak a</w:t>
      </w:r>
      <w:r w:rsidR="00572CA0" w:rsidRPr="002C7DEE">
        <w:rPr>
          <w:rFonts w:ascii="Times" w:hAnsi="Times" w:cstheme="majorHAnsi"/>
          <w:sz w:val="22"/>
          <w:szCs w:val="22"/>
        </w:rPr>
        <w:t>nti-</w:t>
      </w:r>
      <w:r w:rsidR="00E84173" w:rsidRPr="002C7DEE">
        <w:rPr>
          <w:rFonts w:ascii="Times" w:hAnsi="Times" w:cstheme="majorHAnsi"/>
          <w:sz w:val="22"/>
          <w:szCs w:val="22"/>
        </w:rPr>
        <w:t>Xa</w:t>
      </w:r>
      <w:r w:rsidRPr="002C7DEE">
        <w:rPr>
          <w:rFonts w:ascii="Times" w:hAnsi="Times" w:cstheme="majorHAnsi"/>
          <w:sz w:val="22"/>
          <w:szCs w:val="22"/>
        </w:rPr>
        <w:t xml:space="preserve"> levels between therapeutic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administration via a subcutaneous catheter as compared to the current standard of care via subcutaneous injections</w:t>
      </w:r>
    </w:p>
    <w:p w14:paraId="0561BD61" w14:textId="1E2BC84D" w:rsidR="0004538D" w:rsidRPr="002C7DEE" w:rsidRDefault="0004538D" w:rsidP="00075724">
      <w:pPr>
        <w:pStyle w:val="ListParagraph"/>
        <w:numPr>
          <w:ilvl w:val="0"/>
          <w:numId w:val="6"/>
        </w:numPr>
        <w:jc w:val="both"/>
        <w:rPr>
          <w:rFonts w:ascii="Times" w:hAnsi="Times" w:cstheme="majorHAnsi"/>
          <w:sz w:val="22"/>
          <w:szCs w:val="22"/>
        </w:rPr>
      </w:pPr>
      <w:r w:rsidRPr="002C7DEE">
        <w:rPr>
          <w:rFonts w:ascii="Times" w:hAnsi="Times" w:cstheme="majorHAnsi"/>
          <w:sz w:val="22"/>
          <w:szCs w:val="22"/>
        </w:rPr>
        <w:t>That there is no clinically significant difference in the proportion of patients within the expected a</w:t>
      </w:r>
      <w:r w:rsidR="00572CA0" w:rsidRPr="002C7DEE">
        <w:rPr>
          <w:rFonts w:ascii="Times" w:hAnsi="Times" w:cstheme="majorHAnsi"/>
          <w:sz w:val="22"/>
          <w:szCs w:val="22"/>
        </w:rPr>
        <w:t>nti-</w:t>
      </w:r>
      <w:r w:rsidRPr="002C7DEE">
        <w:rPr>
          <w:rFonts w:ascii="Times" w:hAnsi="Times" w:cstheme="majorHAnsi"/>
          <w:sz w:val="22"/>
          <w:szCs w:val="22"/>
        </w:rPr>
        <w:t xml:space="preserve">Xa range with prophylactic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dosing via a subcutaneous catheter as compared to the current standard of care via subcutaneous injections</w:t>
      </w:r>
    </w:p>
    <w:p w14:paraId="256BF398" w14:textId="10B00093" w:rsidR="00880B42" w:rsidRPr="002C7DEE" w:rsidRDefault="00880B42" w:rsidP="00075724">
      <w:pPr>
        <w:pStyle w:val="ListParagraph"/>
        <w:numPr>
          <w:ilvl w:val="0"/>
          <w:numId w:val="6"/>
        </w:numPr>
        <w:jc w:val="both"/>
        <w:rPr>
          <w:rFonts w:ascii="Times" w:hAnsi="Times" w:cstheme="majorHAnsi"/>
          <w:sz w:val="22"/>
          <w:szCs w:val="22"/>
        </w:rPr>
      </w:pPr>
      <w:r w:rsidRPr="002C7DEE">
        <w:rPr>
          <w:rFonts w:ascii="Times" w:hAnsi="Times" w:cstheme="majorHAnsi"/>
          <w:sz w:val="22"/>
          <w:szCs w:val="22"/>
        </w:rPr>
        <w:t xml:space="preserve">That subcutaneous catheter administration of </w:t>
      </w:r>
      <w:r w:rsidR="0053656B">
        <w:rPr>
          <w:rFonts w:ascii="Times" w:hAnsi="Times" w:cstheme="majorHAnsi"/>
          <w:sz w:val="22"/>
          <w:szCs w:val="22"/>
        </w:rPr>
        <w:t>LMWH</w:t>
      </w:r>
      <w:r w:rsidR="0053656B" w:rsidRPr="002C7DEE">
        <w:rPr>
          <w:rFonts w:ascii="Times" w:hAnsi="Times" w:cstheme="majorHAnsi"/>
          <w:sz w:val="22"/>
          <w:szCs w:val="22"/>
        </w:rPr>
        <w:t xml:space="preserve"> </w:t>
      </w:r>
      <w:r w:rsidR="004948CA" w:rsidRPr="002C7DEE">
        <w:rPr>
          <w:rFonts w:ascii="Times" w:hAnsi="Times" w:cstheme="majorHAnsi"/>
          <w:sz w:val="22"/>
          <w:szCs w:val="22"/>
        </w:rPr>
        <w:t xml:space="preserve">is </w:t>
      </w:r>
      <w:r w:rsidRPr="002C7DEE">
        <w:rPr>
          <w:rFonts w:ascii="Times" w:hAnsi="Times" w:cstheme="majorHAnsi"/>
          <w:sz w:val="22"/>
          <w:szCs w:val="22"/>
        </w:rPr>
        <w:t xml:space="preserve">an acceptable </w:t>
      </w:r>
      <w:r w:rsidR="004948CA" w:rsidRPr="002C7DEE">
        <w:rPr>
          <w:rFonts w:ascii="Times" w:hAnsi="Times" w:cstheme="majorHAnsi"/>
          <w:sz w:val="22"/>
          <w:szCs w:val="22"/>
        </w:rPr>
        <w:t>alternative to subcutaneous injections</w:t>
      </w:r>
    </w:p>
    <w:p w14:paraId="7BC9F35F" w14:textId="48CD1725" w:rsidR="00880B42" w:rsidRPr="002C7DEE" w:rsidRDefault="00880B42" w:rsidP="00075724">
      <w:pPr>
        <w:jc w:val="both"/>
        <w:rPr>
          <w:rFonts w:ascii="Times" w:hAnsi="Times" w:cstheme="majorHAnsi"/>
          <w:sz w:val="22"/>
          <w:szCs w:val="22"/>
        </w:rPr>
      </w:pPr>
    </w:p>
    <w:p w14:paraId="2A005BEA" w14:textId="17CB43B6" w:rsidR="008B4090" w:rsidRPr="002C7DEE" w:rsidRDefault="008B4090" w:rsidP="00075724">
      <w:pPr>
        <w:jc w:val="both"/>
        <w:rPr>
          <w:rFonts w:ascii="Times" w:hAnsi="Times" w:cstheme="majorHAnsi"/>
          <w:b/>
          <w:sz w:val="22"/>
          <w:szCs w:val="22"/>
        </w:rPr>
      </w:pPr>
    </w:p>
    <w:p w14:paraId="2E732276" w14:textId="755B28E7" w:rsidR="000A0A28" w:rsidRPr="00075724" w:rsidRDefault="004948CA" w:rsidP="00075724">
      <w:pPr>
        <w:pStyle w:val="Heading2"/>
        <w:rPr>
          <w:rFonts w:ascii="Times" w:hAnsi="Times" w:cstheme="majorHAnsi"/>
          <w:i/>
          <w:sz w:val="22"/>
          <w:szCs w:val="22"/>
        </w:rPr>
      </w:pPr>
      <w:bookmarkStart w:id="6" w:name="_Toc166235138"/>
      <w:r w:rsidRPr="00075724">
        <w:rPr>
          <w:rFonts w:ascii="Times" w:hAnsi="Times" w:cstheme="majorHAnsi"/>
          <w:i/>
          <w:sz w:val="22"/>
          <w:szCs w:val="22"/>
        </w:rPr>
        <w:t>Design</w:t>
      </w:r>
      <w:bookmarkEnd w:id="6"/>
    </w:p>
    <w:p w14:paraId="6A28D219" w14:textId="11FDD6F2" w:rsidR="004948CA" w:rsidRPr="002C7DEE" w:rsidRDefault="004948CA" w:rsidP="000A0A28">
      <w:pPr>
        <w:rPr>
          <w:rFonts w:ascii="Times" w:hAnsi="Times" w:cstheme="majorHAnsi"/>
          <w:sz w:val="22"/>
          <w:szCs w:val="22"/>
        </w:rPr>
      </w:pPr>
      <w:r w:rsidRPr="002C7DEE">
        <w:rPr>
          <w:rFonts w:ascii="Times" w:hAnsi="Times" w:cstheme="majorHAnsi"/>
          <w:sz w:val="22"/>
          <w:szCs w:val="22"/>
        </w:rPr>
        <w:t xml:space="preserve">Prospective crossover study. </w:t>
      </w:r>
    </w:p>
    <w:p w14:paraId="39EB711F" w14:textId="185F8C7A" w:rsidR="004948CA" w:rsidRPr="002C7DEE" w:rsidRDefault="004948CA" w:rsidP="00075724">
      <w:pPr>
        <w:jc w:val="both"/>
        <w:rPr>
          <w:rFonts w:ascii="Times" w:hAnsi="Times" w:cstheme="majorHAnsi"/>
          <w:sz w:val="22"/>
          <w:szCs w:val="22"/>
        </w:rPr>
      </w:pPr>
    </w:p>
    <w:p w14:paraId="249CF279" w14:textId="56FA78DA" w:rsidR="004948CA" w:rsidRPr="002C7DEE" w:rsidRDefault="004948CA" w:rsidP="00075724">
      <w:pPr>
        <w:jc w:val="both"/>
        <w:rPr>
          <w:rFonts w:ascii="Times" w:hAnsi="Times" w:cstheme="majorHAnsi"/>
          <w:sz w:val="22"/>
          <w:szCs w:val="22"/>
        </w:rPr>
      </w:pPr>
    </w:p>
    <w:p w14:paraId="591FEC1E" w14:textId="38B2223A" w:rsidR="004948CA" w:rsidRPr="002C7DEE" w:rsidRDefault="004948CA" w:rsidP="00075724">
      <w:pPr>
        <w:jc w:val="both"/>
        <w:rPr>
          <w:rFonts w:ascii="Times" w:hAnsi="Times" w:cstheme="majorHAnsi"/>
          <w:sz w:val="22"/>
          <w:szCs w:val="22"/>
        </w:rPr>
      </w:pPr>
    </w:p>
    <w:p w14:paraId="34D1E91F" w14:textId="61FB1FCE" w:rsidR="000A0A28" w:rsidRPr="00075724" w:rsidRDefault="004948CA" w:rsidP="00075724">
      <w:pPr>
        <w:pStyle w:val="Heading2"/>
        <w:rPr>
          <w:rFonts w:ascii="Times" w:hAnsi="Times" w:cstheme="majorHAnsi"/>
          <w:i/>
          <w:sz w:val="22"/>
          <w:szCs w:val="22"/>
        </w:rPr>
      </w:pPr>
      <w:bookmarkStart w:id="7" w:name="_Toc166235139"/>
      <w:r w:rsidRPr="00075724">
        <w:rPr>
          <w:rFonts w:ascii="Times" w:hAnsi="Times" w:cstheme="majorHAnsi"/>
          <w:i/>
          <w:sz w:val="22"/>
          <w:szCs w:val="22"/>
        </w:rPr>
        <w:t>Patients</w:t>
      </w:r>
      <w:bookmarkEnd w:id="7"/>
      <w:r w:rsidRPr="00075724">
        <w:rPr>
          <w:rFonts w:ascii="Times" w:hAnsi="Times" w:cstheme="majorHAnsi"/>
          <w:i/>
          <w:sz w:val="22"/>
          <w:szCs w:val="22"/>
        </w:rPr>
        <w:t xml:space="preserve"> </w:t>
      </w:r>
    </w:p>
    <w:p w14:paraId="24D7D10E" w14:textId="4B12CFA2" w:rsidR="004948CA" w:rsidRPr="002C7DEE" w:rsidRDefault="000A0A28" w:rsidP="00075724">
      <w:pPr>
        <w:jc w:val="both"/>
        <w:rPr>
          <w:rFonts w:ascii="Times" w:hAnsi="Times" w:cstheme="majorHAnsi"/>
          <w:sz w:val="22"/>
          <w:szCs w:val="22"/>
        </w:rPr>
      </w:pPr>
      <w:r w:rsidRPr="002C7DEE">
        <w:rPr>
          <w:rFonts w:ascii="Times" w:hAnsi="Times" w:cstheme="majorHAnsi"/>
          <w:sz w:val="22"/>
          <w:szCs w:val="22"/>
        </w:rPr>
        <w:t xml:space="preserve">Inpatients and outpatients in a tertiary public hospital. </w:t>
      </w:r>
      <w:r w:rsidR="004948CA" w:rsidRPr="002C7DEE">
        <w:rPr>
          <w:rFonts w:ascii="Times" w:hAnsi="Times" w:cstheme="majorHAnsi"/>
          <w:sz w:val="22"/>
          <w:szCs w:val="22"/>
        </w:rPr>
        <w:t xml:space="preserve">Patients ≥18 years requiring prophylactic or therapeutic anticoagulation with </w:t>
      </w:r>
      <w:r w:rsidR="0053656B">
        <w:rPr>
          <w:rFonts w:ascii="Times" w:hAnsi="Times" w:cstheme="majorHAnsi"/>
          <w:sz w:val="22"/>
          <w:szCs w:val="22"/>
        </w:rPr>
        <w:t>LMWH</w:t>
      </w:r>
      <w:r w:rsidR="004948CA" w:rsidRPr="002C7DEE">
        <w:rPr>
          <w:rFonts w:ascii="Times" w:hAnsi="Times" w:cstheme="majorHAnsi"/>
          <w:sz w:val="22"/>
          <w:szCs w:val="22"/>
        </w:rPr>
        <w:t>.</w:t>
      </w:r>
    </w:p>
    <w:p w14:paraId="4B2D58BF" w14:textId="584966A5" w:rsidR="004948CA" w:rsidRPr="002C7DEE" w:rsidRDefault="004948CA" w:rsidP="00075724">
      <w:pPr>
        <w:jc w:val="both"/>
        <w:rPr>
          <w:rFonts w:ascii="Times" w:hAnsi="Times" w:cstheme="majorHAnsi"/>
          <w:sz w:val="22"/>
          <w:szCs w:val="22"/>
        </w:rPr>
      </w:pPr>
    </w:p>
    <w:p w14:paraId="5020E1E1" w14:textId="457BFE23" w:rsidR="000A0A28" w:rsidRPr="00075724" w:rsidRDefault="000A0A28" w:rsidP="00075724">
      <w:pPr>
        <w:pStyle w:val="Heading2"/>
        <w:rPr>
          <w:rFonts w:ascii="Times" w:hAnsi="Times" w:cstheme="majorHAnsi"/>
          <w:i/>
          <w:sz w:val="22"/>
          <w:szCs w:val="22"/>
        </w:rPr>
      </w:pPr>
      <w:bookmarkStart w:id="8" w:name="_Toc166235140"/>
      <w:r w:rsidRPr="00075724">
        <w:rPr>
          <w:rFonts w:ascii="Times" w:hAnsi="Times" w:cstheme="majorHAnsi"/>
          <w:i/>
          <w:sz w:val="22"/>
          <w:szCs w:val="22"/>
        </w:rPr>
        <w:t>Therapy</w:t>
      </w:r>
      <w:bookmarkEnd w:id="8"/>
      <w:r w:rsidR="008220E8" w:rsidRPr="00075724">
        <w:rPr>
          <w:rFonts w:ascii="Times" w:hAnsi="Times" w:cstheme="majorHAnsi"/>
          <w:i/>
          <w:sz w:val="22"/>
          <w:szCs w:val="22"/>
        </w:rPr>
        <w:t xml:space="preserve"> </w:t>
      </w:r>
    </w:p>
    <w:p w14:paraId="12F3A83A" w14:textId="2BB45797" w:rsidR="008220E8" w:rsidRPr="002C7DEE" w:rsidRDefault="0053656B" w:rsidP="00075724">
      <w:pPr>
        <w:jc w:val="both"/>
        <w:rPr>
          <w:rFonts w:ascii="Times" w:hAnsi="Times" w:cstheme="majorHAnsi"/>
          <w:sz w:val="22"/>
          <w:szCs w:val="22"/>
        </w:rPr>
      </w:pPr>
      <w:r>
        <w:rPr>
          <w:rFonts w:ascii="Times" w:hAnsi="Times" w:cstheme="majorHAnsi"/>
          <w:sz w:val="22"/>
          <w:szCs w:val="22"/>
        </w:rPr>
        <w:t>LMWH</w:t>
      </w:r>
      <w:r w:rsidRPr="002C7DEE">
        <w:rPr>
          <w:rFonts w:ascii="Times" w:hAnsi="Times" w:cstheme="majorHAnsi"/>
          <w:sz w:val="22"/>
          <w:szCs w:val="22"/>
        </w:rPr>
        <w:t xml:space="preserve"> </w:t>
      </w:r>
      <w:r w:rsidR="008220E8" w:rsidRPr="002C7DEE">
        <w:rPr>
          <w:rFonts w:ascii="Times" w:hAnsi="Times" w:cstheme="majorHAnsi"/>
          <w:sz w:val="22"/>
          <w:szCs w:val="22"/>
        </w:rPr>
        <w:t xml:space="preserve">(therapeutic or prophylactic dose) in those with a medical indication to receive therapy. </w:t>
      </w:r>
    </w:p>
    <w:p w14:paraId="1159C1AD" w14:textId="77777777" w:rsidR="008220E8" w:rsidRPr="002C7DEE" w:rsidRDefault="008220E8" w:rsidP="00075724">
      <w:pPr>
        <w:jc w:val="both"/>
        <w:rPr>
          <w:rFonts w:ascii="Times" w:hAnsi="Times" w:cstheme="majorHAnsi"/>
          <w:sz w:val="22"/>
          <w:szCs w:val="22"/>
        </w:rPr>
      </w:pPr>
    </w:p>
    <w:p w14:paraId="46AC1A06" w14:textId="0C118043" w:rsidR="000A0A28" w:rsidRPr="00075724" w:rsidRDefault="004948CA" w:rsidP="00075724">
      <w:pPr>
        <w:pStyle w:val="Heading2"/>
        <w:rPr>
          <w:rFonts w:ascii="Times" w:hAnsi="Times" w:cstheme="majorHAnsi"/>
          <w:i/>
          <w:sz w:val="22"/>
          <w:szCs w:val="22"/>
        </w:rPr>
      </w:pPr>
      <w:bookmarkStart w:id="9" w:name="_Toc166235141"/>
      <w:r w:rsidRPr="00075724">
        <w:rPr>
          <w:rFonts w:ascii="Times" w:hAnsi="Times" w:cstheme="majorHAnsi"/>
          <w:i/>
          <w:sz w:val="22"/>
          <w:szCs w:val="22"/>
        </w:rPr>
        <w:t>Measurements</w:t>
      </w:r>
      <w:bookmarkEnd w:id="9"/>
    </w:p>
    <w:p w14:paraId="47AC06E4" w14:textId="4090F83F" w:rsidR="004948CA" w:rsidRPr="002C7DEE" w:rsidRDefault="004948CA" w:rsidP="00075724">
      <w:pPr>
        <w:jc w:val="both"/>
        <w:rPr>
          <w:rFonts w:ascii="Times" w:hAnsi="Times" w:cstheme="majorHAnsi"/>
          <w:sz w:val="22"/>
          <w:szCs w:val="22"/>
        </w:rPr>
      </w:pPr>
      <w:r w:rsidRPr="002C7DEE">
        <w:rPr>
          <w:rFonts w:ascii="Times" w:hAnsi="Times" w:cstheme="majorHAnsi"/>
          <w:sz w:val="22"/>
          <w:szCs w:val="22"/>
        </w:rPr>
        <w:t>Peak anti factor Xa (a</w:t>
      </w:r>
      <w:r w:rsidR="00572CA0" w:rsidRPr="002C7DEE">
        <w:rPr>
          <w:rFonts w:ascii="Times" w:hAnsi="Times" w:cstheme="majorHAnsi"/>
          <w:sz w:val="22"/>
          <w:szCs w:val="22"/>
        </w:rPr>
        <w:t>nti-</w:t>
      </w:r>
      <w:r w:rsidRPr="002C7DEE">
        <w:rPr>
          <w:rFonts w:ascii="Times" w:hAnsi="Times" w:cstheme="majorHAnsi"/>
          <w:sz w:val="22"/>
          <w:szCs w:val="22"/>
        </w:rPr>
        <w:t>Xa) levels measured on days 2 and 5</w:t>
      </w:r>
      <w:r w:rsidR="00541262" w:rsidRPr="002C7DEE">
        <w:rPr>
          <w:rFonts w:ascii="Times" w:hAnsi="Times" w:cstheme="majorHAnsi"/>
          <w:sz w:val="22"/>
          <w:szCs w:val="22"/>
        </w:rPr>
        <w:t>+/-1 day</w:t>
      </w:r>
      <w:r w:rsidRPr="002C7DEE">
        <w:rPr>
          <w:rFonts w:ascii="Times" w:hAnsi="Times" w:cstheme="majorHAnsi"/>
          <w:sz w:val="22"/>
          <w:szCs w:val="22"/>
        </w:rPr>
        <w:t xml:space="preserve"> or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 xml:space="preserve">administration via both subcutaneous catheter and subcutaneous injections. </w:t>
      </w:r>
    </w:p>
    <w:p w14:paraId="3A7F3B73" w14:textId="390436F3" w:rsidR="008B4090" w:rsidRPr="002C7DEE" w:rsidRDefault="008B4090" w:rsidP="00075724">
      <w:pPr>
        <w:jc w:val="both"/>
        <w:rPr>
          <w:rFonts w:ascii="Times" w:hAnsi="Times" w:cstheme="majorHAnsi"/>
          <w:b/>
          <w:sz w:val="22"/>
          <w:szCs w:val="22"/>
        </w:rPr>
      </w:pPr>
    </w:p>
    <w:p w14:paraId="71BCED21" w14:textId="77E1F78E" w:rsidR="004948CA" w:rsidRPr="002C7DEE" w:rsidRDefault="004948CA" w:rsidP="00075724">
      <w:pPr>
        <w:jc w:val="both"/>
        <w:rPr>
          <w:rFonts w:ascii="Times" w:hAnsi="Times" w:cstheme="majorHAnsi"/>
          <w:b/>
          <w:sz w:val="22"/>
          <w:szCs w:val="22"/>
        </w:rPr>
      </w:pPr>
    </w:p>
    <w:p w14:paraId="32E30A6F" w14:textId="330C7151" w:rsidR="004948CA" w:rsidRPr="002C7DEE" w:rsidRDefault="004948CA" w:rsidP="00075724">
      <w:pPr>
        <w:jc w:val="both"/>
        <w:rPr>
          <w:rFonts w:ascii="Times" w:hAnsi="Times" w:cstheme="majorHAnsi"/>
          <w:b/>
          <w:sz w:val="22"/>
          <w:szCs w:val="22"/>
        </w:rPr>
      </w:pPr>
    </w:p>
    <w:p w14:paraId="7F6404B7" w14:textId="7FC804AC" w:rsidR="004948CA" w:rsidRPr="002C7DEE" w:rsidRDefault="004948CA" w:rsidP="00075724">
      <w:pPr>
        <w:pStyle w:val="Heading1"/>
        <w:rPr>
          <w:rFonts w:ascii="Times" w:hAnsi="Times" w:cstheme="majorHAnsi"/>
          <w:b/>
          <w:sz w:val="22"/>
          <w:szCs w:val="22"/>
        </w:rPr>
      </w:pPr>
      <w:bookmarkStart w:id="10" w:name="_Toc166235142"/>
      <w:r w:rsidRPr="002C7DEE">
        <w:rPr>
          <w:rFonts w:ascii="Times" w:hAnsi="Times" w:cstheme="majorHAnsi"/>
          <w:b/>
          <w:sz w:val="22"/>
          <w:szCs w:val="22"/>
        </w:rPr>
        <w:t>Methods</w:t>
      </w:r>
      <w:bookmarkEnd w:id="10"/>
    </w:p>
    <w:p w14:paraId="59E7F031" w14:textId="37682C27" w:rsidR="004948CA" w:rsidRPr="002C7DEE" w:rsidRDefault="004948CA" w:rsidP="00075724">
      <w:pPr>
        <w:jc w:val="both"/>
        <w:rPr>
          <w:rFonts w:ascii="Times" w:hAnsi="Times" w:cstheme="majorHAnsi"/>
          <w:b/>
          <w:sz w:val="22"/>
          <w:szCs w:val="22"/>
        </w:rPr>
      </w:pPr>
    </w:p>
    <w:p w14:paraId="32729CC6" w14:textId="5479A1EF" w:rsidR="004948CA" w:rsidRPr="002C7DEE" w:rsidRDefault="004948CA" w:rsidP="00075724">
      <w:pPr>
        <w:pStyle w:val="Heading2"/>
        <w:rPr>
          <w:rFonts w:ascii="Times" w:hAnsi="Times" w:cstheme="majorHAnsi"/>
          <w:i/>
          <w:sz w:val="22"/>
          <w:szCs w:val="22"/>
        </w:rPr>
      </w:pPr>
      <w:bookmarkStart w:id="11" w:name="_Toc166235143"/>
      <w:r w:rsidRPr="002C7DEE">
        <w:rPr>
          <w:rFonts w:ascii="Times" w:hAnsi="Times" w:cstheme="majorHAnsi"/>
          <w:i/>
          <w:sz w:val="22"/>
          <w:szCs w:val="22"/>
        </w:rPr>
        <w:t>Study design and population</w:t>
      </w:r>
      <w:bookmarkEnd w:id="11"/>
      <w:r w:rsidRPr="002C7DEE">
        <w:rPr>
          <w:rFonts w:ascii="Times" w:hAnsi="Times" w:cstheme="majorHAnsi"/>
          <w:i/>
          <w:sz w:val="22"/>
          <w:szCs w:val="22"/>
        </w:rPr>
        <w:t xml:space="preserve"> </w:t>
      </w:r>
    </w:p>
    <w:p w14:paraId="06F31575" w14:textId="6F25B1A6" w:rsidR="006F34B6" w:rsidRPr="002C7DEE" w:rsidRDefault="006F34B6" w:rsidP="00075724">
      <w:pPr>
        <w:jc w:val="both"/>
        <w:rPr>
          <w:rFonts w:ascii="Times" w:hAnsi="Times" w:cstheme="majorHAnsi"/>
          <w:b/>
          <w:sz w:val="22"/>
          <w:szCs w:val="22"/>
        </w:rPr>
      </w:pPr>
    </w:p>
    <w:p w14:paraId="3AA542EE" w14:textId="7B9B0C8F" w:rsidR="005258E4" w:rsidRPr="002C7DEE" w:rsidRDefault="0088797A" w:rsidP="00075724">
      <w:pPr>
        <w:jc w:val="both"/>
        <w:rPr>
          <w:rFonts w:ascii="Times" w:hAnsi="Times" w:cstheme="majorHAnsi"/>
          <w:sz w:val="22"/>
          <w:szCs w:val="22"/>
        </w:rPr>
      </w:pPr>
      <w:r w:rsidRPr="002C7DEE">
        <w:rPr>
          <w:rFonts w:ascii="Times" w:hAnsi="Times" w:cstheme="majorHAnsi"/>
          <w:sz w:val="22"/>
          <w:szCs w:val="22"/>
        </w:rPr>
        <w:t xml:space="preserve">This is a prospective crossover study to </w:t>
      </w:r>
      <w:r w:rsidR="001A1D9B" w:rsidRPr="002C7DEE">
        <w:rPr>
          <w:rFonts w:ascii="Times" w:hAnsi="Times" w:cstheme="majorHAnsi"/>
          <w:sz w:val="22"/>
          <w:szCs w:val="22"/>
        </w:rPr>
        <w:t xml:space="preserve">assess </w:t>
      </w:r>
      <w:r w:rsidRPr="002C7DEE">
        <w:rPr>
          <w:rFonts w:ascii="Times" w:hAnsi="Times" w:cstheme="majorHAnsi"/>
          <w:sz w:val="22"/>
          <w:szCs w:val="22"/>
        </w:rPr>
        <w:t xml:space="preserve">efficacy of different dosing methods for </w:t>
      </w:r>
      <w:r w:rsidR="0053656B">
        <w:rPr>
          <w:rFonts w:ascii="Times" w:hAnsi="Times" w:cstheme="majorHAnsi"/>
          <w:sz w:val="22"/>
          <w:szCs w:val="22"/>
        </w:rPr>
        <w:t>LMWH</w:t>
      </w:r>
      <w:r w:rsidR="0053656B" w:rsidRPr="002C7DEE">
        <w:rPr>
          <w:rFonts w:ascii="Times" w:hAnsi="Times" w:cstheme="majorHAnsi"/>
          <w:sz w:val="22"/>
          <w:szCs w:val="22"/>
        </w:rPr>
        <w:t xml:space="preserve"> </w:t>
      </w:r>
      <w:r w:rsidR="004678C9" w:rsidRPr="002C7DEE">
        <w:rPr>
          <w:rFonts w:ascii="Times" w:hAnsi="Times" w:cstheme="majorHAnsi"/>
          <w:sz w:val="22"/>
          <w:szCs w:val="22"/>
        </w:rPr>
        <w:t>conducted at Monash Health, a tertiary hospital, in the outpatient population</w:t>
      </w:r>
      <w:r w:rsidRPr="002C7DEE">
        <w:rPr>
          <w:rFonts w:ascii="Times" w:hAnsi="Times" w:cstheme="majorHAnsi"/>
          <w:sz w:val="22"/>
          <w:szCs w:val="22"/>
        </w:rPr>
        <w:t>. There will be 2 groups, one comprising those on prophylactic dose enoxaparin, and the other therapeutic dosing</w:t>
      </w:r>
      <w:r w:rsidR="004678C9" w:rsidRPr="002C7DEE">
        <w:rPr>
          <w:rFonts w:ascii="Times" w:hAnsi="Times" w:cstheme="majorHAnsi"/>
          <w:sz w:val="22"/>
          <w:szCs w:val="22"/>
        </w:rPr>
        <w:t xml:space="preserve">. </w:t>
      </w:r>
      <w:r w:rsidR="005258E4" w:rsidRPr="002C7DEE">
        <w:rPr>
          <w:rFonts w:ascii="Times" w:hAnsi="Times" w:cstheme="majorHAnsi"/>
          <w:sz w:val="22"/>
          <w:szCs w:val="22"/>
        </w:rPr>
        <w:t xml:space="preserve">The target patient </w:t>
      </w:r>
      <w:r w:rsidR="004678C9" w:rsidRPr="002C7DEE">
        <w:rPr>
          <w:rFonts w:ascii="Times" w:hAnsi="Times" w:cstheme="majorHAnsi"/>
          <w:sz w:val="22"/>
          <w:szCs w:val="22"/>
        </w:rPr>
        <w:t>populations</w:t>
      </w:r>
      <w:r w:rsidR="005258E4" w:rsidRPr="002C7DEE">
        <w:rPr>
          <w:rFonts w:ascii="Times" w:hAnsi="Times" w:cstheme="majorHAnsi"/>
          <w:sz w:val="22"/>
          <w:szCs w:val="22"/>
        </w:rPr>
        <w:t xml:space="preserve"> will include pregnancy, active malignancy, and non-dialysis-dependent renal impairment. There will be no cut-off at either extreme of body weight. Patients must be stable on either prophylactic or therapeutic </w:t>
      </w:r>
      <w:r w:rsidR="0053656B">
        <w:rPr>
          <w:rFonts w:ascii="Times" w:hAnsi="Times" w:cstheme="majorHAnsi"/>
          <w:sz w:val="22"/>
          <w:szCs w:val="22"/>
        </w:rPr>
        <w:t>LMWH</w:t>
      </w:r>
      <w:r w:rsidR="005258E4" w:rsidRPr="002C7DEE">
        <w:rPr>
          <w:rFonts w:ascii="Times" w:hAnsi="Times" w:cstheme="majorHAnsi"/>
          <w:sz w:val="22"/>
          <w:szCs w:val="22"/>
        </w:rPr>
        <w:t xml:space="preserve">, and those with acute thrombosis within 4 weeks will not be included, though may be enrolled once they are clinically stable on therapy for more than 4 weeks, with a stable </w:t>
      </w:r>
      <w:r w:rsidR="0053656B">
        <w:rPr>
          <w:rFonts w:ascii="Times" w:hAnsi="Times" w:cstheme="majorHAnsi"/>
          <w:sz w:val="22"/>
          <w:szCs w:val="22"/>
        </w:rPr>
        <w:t>LMWH</w:t>
      </w:r>
      <w:r w:rsidR="0053656B" w:rsidRPr="002C7DEE">
        <w:rPr>
          <w:rFonts w:ascii="Times" w:hAnsi="Times" w:cstheme="majorHAnsi"/>
          <w:sz w:val="22"/>
          <w:szCs w:val="22"/>
        </w:rPr>
        <w:t xml:space="preserve"> </w:t>
      </w:r>
      <w:r w:rsidR="005258E4" w:rsidRPr="002C7DEE">
        <w:rPr>
          <w:rFonts w:ascii="Times" w:hAnsi="Times" w:cstheme="majorHAnsi"/>
          <w:sz w:val="22"/>
          <w:szCs w:val="22"/>
        </w:rPr>
        <w:t xml:space="preserve">dose and have a documented </w:t>
      </w:r>
      <w:r w:rsidR="00572CA0" w:rsidRPr="002C7DEE">
        <w:rPr>
          <w:rFonts w:ascii="Times" w:hAnsi="Times" w:cstheme="majorHAnsi"/>
          <w:sz w:val="22"/>
          <w:szCs w:val="22"/>
        </w:rPr>
        <w:t>anti-Xa</w:t>
      </w:r>
      <w:r w:rsidR="005258E4" w:rsidRPr="002C7DEE">
        <w:rPr>
          <w:rFonts w:ascii="Times" w:hAnsi="Times" w:cstheme="majorHAnsi"/>
          <w:sz w:val="22"/>
          <w:szCs w:val="22"/>
        </w:rPr>
        <w:t xml:space="preserve"> level within target range on </w:t>
      </w:r>
      <w:r w:rsidR="0053656B">
        <w:rPr>
          <w:rFonts w:ascii="Times" w:hAnsi="Times" w:cstheme="majorHAnsi"/>
          <w:sz w:val="22"/>
          <w:szCs w:val="22"/>
        </w:rPr>
        <w:t>that</w:t>
      </w:r>
      <w:r w:rsidR="005258E4" w:rsidRPr="002C7DEE">
        <w:rPr>
          <w:rFonts w:ascii="Times" w:hAnsi="Times" w:cstheme="majorHAnsi"/>
          <w:sz w:val="22"/>
          <w:szCs w:val="22"/>
        </w:rPr>
        <w:t xml:space="preserve"> dose. </w:t>
      </w:r>
    </w:p>
    <w:p w14:paraId="0D8F851D" w14:textId="408B0048" w:rsidR="0047341D" w:rsidRPr="002C7DEE" w:rsidRDefault="0047341D" w:rsidP="00075724">
      <w:pPr>
        <w:jc w:val="both"/>
        <w:rPr>
          <w:rFonts w:ascii="Times" w:hAnsi="Times" w:cstheme="majorHAnsi"/>
          <w:sz w:val="22"/>
          <w:szCs w:val="22"/>
        </w:rPr>
      </w:pPr>
    </w:p>
    <w:p w14:paraId="55F26A0C" w14:textId="350E5A1C" w:rsidR="0047341D" w:rsidRPr="002C7DEE" w:rsidRDefault="0047341D" w:rsidP="00075724">
      <w:pPr>
        <w:jc w:val="both"/>
        <w:rPr>
          <w:rFonts w:ascii="Times" w:hAnsi="Times" w:cstheme="majorHAnsi"/>
          <w:sz w:val="22"/>
          <w:szCs w:val="22"/>
        </w:rPr>
      </w:pPr>
    </w:p>
    <w:p w14:paraId="02A3C402" w14:textId="4FA4A243" w:rsidR="005258E4" w:rsidRPr="002C7DEE" w:rsidRDefault="005258E4" w:rsidP="00075724">
      <w:pPr>
        <w:pStyle w:val="Heading2"/>
        <w:rPr>
          <w:rFonts w:ascii="Times" w:hAnsi="Times" w:cstheme="majorHAnsi"/>
          <w:i/>
          <w:sz w:val="22"/>
          <w:szCs w:val="22"/>
        </w:rPr>
      </w:pPr>
      <w:bookmarkStart w:id="12" w:name="_Toc166235144"/>
      <w:r w:rsidRPr="002C7DEE">
        <w:rPr>
          <w:rFonts w:ascii="Times" w:hAnsi="Times" w:cstheme="majorHAnsi"/>
          <w:i/>
          <w:sz w:val="22"/>
          <w:szCs w:val="22"/>
        </w:rPr>
        <w:t>Study definitions</w:t>
      </w:r>
      <w:bookmarkEnd w:id="12"/>
    </w:p>
    <w:p w14:paraId="79F1C200" w14:textId="77777777" w:rsidR="005258E4" w:rsidRPr="002C7DEE" w:rsidRDefault="005258E4" w:rsidP="00075724">
      <w:pPr>
        <w:jc w:val="both"/>
        <w:rPr>
          <w:rFonts w:ascii="Times" w:hAnsi="Times" w:cstheme="majorHAnsi"/>
          <w:i/>
          <w:sz w:val="22"/>
          <w:szCs w:val="22"/>
        </w:rPr>
      </w:pPr>
    </w:p>
    <w:p w14:paraId="5B30A870" w14:textId="0AE5611A" w:rsidR="005258E4" w:rsidRPr="002C7DEE" w:rsidRDefault="00CE70DF" w:rsidP="00075724">
      <w:pPr>
        <w:jc w:val="both"/>
        <w:rPr>
          <w:rFonts w:ascii="Times" w:hAnsi="Times" w:cstheme="majorHAnsi"/>
          <w:sz w:val="22"/>
          <w:szCs w:val="22"/>
        </w:rPr>
      </w:pPr>
      <w:r w:rsidRPr="002C7DEE">
        <w:rPr>
          <w:rFonts w:ascii="Times" w:hAnsi="Times" w:cstheme="majorHAnsi"/>
          <w:sz w:val="22"/>
          <w:szCs w:val="22"/>
        </w:rPr>
        <w:t>Prophylactic dose</w:t>
      </w:r>
      <w:r w:rsidR="005258E4" w:rsidRPr="002C7DEE">
        <w:rPr>
          <w:rFonts w:ascii="Times" w:hAnsi="Times" w:cstheme="majorHAnsi"/>
          <w:sz w:val="22"/>
          <w:szCs w:val="22"/>
        </w:rPr>
        <w:t xml:space="preserve"> enoxaparin</w:t>
      </w:r>
      <w:r w:rsidR="00373C75" w:rsidRPr="002C7DEE">
        <w:rPr>
          <w:rFonts w:ascii="Times" w:hAnsi="Times" w:cstheme="majorHAnsi"/>
          <w:sz w:val="22"/>
          <w:szCs w:val="22"/>
        </w:rPr>
        <w:t>:</w:t>
      </w:r>
      <w:r w:rsidRPr="002C7DEE">
        <w:rPr>
          <w:rFonts w:ascii="Times" w:hAnsi="Times" w:cstheme="majorHAnsi"/>
          <w:sz w:val="22"/>
          <w:szCs w:val="22"/>
        </w:rPr>
        <w:t xml:space="preserve"> 20mg</w:t>
      </w:r>
      <w:r w:rsidR="007D1AC1" w:rsidRPr="002C7DEE">
        <w:rPr>
          <w:rFonts w:ascii="Times" w:hAnsi="Times" w:cstheme="majorHAnsi"/>
          <w:sz w:val="22"/>
          <w:szCs w:val="22"/>
        </w:rPr>
        <w:t xml:space="preserve"> (in renal failure defined as </w:t>
      </w:r>
      <w:r w:rsidR="0088797A" w:rsidRPr="002C7DEE">
        <w:rPr>
          <w:rFonts w:ascii="Times" w:hAnsi="Times" w:cstheme="majorHAnsi"/>
          <w:sz w:val="22"/>
          <w:szCs w:val="22"/>
        </w:rPr>
        <w:t xml:space="preserve">creatinine clearance, </w:t>
      </w:r>
      <w:r w:rsidR="007D1AC1" w:rsidRPr="002C7DEE">
        <w:rPr>
          <w:rFonts w:ascii="Times" w:hAnsi="Times" w:cstheme="majorHAnsi"/>
          <w:sz w:val="22"/>
          <w:szCs w:val="22"/>
        </w:rPr>
        <w:t>CrCl</w:t>
      </w:r>
      <w:r w:rsidR="0088797A" w:rsidRPr="002C7DEE">
        <w:rPr>
          <w:rFonts w:ascii="Times" w:hAnsi="Times" w:cstheme="majorHAnsi"/>
          <w:sz w:val="22"/>
          <w:szCs w:val="22"/>
        </w:rPr>
        <w:t xml:space="preserve">, </w:t>
      </w:r>
      <w:r w:rsidR="007D1AC1" w:rsidRPr="002C7DEE">
        <w:rPr>
          <w:rFonts w:ascii="Times" w:hAnsi="Times" w:cstheme="majorHAnsi"/>
          <w:sz w:val="22"/>
          <w:szCs w:val="22"/>
        </w:rPr>
        <w:t>&lt;30mL/min)</w:t>
      </w:r>
      <w:r w:rsidRPr="002C7DEE">
        <w:rPr>
          <w:rFonts w:ascii="Times" w:hAnsi="Times" w:cstheme="majorHAnsi"/>
          <w:sz w:val="22"/>
          <w:szCs w:val="22"/>
        </w:rPr>
        <w:t>, 40mg</w:t>
      </w:r>
      <w:r w:rsidR="007D1AC1" w:rsidRPr="002C7DEE">
        <w:rPr>
          <w:rFonts w:ascii="Times" w:hAnsi="Times" w:cstheme="majorHAnsi"/>
          <w:sz w:val="22"/>
          <w:szCs w:val="22"/>
        </w:rPr>
        <w:t>,</w:t>
      </w:r>
      <w:r w:rsidRPr="002C7DEE">
        <w:rPr>
          <w:rFonts w:ascii="Times" w:hAnsi="Times" w:cstheme="majorHAnsi"/>
          <w:sz w:val="22"/>
          <w:szCs w:val="22"/>
        </w:rPr>
        <w:t xml:space="preserve"> or 60mg</w:t>
      </w:r>
      <w:r w:rsidR="007D1AC1" w:rsidRPr="002C7DEE">
        <w:rPr>
          <w:rFonts w:ascii="Times" w:hAnsi="Times" w:cstheme="majorHAnsi"/>
          <w:sz w:val="22"/>
          <w:szCs w:val="22"/>
        </w:rPr>
        <w:t xml:space="preserve"> (as per local hospital guidelines in those with weight &gt;150kg)</w:t>
      </w:r>
      <w:r w:rsidRPr="002C7DEE">
        <w:rPr>
          <w:rFonts w:ascii="Times" w:hAnsi="Times" w:cstheme="majorHAnsi"/>
          <w:sz w:val="22"/>
          <w:szCs w:val="22"/>
        </w:rPr>
        <w:t xml:space="preserve"> administered once daily</w:t>
      </w:r>
      <w:r w:rsidR="0088797A" w:rsidRPr="002C7DEE">
        <w:rPr>
          <w:rFonts w:ascii="Times" w:hAnsi="Times" w:cstheme="majorHAnsi"/>
          <w:sz w:val="22"/>
          <w:szCs w:val="22"/>
        </w:rPr>
        <w:t xml:space="preserve">. </w:t>
      </w:r>
    </w:p>
    <w:p w14:paraId="65A0A532" w14:textId="6F1E6977" w:rsidR="005258E4" w:rsidRPr="002C7DEE" w:rsidRDefault="0088797A" w:rsidP="00075724">
      <w:pPr>
        <w:jc w:val="both"/>
        <w:rPr>
          <w:rFonts w:ascii="Times" w:hAnsi="Times" w:cstheme="majorHAnsi"/>
          <w:sz w:val="22"/>
          <w:szCs w:val="22"/>
        </w:rPr>
      </w:pPr>
      <w:r w:rsidRPr="002C7DEE">
        <w:rPr>
          <w:rFonts w:ascii="Times" w:hAnsi="Times" w:cstheme="majorHAnsi"/>
          <w:sz w:val="22"/>
          <w:szCs w:val="22"/>
        </w:rPr>
        <w:t>T</w:t>
      </w:r>
      <w:r w:rsidR="00CE70DF" w:rsidRPr="002C7DEE">
        <w:rPr>
          <w:rFonts w:ascii="Times" w:hAnsi="Times" w:cstheme="majorHAnsi"/>
          <w:sz w:val="22"/>
          <w:szCs w:val="22"/>
        </w:rPr>
        <w:t>herapeutic dose</w:t>
      </w:r>
      <w:r w:rsidR="00373C75" w:rsidRPr="002C7DEE">
        <w:rPr>
          <w:rFonts w:ascii="Times" w:hAnsi="Times" w:cstheme="majorHAnsi"/>
          <w:sz w:val="22"/>
          <w:szCs w:val="22"/>
        </w:rPr>
        <w:t xml:space="preserve"> enoxaparin</w:t>
      </w:r>
      <w:r w:rsidR="005258E4" w:rsidRPr="002C7DEE">
        <w:rPr>
          <w:rFonts w:ascii="Times" w:hAnsi="Times" w:cstheme="majorHAnsi"/>
          <w:sz w:val="22"/>
          <w:szCs w:val="22"/>
        </w:rPr>
        <w:t>:</w:t>
      </w:r>
      <w:r w:rsidR="00CE70DF" w:rsidRPr="002C7DEE">
        <w:rPr>
          <w:rFonts w:ascii="Times" w:hAnsi="Times" w:cstheme="majorHAnsi"/>
          <w:sz w:val="22"/>
          <w:szCs w:val="22"/>
        </w:rPr>
        <w:t xml:space="preserve"> 1mg/kg bd or once daily, </w:t>
      </w:r>
      <w:r w:rsidR="00C02621">
        <w:rPr>
          <w:rFonts w:ascii="Times" w:hAnsi="Times" w:cstheme="majorHAnsi"/>
          <w:sz w:val="22"/>
          <w:szCs w:val="22"/>
        </w:rPr>
        <w:t xml:space="preserve">and 1.5mg/kg daily, </w:t>
      </w:r>
      <w:r w:rsidR="00CE70DF" w:rsidRPr="002C7DEE">
        <w:rPr>
          <w:rFonts w:ascii="Times" w:hAnsi="Times" w:cstheme="majorHAnsi"/>
          <w:sz w:val="22"/>
          <w:szCs w:val="22"/>
        </w:rPr>
        <w:t xml:space="preserve">allowing for variation on this dosing </w:t>
      </w:r>
      <w:r w:rsidRPr="002C7DEE">
        <w:rPr>
          <w:rFonts w:ascii="Times" w:hAnsi="Times" w:cstheme="majorHAnsi"/>
          <w:sz w:val="22"/>
          <w:szCs w:val="22"/>
        </w:rPr>
        <w:t>as</w:t>
      </w:r>
      <w:r w:rsidR="00CE70DF" w:rsidRPr="002C7DEE">
        <w:rPr>
          <w:rFonts w:ascii="Times" w:hAnsi="Times" w:cstheme="majorHAnsi"/>
          <w:sz w:val="22"/>
          <w:szCs w:val="22"/>
        </w:rPr>
        <w:t xml:space="preserve"> indicated based on anti-Xa levels. </w:t>
      </w:r>
    </w:p>
    <w:p w14:paraId="5D85F0DA" w14:textId="0CB77D5F" w:rsidR="00356738" w:rsidRPr="002C7DEE" w:rsidRDefault="00356738" w:rsidP="00075724">
      <w:pPr>
        <w:jc w:val="both"/>
        <w:rPr>
          <w:rFonts w:ascii="Times" w:hAnsi="Times" w:cstheme="majorHAnsi"/>
          <w:sz w:val="22"/>
          <w:szCs w:val="22"/>
        </w:rPr>
      </w:pPr>
      <w:r w:rsidRPr="002C7DEE">
        <w:rPr>
          <w:rFonts w:ascii="Times" w:hAnsi="Times" w:cstheme="majorHAnsi"/>
          <w:sz w:val="22"/>
          <w:szCs w:val="22"/>
        </w:rPr>
        <w:t>Target aXa range (therapeutic dose enoxaparin): 0.5-1.2U/mL</w:t>
      </w:r>
      <w:r w:rsidR="00C02621">
        <w:rPr>
          <w:rFonts w:ascii="Times" w:hAnsi="Times" w:cstheme="majorHAnsi"/>
          <w:sz w:val="22"/>
          <w:szCs w:val="22"/>
        </w:rPr>
        <w:t xml:space="preserve"> for those receiving 1mg daily or bd, and 0.8-1.5U/mL for those receiving 1.5mg/kg daily</w:t>
      </w:r>
      <w:r w:rsidRPr="002C7DEE">
        <w:rPr>
          <w:rFonts w:ascii="Times" w:hAnsi="Times" w:cstheme="majorHAnsi"/>
          <w:sz w:val="22"/>
          <w:szCs w:val="22"/>
        </w:rPr>
        <w:t>.</w:t>
      </w:r>
    </w:p>
    <w:p w14:paraId="12E5E81A" w14:textId="7CC0E693" w:rsidR="00356738" w:rsidRDefault="00356738" w:rsidP="00075724">
      <w:pPr>
        <w:jc w:val="both"/>
        <w:rPr>
          <w:rFonts w:ascii="Times" w:hAnsi="Times" w:cstheme="majorHAnsi"/>
          <w:sz w:val="22"/>
          <w:szCs w:val="22"/>
        </w:rPr>
      </w:pPr>
      <w:r w:rsidRPr="002C7DEE">
        <w:rPr>
          <w:rFonts w:ascii="Times" w:hAnsi="Times" w:cstheme="majorHAnsi"/>
          <w:sz w:val="22"/>
          <w:szCs w:val="22"/>
        </w:rPr>
        <w:t>Expected aXa range (prophylactic dose enoxaparin): 0.</w:t>
      </w:r>
      <w:r w:rsidR="00142970">
        <w:rPr>
          <w:rFonts w:ascii="Times" w:hAnsi="Times" w:cstheme="majorHAnsi"/>
          <w:sz w:val="22"/>
          <w:szCs w:val="22"/>
        </w:rPr>
        <w:t>15</w:t>
      </w:r>
      <w:r w:rsidRPr="002C7DEE">
        <w:rPr>
          <w:rFonts w:ascii="Times" w:hAnsi="Times" w:cstheme="majorHAnsi"/>
          <w:sz w:val="22"/>
          <w:szCs w:val="22"/>
        </w:rPr>
        <w:t xml:space="preserve">-0.5U/mL. </w:t>
      </w:r>
    </w:p>
    <w:p w14:paraId="4CD66DD5" w14:textId="77777777" w:rsidR="0053656B" w:rsidRDefault="0053656B" w:rsidP="00075724">
      <w:pPr>
        <w:jc w:val="both"/>
        <w:rPr>
          <w:rFonts w:ascii="Times" w:hAnsi="Times" w:cstheme="majorHAnsi"/>
          <w:sz w:val="22"/>
          <w:szCs w:val="22"/>
        </w:rPr>
      </w:pPr>
    </w:p>
    <w:p w14:paraId="309ED29F" w14:textId="489ABD50" w:rsidR="0053656B" w:rsidRDefault="0053656B" w:rsidP="00075724">
      <w:pPr>
        <w:jc w:val="both"/>
        <w:rPr>
          <w:rFonts w:ascii="Times" w:hAnsi="Times" w:cstheme="majorHAnsi"/>
          <w:sz w:val="22"/>
          <w:szCs w:val="22"/>
        </w:rPr>
      </w:pPr>
      <w:r>
        <w:rPr>
          <w:rFonts w:ascii="Times" w:hAnsi="Times" w:cstheme="majorHAnsi"/>
          <w:sz w:val="22"/>
          <w:szCs w:val="22"/>
        </w:rPr>
        <w:t xml:space="preserve">Prophylactic dose Dalteparin (Fragmin): 2500 -5000 IU once or twice daily. </w:t>
      </w:r>
    </w:p>
    <w:p w14:paraId="79F2AE73" w14:textId="5A165C94" w:rsidR="0053656B" w:rsidRDefault="0053656B" w:rsidP="00075724">
      <w:pPr>
        <w:jc w:val="both"/>
        <w:rPr>
          <w:rFonts w:ascii="Times" w:hAnsi="Times" w:cstheme="majorHAnsi"/>
          <w:sz w:val="22"/>
          <w:szCs w:val="22"/>
        </w:rPr>
      </w:pPr>
      <w:r>
        <w:rPr>
          <w:rFonts w:ascii="Times" w:hAnsi="Times" w:cstheme="majorHAnsi"/>
          <w:sz w:val="22"/>
          <w:szCs w:val="22"/>
        </w:rPr>
        <w:t>Therapeutic dose Dalteparin: 100-120 IU/kg twice daily or as indicated by anti-Xa levels.</w:t>
      </w:r>
    </w:p>
    <w:p w14:paraId="26CF1D5E" w14:textId="153B63F4" w:rsidR="0053656B" w:rsidRDefault="0053656B" w:rsidP="00075724">
      <w:pPr>
        <w:jc w:val="both"/>
        <w:rPr>
          <w:rFonts w:ascii="Times" w:hAnsi="Times" w:cstheme="majorHAnsi"/>
          <w:sz w:val="22"/>
          <w:szCs w:val="22"/>
        </w:rPr>
      </w:pPr>
      <w:r>
        <w:rPr>
          <w:rFonts w:ascii="Times" w:hAnsi="Times" w:cstheme="majorHAnsi"/>
          <w:sz w:val="22"/>
          <w:szCs w:val="22"/>
        </w:rPr>
        <w:t>Target anti-Xa range (therapeutic dose dalteparin): 0.5-1.5 IU/mL.</w:t>
      </w:r>
    </w:p>
    <w:p w14:paraId="7707C288" w14:textId="5EBC9949" w:rsidR="0053656B" w:rsidRPr="002C7DEE" w:rsidRDefault="0053656B" w:rsidP="00075724">
      <w:pPr>
        <w:jc w:val="both"/>
        <w:rPr>
          <w:rFonts w:ascii="Times" w:hAnsi="Times" w:cstheme="majorHAnsi"/>
          <w:sz w:val="22"/>
          <w:szCs w:val="22"/>
        </w:rPr>
      </w:pPr>
      <w:r>
        <w:rPr>
          <w:rFonts w:ascii="Times" w:hAnsi="Times" w:cstheme="majorHAnsi"/>
          <w:sz w:val="22"/>
          <w:szCs w:val="22"/>
        </w:rPr>
        <w:t xml:space="preserve">Target anti-Xa range (prophylactic dose dalteparin): </w:t>
      </w:r>
      <w:r w:rsidR="00F2545C">
        <w:rPr>
          <w:rFonts w:ascii="Times" w:hAnsi="Times" w:cstheme="majorHAnsi"/>
          <w:sz w:val="22"/>
          <w:szCs w:val="22"/>
        </w:rPr>
        <w:t xml:space="preserve">Poorly defined, 0.15-0.5 IU/mL will be used for this study. </w:t>
      </w:r>
    </w:p>
    <w:p w14:paraId="7D083695" w14:textId="59EA35E1" w:rsidR="00816F5A" w:rsidRPr="002C7DEE" w:rsidRDefault="00816F5A" w:rsidP="00075724">
      <w:pPr>
        <w:jc w:val="both"/>
        <w:rPr>
          <w:rFonts w:ascii="Times" w:hAnsi="Times" w:cstheme="majorHAnsi"/>
          <w:sz w:val="22"/>
          <w:szCs w:val="22"/>
        </w:rPr>
      </w:pPr>
    </w:p>
    <w:p w14:paraId="759A7B44" w14:textId="77777777" w:rsidR="0088797A" w:rsidRPr="002C7DEE" w:rsidRDefault="0088797A" w:rsidP="00075724">
      <w:pPr>
        <w:pStyle w:val="Heading2"/>
        <w:rPr>
          <w:rFonts w:ascii="Times" w:hAnsi="Times" w:cstheme="majorHAnsi"/>
          <w:i/>
          <w:sz w:val="22"/>
          <w:szCs w:val="22"/>
        </w:rPr>
      </w:pPr>
      <w:bookmarkStart w:id="13" w:name="_Toc166235145"/>
      <w:r w:rsidRPr="002C7DEE">
        <w:rPr>
          <w:rFonts w:ascii="Times" w:hAnsi="Times" w:cstheme="majorHAnsi"/>
          <w:i/>
          <w:sz w:val="22"/>
          <w:szCs w:val="22"/>
        </w:rPr>
        <w:t>Inclusion criteria</w:t>
      </w:r>
      <w:bookmarkEnd w:id="13"/>
    </w:p>
    <w:p w14:paraId="09C1D108" w14:textId="6C460D35" w:rsidR="0088797A" w:rsidRPr="001772AF" w:rsidRDefault="0088797A" w:rsidP="001772AF">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Adults </w:t>
      </w:r>
      <w:r w:rsidR="00142D1F" w:rsidRPr="002C7DEE">
        <w:rPr>
          <w:rFonts w:ascii="Times" w:hAnsi="Times"/>
        </w:rPr>
        <w:t>≥</w:t>
      </w:r>
      <w:r w:rsidRPr="002C7DEE">
        <w:rPr>
          <w:rFonts w:ascii="Times" w:hAnsi="Times" w:cstheme="majorHAnsi"/>
          <w:sz w:val="22"/>
          <w:szCs w:val="22"/>
        </w:rPr>
        <w:t>18 years and able to provide informed consent</w:t>
      </w:r>
      <w:r w:rsidR="00047823" w:rsidRPr="002C7DEE">
        <w:rPr>
          <w:rFonts w:ascii="Times" w:hAnsi="Times" w:cstheme="majorHAnsi"/>
          <w:sz w:val="22"/>
          <w:szCs w:val="22"/>
        </w:rPr>
        <w:t xml:space="preserve"> currently receiving either prophylactic or therapeutic dose enoxaparin</w:t>
      </w:r>
    </w:p>
    <w:p w14:paraId="6B7CDBFF" w14:textId="063DC9EE"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Stable on current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 xml:space="preserve">dose for at least one week </w:t>
      </w:r>
    </w:p>
    <w:p w14:paraId="3010B967" w14:textId="0B786C3B"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Anticipated</w:t>
      </w:r>
      <w:r w:rsidR="00356738" w:rsidRPr="002C7DEE">
        <w:rPr>
          <w:rFonts w:ascii="Times" w:hAnsi="Times" w:cstheme="majorHAnsi"/>
          <w:sz w:val="22"/>
          <w:szCs w:val="22"/>
        </w:rPr>
        <w:t xml:space="preserve"> duration of</w:t>
      </w:r>
      <w:r w:rsidRPr="002C7DEE">
        <w:rPr>
          <w:rFonts w:ascii="Times" w:hAnsi="Times" w:cstheme="majorHAnsi"/>
          <w:sz w:val="22"/>
          <w:szCs w:val="22"/>
        </w:rPr>
        <w:t xml:space="preserve">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therapy 4 weeks</w:t>
      </w:r>
      <w:r w:rsidR="00356738" w:rsidRPr="002C7DEE">
        <w:rPr>
          <w:rFonts w:ascii="Times" w:hAnsi="Times" w:cstheme="majorHAnsi"/>
          <w:sz w:val="22"/>
          <w:szCs w:val="22"/>
        </w:rPr>
        <w:t xml:space="preserve"> or longer</w:t>
      </w:r>
    </w:p>
    <w:p w14:paraId="0CA57053" w14:textId="77777777"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Able to demonstrate competency at self-injecting via subcutaneous catheter</w:t>
      </w:r>
    </w:p>
    <w:p w14:paraId="51A075F2" w14:textId="677F4CFF"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No risk of major bleeding, as per clinician discretion</w:t>
      </w:r>
    </w:p>
    <w:p w14:paraId="13D9B383" w14:textId="408A8A21"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Anti-Xa levels </w:t>
      </w:r>
      <w:r w:rsidR="005258E4" w:rsidRPr="002C7DEE">
        <w:rPr>
          <w:rFonts w:ascii="Times" w:hAnsi="Times" w:cstheme="majorHAnsi"/>
          <w:sz w:val="22"/>
          <w:szCs w:val="22"/>
        </w:rPr>
        <w:t>in those requiring them as per</w:t>
      </w:r>
      <w:r w:rsidRPr="002C7DEE">
        <w:rPr>
          <w:rFonts w:ascii="Times" w:hAnsi="Times" w:cstheme="majorHAnsi"/>
          <w:sz w:val="22"/>
          <w:szCs w:val="22"/>
        </w:rPr>
        <w:t xml:space="preserve"> standard of care prior to commencement of study</w:t>
      </w:r>
    </w:p>
    <w:p w14:paraId="21C85FF7" w14:textId="1649A81A" w:rsidR="0088797A" w:rsidRPr="002C7DEE" w:rsidRDefault="0088797A"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lastRenderedPageBreak/>
        <w:t xml:space="preserve">For those with dose titration or clinical concern, demonstration with at least 1 peak anti-Xa level within target range </w:t>
      </w:r>
    </w:p>
    <w:p w14:paraId="1F164320" w14:textId="77777777" w:rsidR="0088797A" w:rsidRPr="002C7DEE" w:rsidRDefault="0088797A" w:rsidP="00075724">
      <w:pPr>
        <w:jc w:val="both"/>
        <w:rPr>
          <w:rFonts w:ascii="Times" w:hAnsi="Times" w:cstheme="majorHAnsi"/>
          <w:sz w:val="22"/>
          <w:szCs w:val="22"/>
        </w:rPr>
      </w:pPr>
    </w:p>
    <w:p w14:paraId="3419E589" w14:textId="77777777" w:rsidR="0088797A" w:rsidRPr="002C7DEE" w:rsidRDefault="0088797A" w:rsidP="00075724">
      <w:pPr>
        <w:pStyle w:val="Heading2"/>
        <w:rPr>
          <w:rFonts w:ascii="Times" w:hAnsi="Times" w:cstheme="majorHAnsi"/>
          <w:i/>
          <w:sz w:val="22"/>
          <w:szCs w:val="22"/>
        </w:rPr>
      </w:pPr>
      <w:bookmarkStart w:id="14" w:name="_Toc166235146"/>
      <w:r w:rsidRPr="002C7DEE">
        <w:rPr>
          <w:rFonts w:ascii="Times" w:hAnsi="Times" w:cstheme="majorHAnsi"/>
          <w:i/>
          <w:sz w:val="22"/>
          <w:szCs w:val="22"/>
        </w:rPr>
        <w:t>Exclusion criteria</w:t>
      </w:r>
      <w:bookmarkEnd w:id="14"/>
    </w:p>
    <w:p w14:paraId="60879A79" w14:textId="77777777"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Unable to provide informed consent</w:t>
      </w:r>
    </w:p>
    <w:p w14:paraId="4D3E0EC4" w14:textId="77777777"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Dialysis dependent renal failure </w:t>
      </w:r>
    </w:p>
    <w:p w14:paraId="60C943E0" w14:textId="16DE3BE1"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Inability to comply with testing and follow-up requirements</w:t>
      </w:r>
    </w:p>
    <w:p w14:paraId="66ABD39E" w14:textId="654D2A9B" w:rsidR="00356738" w:rsidRPr="002C7DEE" w:rsidRDefault="00356738"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Contraindication to anticoagulation therapy</w:t>
      </w:r>
    </w:p>
    <w:p w14:paraId="243DDDF1" w14:textId="77777777"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Acute thrombosis (within 4 weeks of diagnosis)</w:t>
      </w:r>
    </w:p>
    <w:p w14:paraId="747819CD" w14:textId="22C2A472"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Risk of major bleeding necessitating regular </w:t>
      </w:r>
      <w:r w:rsidR="00572CA0" w:rsidRPr="002C7DEE">
        <w:rPr>
          <w:rFonts w:ascii="Times" w:hAnsi="Times" w:cstheme="majorHAnsi"/>
          <w:sz w:val="22"/>
          <w:szCs w:val="22"/>
        </w:rPr>
        <w:t>anti-</w:t>
      </w:r>
      <w:r w:rsidRPr="002C7DEE">
        <w:rPr>
          <w:rFonts w:ascii="Times" w:hAnsi="Times" w:cstheme="majorHAnsi"/>
          <w:sz w:val="22"/>
          <w:szCs w:val="22"/>
        </w:rPr>
        <w:t>Xa levels to assess anticoagulation dose</w:t>
      </w:r>
    </w:p>
    <w:p w14:paraId="3E82B09A" w14:textId="25DCD2D3" w:rsidR="0088797A"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Those requiring </w:t>
      </w:r>
      <w:r w:rsidR="0053656B">
        <w:rPr>
          <w:rFonts w:ascii="Times" w:hAnsi="Times" w:cstheme="majorHAnsi"/>
          <w:sz w:val="22"/>
          <w:szCs w:val="22"/>
        </w:rPr>
        <w:t>LMWH</w:t>
      </w:r>
      <w:r w:rsidR="0053656B" w:rsidRPr="002C7DEE">
        <w:rPr>
          <w:rFonts w:ascii="Times" w:hAnsi="Times" w:cstheme="majorHAnsi"/>
          <w:sz w:val="22"/>
          <w:szCs w:val="22"/>
        </w:rPr>
        <w:t xml:space="preserve"> </w:t>
      </w:r>
      <w:r w:rsidRPr="002C7DEE">
        <w:rPr>
          <w:rFonts w:ascii="Times" w:hAnsi="Times" w:cstheme="majorHAnsi"/>
          <w:sz w:val="22"/>
          <w:szCs w:val="22"/>
        </w:rPr>
        <w:t xml:space="preserve">dose adjustment for off-target anti-Xa levels </w:t>
      </w:r>
    </w:p>
    <w:p w14:paraId="64795D72" w14:textId="56F92BA8" w:rsidR="00356738" w:rsidRPr="002C7DEE" w:rsidRDefault="0088797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Upcoming surgery or procedure during the timeframe of the study</w:t>
      </w:r>
    </w:p>
    <w:p w14:paraId="300CAE30" w14:textId="0F8B28D7" w:rsidR="00572CA0" w:rsidRPr="002C7DEE" w:rsidRDefault="00572CA0"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Use of other anticoagulant therapies (see prohibited medications)</w:t>
      </w:r>
    </w:p>
    <w:p w14:paraId="0584B8F9" w14:textId="403CE89B" w:rsidR="0088797A" w:rsidRPr="002C7DEE" w:rsidRDefault="0088797A" w:rsidP="00075724">
      <w:pPr>
        <w:jc w:val="both"/>
        <w:rPr>
          <w:rFonts w:ascii="Times" w:hAnsi="Times" w:cstheme="majorHAnsi"/>
          <w:sz w:val="22"/>
          <w:szCs w:val="22"/>
        </w:rPr>
      </w:pPr>
    </w:p>
    <w:p w14:paraId="6CF847B9" w14:textId="77777777" w:rsidR="008220E8" w:rsidRPr="002C7DEE" w:rsidRDefault="008220E8" w:rsidP="00075724">
      <w:pPr>
        <w:jc w:val="both"/>
        <w:rPr>
          <w:rFonts w:ascii="Times" w:hAnsi="Times" w:cstheme="majorHAnsi"/>
          <w:i/>
          <w:sz w:val="22"/>
          <w:szCs w:val="22"/>
        </w:rPr>
      </w:pPr>
    </w:p>
    <w:p w14:paraId="564E7D9F" w14:textId="7C9D450C" w:rsidR="008220E8" w:rsidRPr="002C7DEE" w:rsidRDefault="008220E8" w:rsidP="00075724">
      <w:pPr>
        <w:pStyle w:val="Heading2"/>
        <w:rPr>
          <w:rFonts w:ascii="Times" w:hAnsi="Times" w:cstheme="majorHAnsi"/>
          <w:i/>
          <w:sz w:val="22"/>
          <w:szCs w:val="22"/>
        </w:rPr>
      </w:pPr>
      <w:bookmarkStart w:id="15" w:name="_Toc166235147"/>
      <w:r w:rsidRPr="002C7DEE">
        <w:rPr>
          <w:rFonts w:ascii="Times" w:hAnsi="Times" w:cstheme="majorHAnsi"/>
          <w:i/>
          <w:sz w:val="22"/>
          <w:szCs w:val="22"/>
        </w:rPr>
        <w:t>Trial medication</w:t>
      </w:r>
      <w:bookmarkEnd w:id="15"/>
    </w:p>
    <w:p w14:paraId="386ED58C" w14:textId="7953F663" w:rsidR="008220E8" w:rsidRPr="002C7DEE" w:rsidRDefault="0053656B" w:rsidP="00075724">
      <w:pPr>
        <w:jc w:val="both"/>
        <w:rPr>
          <w:rFonts w:ascii="Times" w:hAnsi="Times" w:cstheme="majorHAnsi"/>
          <w:sz w:val="22"/>
          <w:szCs w:val="22"/>
        </w:rPr>
      </w:pPr>
      <w:r>
        <w:rPr>
          <w:rFonts w:ascii="Times" w:hAnsi="Times" w:cstheme="majorHAnsi"/>
          <w:sz w:val="22"/>
          <w:szCs w:val="22"/>
        </w:rPr>
        <w:t>Low molecular weight heparin</w:t>
      </w:r>
      <w:r w:rsidR="00F2545C">
        <w:rPr>
          <w:rFonts w:ascii="Times" w:hAnsi="Times" w:cstheme="majorHAnsi"/>
          <w:sz w:val="22"/>
          <w:szCs w:val="22"/>
        </w:rPr>
        <w:t>s</w:t>
      </w:r>
      <w:r>
        <w:rPr>
          <w:rFonts w:ascii="Times" w:hAnsi="Times" w:cstheme="majorHAnsi"/>
          <w:sz w:val="22"/>
          <w:szCs w:val="22"/>
        </w:rPr>
        <w:t xml:space="preserve"> such as e</w:t>
      </w:r>
      <w:r w:rsidR="008220E8" w:rsidRPr="002C7DEE">
        <w:rPr>
          <w:rFonts w:ascii="Times" w:hAnsi="Times" w:cstheme="majorHAnsi"/>
          <w:sz w:val="22"/>
          <w:szCs w:val="22"/>
        </w:rPr>
        <w:t>noxaparin</w:t>
      </w:r>
      <w:r w:rsidR="00F2545C">
        <w:rPr>
          <w:rFonts w:ascii="Times" w:hAnsi="Times" w:cstheme="majorHAnsi"/>
          <w:sz w:val="22"/>
          <w:szCs w:val="22"/>
        </w:rPr>
        <w:t xml:space="preserve"> and dalteparin</w:t>
      </w:r>
      <w:r w:rsidR="008220E8" w:rsidRPr="002C7DEE">
        <w:rPr>
          <w:rFonts w:ascii="Times" w:hAnsi="Times" w:cstheme="majorHAnsi"/>
          <w:sz w:val="22"/>
          <w:szCs w:val="22"/>
        </w:rPr>
        <w:t xml:space="preserve"> </w:t>
      </w:r>
      <w:r>
        <w:rPr>
          <w:rFonts w:ascii="Times" w:hAnsi="Times" w:cstheme="majorHAnsi"/>
          <w:sz w:val="22"/>
          <w:szCs w:val="22"/>
        </w:rPr>
        <w:t>are</w:t>
      </w:r>
      <w:r w:rsidR="008220E8" w:rsidRPr="002C7DEE">
        <w:rPr>
          <w:rFonts w:ascii="Times" w:hAnsi="Times" w:cstheme="majorHAnsi"/>
          <w:sz w:val="22"/>
          <w:szCs w:val="22"/>
        </w:rPr>
        <w:t xml:space="preserve"> widely used anticoagulant therap</w:t>
      </w:r>
      <w:r>
        <w:rPr>
          <w:rFonts w:ascii="Times" w:hAnsi="Times" w:cstheme="majorHAnsi"/>
          <w:sz w:val="22"/>
          <w:szCs w:val="22"/>
        </w:rPr>
        <w:t>ies</w:t>
      </w:r>
      <w:r w:rsidR="008220E8" w:rsidRPr="002C7DEE">
        <w:rPr>
          <w:rFonts w:ascii="Times" w:hAnsi="Times" w:cstheme="majorHAnsi"/>
          <w:sz w:val="22"/>
          <w:szCs w:val="22"/>
        </w:rPr>
        <w:t xml:space="preserve"> administered as a subcutaneous injection either once or twice per day to prevent or treat blood clots. Dosing is based on weight, clinical indication for therapy, </w:t>
      </w:r>
      <w:r w:rsidR="00605D20" w:rsidRPr="002C7DEE">
        <w:rPr>
          <w:rFonts w:ascii="Times" w:hAnsi="Times" w:cstheme="majorHAnsi"/>
          <w:sz w:val="22"/>
          <w:szCs w:val="22"/>
        </w:rPr>
        <w:t xml:space="preserve">and renal function. </w:t>
      </w:r>
      <w:r w:rsidR="008220E8" w:rsidRPr="002C7DEE">
        <w:rPr>
          <w:rFonts w:ascii="Times" w:hAnsi="Times" w:cstheme="majorHAnsi"/>
          <w:sz w:val="22"/>
          <w:szCs w:val="22"/>
        </w:rPr>
        <w:t xml:space="preserve">Common side effects include </w:t>
      </w:r>
      <w:r w:rsidR="00605D20" w:rsidRPr="002C7DEE">
        <w:rPr>
          <w:rFonts w:ascii="Times" w:hAnsi="Times" w:cstheme="majorHAnsi"/>
          <w:sz w:val="22"/>
          <w:szCs w:val="22"/>
        </w:rPr>
        <w:t>bruising, erythema and pain at injection sides, and increased risk of bleeding (both major and minor bleeding). Less common side effects include oedema, nausea, deranged liver function</w:t>
      </w:r>
      <w:r w:rsidR="0055608B" w:rsidRPr="002C7DEE">
        <w:rPr>
          <w:rFonts w:ascii="Times" w:hAnsi="Times" w:cstheme="majorHAnsi"/>
          <w:sz w:val="22"/>
          <w:szCs w:val="22"/>
        </w:rPr>
        <w:t xml:space="preserve"> tests</w:t>
      </w:r>
      <w:r w:rsidR="00605D20" w:rsidRPr="002C7DEE">
        <w:rPr>
          <w:rFonts w:ascii="Times" w:hAnsi="Times" w:cstheme="majorHAnsi"/>
          <w:sz w:val="22"/>
          <w:szCs w:val="22"/>
        </w:rPr>
        <w:t>, fever, and confusion</w:t>
      </w:r>
      <w:r w:rsidR="001C4430" w:rsidRPr="002C7DEE">
        <w:rPr>
          <w:rFonts w:ascii="Times" w:hAnsi="Times" w:cstheme="majorHAnsi"/>
          <w:sz w:val="22"/>
          <w:szCs w:val="22"/>
        </w:rPr>
        <w:t>[34]</w:t>
      </w:r>
      <w:r w:rsidR="00605D20" w:rsidRPr="002C7DEE">
        <w:rPr>
          <w:rFonts w:ascii="Times" w:hAnsi="Times" w:cstheme="majorHAnsi"/>
          <w:sz w:val="22"/>
          <w:szCs w:val="22"/>
        </w:rPr>
        <w:t xml:space="preserve">. </w:t>
      </w:r>
    </w:p>
    <w:p w14:paraId="035D719E" w14:textId="77777777" w:rsidR="008220E8" w:rsidRPr="002C7DEE" w:rsidRDefault="008220E8" w:rsidP="00075724">
      <w:pPr>
        <w:jc w:val="both"/>
        <w:rPr>
          <w:rFonts w:ascii="Times" w:hAnsi="Times" w:cstheme="majorHAnsi"/>
          <w:i/>
          <w:sz w:val="22"/>
          <w:szCs w:val="22"/>
        </w:rPr>
      </w:pPr>
    </w:p>
    <w:p w14:paraId="7BB45FAA" w14:textId="4F5B79D3" w:rsidR="00035D40" w:rsidRPr="002C7DEE" w:rsidRDefault="00572CA0" w:rsidP="00075724">
      <w:pPr>
        <w:pStyle w:val="Heading3"/>
        <w:rPr>
          <w:rFonts w:ascii="Times" w:hAnsi="Times" w:cstheme="majorHAnsi"/>
          <w:i/>
          <w:sz w:val="22"/>
          <w:szCs w:val="22"/>
        </w:rPr>
      </w:pPr>
      <w:bookmarkStart w:id="16" w:name="_Toc166235148"/>
      <w:r w:rsidRPr="002C7DEE">
        <w:rPr>
          <w:rFonts w:ascii="Times" w:hAnsi="Times" w:cstheme="majorHAnsi"/>
          <w:i/>
          <w:sz w:val="22"/>
          <w:szCs w:val="22"/>
        </w:rPr>
        <w:t>Concomitant medications</w:t>
      </w:r>
      <w:bookmarkEnd w:id="16"/>
    </w:p>
    <w:p w14:paraId="2E5013D3" w14:textId="77777777" w:rsidR="00572CA0" w:rsidRPr="002C7DEE" w:rsidRDefault="00572CA0"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Prohibited medications</w:t>
      </w:r>
    </w:p>
    <w:p w14:paraId="6A21142D" w14:textId="7B722140" w:rsidR="00572CA0" w:rsidRPr="002C7DEE" w:rsidRDefault="00572CA0"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t>Alternate anticoagulant therapy, including warfarin and direct oral anticoagulants.</w:t>
      </w:r>
    </w:p>
    <w:p w14:paraId="64729E44" w14:textId="7449E229" w:rsidR="00360AC1" w:rsidRPr="002C7DEE" w:rsidRDefault="00360AC1"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t>Mifepristone</w:t>
      </w:r>
    </w:p>
    <w:p w14:paraId="517647F0" w14:textId="061BA8E8" w:rsidR="00360AC1" w:rsidRPr="002C7DEE" w:rsidRDefault="00360AC1"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t>Vorapaxar</w:t>
      </w:r>
    </w:p>
    <w:p w14:paraId="142E265E" w14:textId="130A5885" w:rsidR="00572CA0" w:rsidRPr="002C7DEE" w:rsidRDefault="00572CA0"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Permitted medications</w:t>
      </w:r>
      <w:r w:rsidR="00105020" w:rsidRPr="002C7DEE">
        <w:rPr>
          <w:rFonts w:ascii="Times" w:hAnsi="Times" w:cstheme="majorHAnsi"/>
          <w:sz w:val="22"/>
          <w:szCs w:val="22"/>
        </w:rPr>
        <w:t xml:space="preserve"> which may increase bleeding risk</w:t>
      </w:r>
    </w:p>
    <w:p w14:paraId="35B7621E" w14:textId="1C3C20DF" w:rsidR="00572CA0" w:rsidRPr="002C7DEE" w:rsidRDefault="00572CA0"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t>Antiplatelet agents (aspirin, clopidogrel, ticagrelor) as clinically indicated</w:t>
      </w:r>
    </w:p>
    <w:p w14:paraId="0B5AA5E6" w14:textId="525768E4" w:rsidR="00572CA0" w:rsidRPr="002C7DEE" w:rsidRDefault="00572CA0"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t xml:space="preserve">Non-steroidal anti-inflammatory </w:t>
      </w:r>
      <w:r w:rsidR="00105020" w:rsidRPr="002C7DEE">
        <w:rPr>
          <w:rFonts w:ascii="Times" w:hAnsi="Times" w:cstheme="majorHAnsi"/>
          <w:sz w:val="22"/>
          <w:szCs w:val="22"/>
        </w:rPr>
        <w:t>drugs (NSAIDs)</w:t>
      </w:r>
      <w:r w:rsidRPr="002C7DEE">
        <w:rPr>
          <w:rFonts w:ascii="Times" w:hAnsi="Times" w:cstheme="majorHAnsi"/>
          <w:sz w:val="22"/>
          <w:szCs w:val="22"/>
        </w:rPr>
        <w:t xml:space="preserve"> </w:t>
      </w:r>
      <w:r w:rsidR="00105020" w:rsidRPr="002C7DEE">
        <w:rPr>
          <w:rFonts w:ascii="Times" w:hAnsi="Times" w:cstheme="majorHAnsi"/>
          <w:sz w:val="22"/>
          <w:szCs w:val="22"/>
        </w:rPr>
        <w:t>if clinically indicated</w:t>
      </w:r>
    </w:p>
    <w:p w14:paraId="37CB6619" w14:textId="77777777" w:rsidR="00360AC1" w:rsidRPr="002C7DEE" w:rsidRDefault="00360AC1" w:rsidP="00075724">
      <w:pPr>
        <w:pStyle w:val="ListParagraph"/>
        <w:numPr>
          <w:ilvl w:val="1"/>
          <w:numId w:val="1"/>
        </w:numPr>
        <w:jc w:val="both"/>
        <w:rPr>
          <w:rFonts w:ascii="Times" w:hAnsi="Times" w:cstheme="majorHAnsi"/>
          <w:sz w:val="22"/>
          <w:szCs w:val="22"/>
        </w:rPr>
      </w:pPr>
      <w:r w:rsidRPr="002C7DEE">
        <w:rPr>
          <w:rFonts w:ascii="Times" w:hAnsi="Times" w:cstheme="majorHAnsi"/>
          <w:sz w:val="22"/>
          <w:szCs w:val="22"/>
        </w:rPr>
        <w:t>Other medications with potential antiplatelet or anticoagulant effect</w:t>
      </w:r>
    </w:p>
    <w:p w14:paraId="4036D87F" w14:textId="47266711" w:rsidR="00105020" w:rsidRPr="002C7DEE" w:rsidRDefault="00105020" w:rsidP="00075724">
      <w:pPr>
        <w:pStyle w:val="ListParagraph"/>
        <w:numPr>
          <w:ilvl w:val="2"/>
          <w:numId w:val="1"/>
        </w:numPr>
        <w:jc w:val="both"/>
        <w:rPr>
          <w:rFonts w:ascii="Times" w:hAnsi="Times" w:cstheme="majorHAnsi"/>
          <w:sz w:val="22"/>
          <w:szCs w:val="22"/>
        </w:rPr>
      </w:pPr>
      <w:r w:rsidRPr="002C7DEE">
        <w:rPr>
          <w:rFonts w:ascii="Times" w:hAnsi="Times" w:cstheme="majorHAnsi"/>
          <w:sz w:val="22"/>
          <w:szCs w:val="22"/>
        </w:rPr>
        <w:t>Fish oil/krill oil</w:t>
      </w:r>
      <w:r w:rsidR="00360AC1" w:rsidRPr="002C7DEE">
        <w:rPr>
          <w:rFonts w:ascii="Times" w:hAnsi="Times" w:cstheme="majorHAnsi"/>
          <w:sz w:val="22"/>
          <w:szCs w:val="22"/>
        </w:rPr>
        <w:t>, vitamin E</w:t>
      </w:r>
    </w:p>
    <w:p w14:paraId="1584E39F" w14:textId="5B36A2ED" w:rsidR="00360AC1" w:rsidRPr="002C7DEE" w:rsidRDefault="00360AC1" w:rsidP="00075724">
      <w:pPr>
        <w:pStyle w:val="ListParagraph"/>
        <w:numPr>
          <w:ilvl w:val="2"/>
          <w:numId w:val="1"/>
        </w:numPr>
        <w:jc w:val="both"/>
        <w:rPr>
          <w:rFonts w:ascii="Times" w:hAnsi="Times" w:cstheme="majorHAnsi"/>
          <w:sz w:val="22"/>
          <w:szCs w:val="22"/>
        </w:rPr>
      </w:pPr>
      <w:r w:rsidRPr="002C7DEE">
        <w:rPr>
          <w:rFonts w:ascii="Times" w:hAnsi="Times" w:cstheme="majorHAnsi"/>
          <w:sz w:val="22"/>
          <w:szCs w:val="22"/>
        </w:rPr>
        <w:t>Bruton Tyrosine Kinase Inhibitors (e.g. ibrutinib, acalabrutinib, zanubrutinib)</w:t>
      </w:r>
    </w:p>
    <w:p w14:paraId="5A153B4F" w14:textId="38432626" w:rsidR="00360AC1" w:rsidRPr="002C7DEE" w:rsidRDefault="00360AC1" w:rsidP="00075724">
      <w:pPr>
        <w:pStyle w:val="ListParagraph"/>
        <w:numPr>
          <w:ilvl w:val="2"/>
          <w:numId w:val="1"/>
        </w:numPr>
        <w:jc w:val="both"/>
        <w:rPr>
          <w:rFonts w:ascii="Times" w:hAnsi="Times" w:cstheme="majorHAnsi"/>
          <w:sz w:val="22"/>
          <w:szCs w:val="22"/>
        </w:rPr>
      </w:pPr>
      <w:r w:rsidRPr="002C7DEE">
        <w:rPr>
          <w:rFonts w:ascii="Times" w:hAnsi="Times" w:cstheme="majorHAnsi"/>
          <w:sz w:val="22"/>
          <w:szCs w:val="22"/>
        </w:rPr>
        <w:t>Selective Serotonin Reuptake Inhibitors (SSRIs)</w:t>
      </w:r>
    </w:p>
    <w:p w14:paraId="4DFFF196" w14:textId="77777777" w:rsidR="00D14CC2" w:rsidRDefault="00360AC1" w:rsidP="00075724">
      <w:pPr>
        <w:pStyle w:val="ListParagraph"/>
        <w:numPr>
          <w:ilvl w:val="2"/>
          <w:numId w:val="1"/>
        </w:numPr>
        <w:jc w:val="both"/>
        <w:rPr>
          <w:rFonts w:ascii="Times" w:hAnsi="Times" w:cstheme="majorHAnsi"/>
          <w:sz w:val="22"/>
          <w:szCs w:val="22"/>
        </w:rPr>
      </w:pPr>
      <w:r w:rsidRPr="002C7DEE">
        <w:rPr>
          <w:rFonts w:ascii="Times" w:hAnsi="Times" w:cstheme="majorHAnsi"/>
          <w:sz w:val="22"/>
          <w:szCs w:val="22"/>
        </w:rPr>
        <w:t>Alemtuzumab</w:t>
      </w:r>
    </w:p>
    <w:p w14:paraId="577D0780" w14:textId="3C749308" w:rsidR="00572CA0" w:rsidRPr="002C7DEE" w:rsidRDefault="00360AC1" w:rsidP="00075724">
      <w:pPr>
        <w:pStyle w:val="ListParagraph"/>
        <w:ind w:left="1637"/>
        <w:jc w:val="both"/>
        <w:rPr>
          <w:rFonts w:ascii="Times" w:hAnsi="Times" w:cstheme="majorHAnsi"/>
          <w:i/>
          <w:sz w:val="22"/>
          <w:szCs w:val="22"/>
        </w:rPr>
      </w:pPr>
      <w:r w:rsidRPr="002C7DEE">
        <w:rPr>
          <w:rFonts w:ascii="Times" w:hAnsi="Times" w:cstheme="majorHAnsi"/>
          <w:sz w:val="22"/>
          <w:szCs w:val="22"/>
        </w:rPr>
        <w:t>Dasatinib</w:t>
      </w:r>
    </w:p>
    <w:p w14:paraId="7D6FEBB4" w14:textId="5FB4D060" w:rsidR="00B85B3F" w:rsidRPr="002C7DEE" w:rsidRDefault="00F2545C" w:rsidP="00075724">
      <w:pPr>
        <w:spacing w:before="120"/>
        <w:jc w:val="both"/>
        <w:rPr>
          <w:rFonts w:ascii="Times" w:hAnsi="Times" w:cstheme="majorHAnsi"/>
          <w:sz w:val="22"/>
          <w:szCs w:val="22"/>
        </w:rPr>
      </w:pPr>
      <w:r>
        <w:rPr>
          <w:rFonts w:ascii="Times" w:hAnsi="Times" w:cstheme="majorHAnsi"/>
          <w:sz w:val="22"/>
          <w:szCs w:val="22"/>
        </w:rPr>
        <w:t>P</w:t>
      </w:r>
      <w:r w:rsidR="00B85B3F" w:rsidRPr="002C7DEE">
        <w:rPr>
          <w:rFonts w:ascii="Times" w:hAnsi="Times" w:cstheme="majorHAnsi"/>
          <w:sz w:val="22"/>
          <w:szCs w:val="22"/>
        </w:rPr>
        <w:t>otential side effects:</w:t>
      </w:r>
    </w:p>
    <w:p w14:paraId="49B24B7B" w14:textId="77777777" w:rsidR="00B85B3F" w:rsidRPr="002C7DEE" w:rsidRDefault="00B85B3F" w:rsidP="00075724">
      <w:pPr>
        <w:spacing w:before="120"/>
        <w:jc w:val="both"/>
        <w:rPr>
          <w:rFonts w:ascii="Times" w:hAnsi="Times" w:cstheme="majorHAnsi"/>
          <w:sz w:val="22"/>
          <w:szCs w:val="22"/>
        </w:rPr>
      </w:pPr>
      <w:r w:rsidRPr="002C7DEE">
        <w:rPr>
          <w:rFonts w:ascii="Times" w:hAnsi="Times" w:cstheme="majorHAnsi"/>
          <w:sz w:val="22"/>
          <w:szCs w:val="22"/>
        </w:rPr>
        <w:t>Very common (&gt;10% or 1 in 10)</w:t>
      </w:r>
    </w:p>
    <w:p w14:paraId="58068785" w14:textId="77777777" w:rsidR="00B85B3F" w:rsidRPr="002C7DEE" w:rsidRDefault="00B85B3F" w:rsidP="00075724">
      <w:pPr>
        <w:pStyle w:val="ListParagraph"/>
        <w:numPr>
          <w:ilvl w:val="0"/>
          <w:numId w:val="18"/>
        </w:numPr>
        <w:spacing w:before="120"/>
        <w:jc w:val="both"/>
        <w:rPr>
          <w:rFonts w:ascii="Times" w:hAnsi="Times" w:cstheme="majorHAnsi"/>
          <w:sz w:val="22"/>
          <w:szCs w:val="22"/>
        </w:rPr>
      </w:pPr>
      <w:r w:rsidRPr="002C7DEE">
        <w:rPr>
          <w:rFonts w:ascii="Times" w:hAnsi="Times" w:cstheme="majorHAnsi"/>
          <w:sz w:val="22"/>
          <w:szCs w:val="22"/>
        </w:rPr>
        <w:t>Increase in liver enzymes (commonly mild and self-limiting)</w:t>
      </w:r>
    </w:p>
    <w:p w14:paraId="0D89F15B" w14:textId="77777777" w:rsidR="00B85B3F" w:rsidRPr="002C7DEE" w:rsidRDefault="00B85B3F" w:rsidP="00075724">
      <w:pPr>
        <w:spacing w:before="120"/>
        <w:jc w:val="both"/>
        <w:rPr>
          <w:rFonts w:ascii="Times" w:hAnsi="Times" w:cstheme="majorHAnsi"/>
          <w:sz w:val="22"/>
          <w:szCs w:val="22"/>
        </w:rPr>
      </w:pPr>
      <w:r w:rsidRPr="002C7DEE">
        <w:rPr>
          <w:rFonts w:ascii="Times" w:hAnsi="Times" w:cstheme="majorHAnsi"/>
          <w:sz w:val="22"/>
          <w:szCs w:val="22"/>
        </w:rPr>
        <w:t>Common (1-10%, 1 in 100 to 1 in 10)</w:t>
      </w:r>
    </w:p>
    <w:p w14:paraId="7FFCE315"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Anaemia (low red blood cells)</w:t>
      </w:r>
    </w:p>
    <w:p w14:paraId="23A09138"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Nausea</w:t>
      </w:r>
    </w:p>
    <w:p w14:paraId="61EFDD18"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Diarrhoea</w:t>
      </w:r>
    </w:p>
    <w:p w14:paraId="4A01D40F"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Fever</w:t>
      </w:r>
    </w:p>
    <w:p w14:paraId="43312455" w14:textId="633604C7" w:rsidR="00B85B3F" w:rsidRPr="002C7DEE" w:rsidRDefault="00D14CC2" w:rsidP="00075724">
      <w:pPr>
        <w:pStyle w:val="ListParagraph"/>
        <w:numPr>
          <w:ilvl w:val="0"/>
          <w:numId w:val="17"/>
        </w:numPr>
        <w:spacing w:before="120"/>
        <w:jc w:val="both"/>
        <w:rPr>
          <w:rFonts w:ascii="Times" w:hAnsi="Times" w:cstheme="majorHAnsi"/>
          <w:sz w:val="22"/>
          <w:szCs w:val="22"/>
        </w:rPr>
      </w:pPr>
      <w:r>
        <w:rPr>
          <w:rFonts w:ascii="Times" w:hAnsi="Times" w:cstheme="majorHAnsi"/>
          <w:sz w:val="22"/>
          <w:szCs w:val="22"/>
        </w:rPr>
        <w:t>Peripheral oedema</w:t>
      </w:r>
    </w:p>
    <w:p w14:paraId="4F4BA566"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Low blood platelet count</w:t>
      </w:r>
    </w:p>
    <w:p w14:paraId="24150FB3"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Minor allergic reactions including itch, erythema</w:t>
      </w:r>
    </w:p>
    <w:p w14:paraId="5708111B" w14:textId="77777777" w:rsidR="00B85B3F" w:rsidRPr="002C7DEE"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Injection site reactions (e.g. pain, bruising, minor bleeding at the injection site)</w:t>
      </w:r>
    </w:p>
    <w:p w14:paraId="6B8512CC" w14:textId="77777777" w:rsidR="00B85B3F" w:rsidRDefault="00B85B3F" w:rsidP="00075724">
      <w:pPr>
        <w:pStyle w:val="ListParagraph"/>
        <w:numPr>
          <w:ilvl w:val="0"/>
          <w:numId w:val="17"/>
        </w:numPr>
        <w:spacing w:before="120"/>
        <w:jc w:val="both"/>
        <w:rPr>
          <w:rFonts w:ascii="Times" w:hAnsi="Times" w:cstheme="majorHAnsi"/>
          <w:sz w:val="22"/>
          <w:szCs w:val="22"/>
        </w:rPr>
      </w:pPr>
      <w:r w:rsidRPr="002C7DEE">
        <w:rPr>
          <w:rFonts w:ascii="Times" w:hAnsi="Times" w:cstheme="majorHAnsi"/>
          <w:sz w:val="22"/>
          <w:szCs w:val="22"/>
        </w:rPr>
        <w:t xml:space="preserve">Confusion </w:t>
      </w:r>
    </w:p>
    <w:p w14:paraId="6B2EFBB7" w14:textId="77777777" w:rsidR="00B85B3F" w:rsidRPr="002C7DEE" w:rsidRDefault="00B85B3F" w:rsidP="00075724">
      <w:pPr>
        <w:spacing w:before="120"/>
        <w:jc w:val="both"/>
        <w:rPr>
          <w:rFonts w:ascii="Times" w:hAnsi="Times" w:cstheme="majorHAnsi"/>
          <w:sz w:val="22"/>
          <w:szCs w:val="22"/>
        </w:rPr>
      </w:pPr>
      <w:r w:rsidRPr="002C7DEE">
        <w:rPr>
          <w:rFonts w:ascii="Times" w:hAnsi="Times" w:cstheme="majorHAnsi"/>
          <w:sz w:val="22"/>
          <w:szCs w:val="22"/>
        </w:rPr>
        <w:t>Uncommon (&lt;1%, less than 1 in 100)</w:t>
      </w:r>
    </w:p>
    <w:p w14:paraId="047B92FF" w14:textId="104A7EF9" w:rsidR="00B85B3F" w:rsidRDefault="00B85B3F" w:rsidP="00075724">
      <w:pPr>
        <w:pStyle w:val="ListParagraph"/>
        <w:numPr>
          <w:ilvl w:val="0"/>
          <w:numId w:val="20"/>
        </w:numPr>
        <w:spacing w:before="120"/>
        <w:jc w:val="both"/>
        <w:rPr>
          <w:rFonts w:ascii="Times" w:hAnsi="Times" w:cstheme="majorHAnsi"/>
          <w:sz w:val="22"/>
          <w:szCs w:val="22"/>
        </w:rPr>
      </w:pPr>
      <w:r w:rsidRPr="002C7DEE">
        <w:rPr>
          <w:rFonts w:ascii="Times" w:hAnsi="Times" w:cstheme="majorHAnsi"/>
          <w:sz w:val="22"/>
          <w:szCs w:val="22"/>
        </w:rPr>
        <w:lastRenderedPageBreak/>
        <w:t>Severe skin irritation at injection sites</w:t>
      </w:r>
      <w:r w:rsidR="00F2545C">
        <w:rPr>
          <w:rFonts w:ascii="Times" w:hAnsi="Times" w:cstheme="majorHAnsi"/>
          <w:sz w:val="22"/>
          <w:szCs w:val="22"/>
        </w:rPr>
        <w:t xml:space="preserve"> (rash, urticarial, pruritis)</w:t>
      </w:r>
    </w:p>
    <w:p w14:paraId="3B146FF6" w14:textId="50597119" w:rsidR="00B85B3F" w:rsidRDefault="00B85B3F" w:rsidP="00075724">
      <w:pPr>
        <w:pStyle w:val="ListParagraph"/>
        <w:numPr>
          <w:ilvl w:val="0"/>
          <w:numId w:val="20"/>
        </w:numPr>
        <w:spacing w:before="120"/>
        <w:jc w:val="both"/>
        <w:rPr>
          <w:rFonts w:ascii="Times" w:hAnsi="Times" w:cstheme="majorHAnsi"/>
          <w:sz w:val="22"/>
          <w:szCs w:val="22"/>
        </w:rPr>
      </w:pPr>
      <w:r>
        <w:rPr>
          <w:rFonts w:ascii="Times" w:hAnsi="Times" w:cstheme="majorHAnsi"/>
          <w:sz w:val="22"/>
          <w:szCs w:val="22"/>
        </w:rPr>
        <w:t>Heparin induced thrombosis and thrombocytopenia (HITT)</w:t>
      </w:r>
    </w:p>
    <w:p w14:paraId="13C2E953" w14:textId="77777777" w:rsidR="00B85B3F" w:rsidRPr="002C7DEE" w:rsidRDefault="00B85B3F" w:rsidP="00075724">
      <w:pPr>
        <w:spacing w:before="120"/>
        <w:jc w:val="both"/>
        <w:rPr>
          <w:rFonts w:ascii="Times" w:hAnsi="Times" w:cstheme="majorHAnsi"/>
          <w:sz w:val="22"/>
          <w:szCs w:val="22"/>
        </w:rPr>
      </w:pPr>
      <w:r w:rsidRPr="002C7DEE">
        <w:rPr>
          <w:rFonts w:ascii="Times" w:hAnsi="Times" w:cstheme="majorHAnsi"/>
          <w:sz w:val="22"/>
          <w:szCs w:val="22"/>
        </w:rPr>
        <w:t>Rare (&lt;0.1%, less than 1 in 1000)</w:t>
      </w:r>
    </w:p>
    <w:p w14:paraId="377DE0D5" w14:textId="126B9E35" w:rsidR="00B85B3F" w:rsidRPr="002C7DEE" w:rsidRDefault="00B85B3F" w:rsidP="00075724">
      <w:pPr>
        <w:pStyle w:val="ListParagraph"/>
        <w:numPr>
          <w:ilvl w:val="0"/>
          <w:numId w:val="19"/>
        </w:numPr>
        <w:spacing w:before="120"/>
        <w:jc w:val="both"/>
        <w:rPr>
          <w:rFonts w:ascii="Times" w:hAnsi="Times" w:cstheme="majorHAnsi"/>
          <w:sz w:val="22"/>
          <w:szCs w:val="22"/>
        </w:rPr>
      </w:pPr>
      <w:r w:rsidRPr="002C7DEE">
        <w:rPr>
          <w:rFonts w:ascii="Times" w:hAnsi="Times" w:cstheme="majorHAnsi"/>
          <w:sz w:val="22"/>
          <w:szCs w:val="22"/>
        </w:rPr>
        <w:t>Severe injection site reactions</w:t>
      </w:r>
      <w:r w:rsidR="00F2545C">
        <w:rPr>
          <w:rFonts w:ascii="Times" w:hAnsi="Times" w:cstheme="majorHAnsi"/>
          <w:sz w:val="22"/>
          <w:szCs w:val="22"/>
        </w:rPr>
        <w:t xml:space="preserve"> (bullae, necrosis, alopecia)</w:t>
      </w:r>
    </w:p>
    <w:p w14:paraId="73271063" w14:textId="77777777" w:rsidR="00B85B3F" w:rsidRPr="002C7DEE" w:rsidRDefault="00B85B3F" w:rsidP="00075724">
      <w:pPr>
        <w:pStyle w:val="ListParagraph"/>
        <w:numPr>
          <w:ilvl w:val="0"/>
          <w:numId w:val="19"/>
        </w:numPr>
        <w:spacing w:before="120"/>
        <w:jc w:val="both"/>
        <w:rPr>
          <w:rFonts w:ascii="Times" w:hAnsi="Times" w:cstheme="majorHAnsi"/>
          <w:sz w:val="22"/>
          <w:szCs w:val="22"/>
        </w:rPr>
      </w:pPr>
      <w:r w:rsidRPr="002C7DEE">
        <w:rPr>
          <w:rFonts w:ascii="Times" w:hAnsi="Times" w:cstheme="majorHAnsi"/>
          <w:sz w:val="22"/>
          <w:szCs w:val="22"/>
        </w:rPr>
        <w:t>Severe allergic reactions and anaphylaxis</w:t>
      </w:r>
    </w:p>
    <w:p w14:paraId="3CAC8AF8" w14:textId="77777777" w:rsidR="00B85B3F" w:rsidRPr="002C7DEE" w:rsidRDefault="00B85B3F" w:rsidP="00075724">
      <w:pPr>
        <w:pStyle w:val="ListParagraph"/>
        <w:numPr>
          <w:ilvl w:val="0"/>
          <w:numId w:val="19"/>
        </w:numPr>
        <w:spacing w:before="120"/>
        <w:jc w:val="both"/>
        <w:rPr>
          <w:rFonts w:ascii="Times" w:hAnsi="Times" w:cstheme="majorHAnsi"/>
          <w:sz w:val="22"/>
          <w:szCs w:val="22"/>
        </w:rPr>
      </w:pPr>
      <w:r w:rsidRPr="002C7DEE">
        <w:rPr>
          <w:rFonts w:ascii="Times" w:hAnsi="Times" w:cstheme="majorHAnsi"/>
          <w:sz w:val="22"/>
          <w:szCs w:val="22"/>
        </w:rPr>
        <w:t>Elevated blood potassium levels</w:t>
      </w:r>
    </w:p>
    <w:p w14:paraId="425C203D" w14:textId="78F95BE1" w:rsidR="00B85B3F" w:rsidRDefault="00B85B3F" w:rsidP="00075724">
      <w:pPr>
        <w:pStyle w:val="ListParagraph"/>
        <w:numPr>
          <w:ilvl w:val="0"/>
          <w:numId w:val="19"/>
        </w:numPr>
        <w:spacing w:before="120"/>
        <w:jc w:val="both"/>
        <w:rPr>
          <w:rFonts w:ascii="Times" w:hAnsi="Times" w:cstheme="majorHAnsi"/>
          <w:sz w:val="22"/>
          <w:szCs w:val="22"/>
        </w:rPr>
      </w:pPr>
      <w:r w:rsidRPr="002C7DEE">
        <w:rPr>
          <w:rFonts w:ascii="Times" w:hAnsi="Times" w:cstheme="majorHAnsi"/>
          <w:sz w:val="22"/>
          <w:szCs w:val="22"/>
        </w:rPr>
        <w:t>Severe bleeding</w:t>
      </w:r>
      <w:r>
        <w:rPr>
          <w:rFonts w:ascii="Times" w:hAnsi="Times" w:cstheme="majorHAnsi"/>
          <w:sz w:val="22"/>
          <w:szCs w:val="22"/>
        </w:rPr>
        <w:t>/haemorrhage</w:t>
      </w:r>
    </w:p>
    <w:p w14:paraId="1146CB24" w14:textId="2F12D5EB" w:rsidR="00B85B3F" w:rsidRPr="002C7DEE" w:rsidRDefault="00B85B3F" w:rsidP="00075724">
      <w:pPr>
        <w:spacing w:before="120"/>
        <w:ind w:left="360"/>
        <w:jc w:val="both"/>
        <w:rPr>
          <w:rFonts w:ascii="Times" w:hAnsi="Times" w:cstheme="majorHAnsi"/>
          <w:sz w:val="22"/>
          <w:szCs w:val="22"/>
        </w:rPr>
      </w:pPr>
    </w:p>
    <w:p w14:paraId="634D9D53" w14:textId="77777777" w:rsidR="00B85B3F" w:rsidRPr="002C7DEE" w:rsidRDefault="00B85B3F" w:rsidP="00075724">
      <w:pPr>
        <w:spacing w:before="120"/>
        <w:jc w:val="both"/>
        <w:rPr>
          <w:rFonts w:ascii="Times" w:hAnsi="Times" w:cstheme="majorHAnsi"/>
          <w:sz w:val="22"/>
          <w:szCs w:val="22"/>
        </w:rPr>
      </w:pPr>
    </w:p>
    <w:p w14:paraId="339958D6" w14:textId="77777777" w:rsidR="00B85B3F" w:rsidRPr="002C7DEE" w:rsidRDefault="00B85B3F" w:rsidP="00075724">
      <w:pPr>
        <w:pStyle w:val="Heading3"/>
        <w:rPr>
          <w:rFonts w:ascii="Times" w:hAnsi="Times" w:cstheme="majorHAnsi"/>
          <w:i/>
          <w:sz w:val="22"/>
          <w:szCs w:val="22"/>
        </w:rPr>
      </w:pPr>
      <w:bookmarkStart w:id="17" w:name="_Toc166235149"/>
      <w:r w:rsidRPr="002C7DEE">
        <w:rPr>
          <w:rFonts w:ascii="Times" w:hAnsi="Times" w:cstheme="majorHAnsi"/>
          <w:i/>
          <w:sz w:val="22"/>
          <w:szCs w:val="22"/>
        </w:rPr>
        <w:t>Safety during pregnancy</w:t>
      </w:r>
      <w:bookmarkEnd w:id="17"/>
    </w:p>
    <w:p w14:paraId="6F8CFEEA" w14:textId="37FA22F2" w:rsidR="00572CA0" w:rsidRDefault="00B85B3F" w:rsidP="00075724">
      <w:pPr>
        <w:spacing w:before="120"/>
        <w:jc w:val="both"/>
        <w:rPr>
          <w:rFonts w:ascii="Times" w:hAnsi="Times" w:cstheme="majorHAnsi"/>
          <w:sz w:val="22"/>
          <w:szCs w:val="22"/>
        </w:rPr>
      </w:pPr>
      <w:r w:rsidRPr="002C7DEE">
        <w:rPr>
          <w:rFonts w:ascii="Times" w:hAnsi="Times" w:cstheme="majorHAnsi"/>
          <w:sz w:val="22"/>
          <w:szCs w:val="22"/>
        </w:rPr>
        <w:t xml:space="preserve">Enoxaparin (Clexane) is </w:t>
      </w:r>
      <w:r>
        <w:rPr>
          <w:rFonts w:ascii="Times" w:hAnsi="Times" w:cstheme="majorHAnsi"/>
          <w:sz w:val="22"/>
          <w:szCs w:val="22"/>
        </w:rPr>
        <w:t>widely used during</w:t>
      </w:r>
      <w:r w:rsidRPr="002C7DEE">
        <w:rPr>
          <w:rFonts w:ascii="Times" w:hAnsi="Times" w:cstheme="majorHAnsi"/>
          <w:sz w:val="22"/>
          <w:szCs w:val="22"/>
        </w:rPr>
        <w:t xml:space="preserve"> pregnancy and while breastfeeding. It is classified as “class C”, meaning that there is no evidence in animal studies of harm to the baby. </w:t>
      </w:r>
    </w:p>
    <w:p w14:paraId="71C195EA" w14:textId="659078BF" w:rsidR="00F2545C" w:rsidRPr="002C7DEE" w:rsidRDefault="00F2545C" w:rsidP="00075724">
      <w:pPr>
        <w:spacing w:before="120"/>
        <w:jc w:val="both"/>
        <w:rPr>
          <w:rFonts w:ascii="Times" w:hAnsi="Times" w:cstheme="majorHAnsi"/>
          <w:sz w:val="22"/>
          <w:szCs w:val="22"/>
        </w:rPr>
      </w:pPr>
      <w:r>
        <w:rPr>
          <w:rFonts w:ascii="Times" w:hAnsi="Times" w:cstheme="majorHAnsi"/>
          <w:sz w:val="22"/>
          <w:szCs w:val="22"/>
        </w:rPr>
        <w:t>Dalteparin (Fragmin) is less commonly used that enoxaparin, but is also classified as “class C” in pregnancy.</w:t>
      </w:r>
    </w:p>
    <w:p w14:paraId="4C8AA1D9" w14:textId="77777777" w:rsidR="00B85B3F" w:rsidRPr="002C7DEE" w:rsidRDefault="00B85B3F" w:rsidP="00075724">
      <w:pPr>
        <w:jc w:val="both"/>
        <w:rPr>
          <w:rFonts w:ascii="Times" w:hAnsi="Times" w:cstheme="majorHAnsi"/>
          <w:i/>
          <w:sz w:val="22"/>
          <w:szCs w:val="22"/>
        </w:rPr>
      </w:pPr>
    </w:p>
    <w:p w14:paraId="4E887E41" w14:textId="72959549" w:rsidR="004F3182" w:rsidRPr="002C7DEE" w:rsidRDefault="004F3182" w:rsidP="00075724">
      <w:pPr>
        <w:pStyle w:val="Heading2"/>
        <w:rPr>
          <w:rFonts w:ascii="Times" w:hAnsi="Times" w:cstheme="majorHAnsi"/>
          <w:i/>
          <w:sz w:val="22"/>
          <w:szCs w:val="22"/>
        </w:rPr>
      </w:pPr>
      <w:bookmarkStart w:id="18" w:name="_Toc166235150"/>
      <w:r w:rsidRPr="002C7DEE">
        <w:rPr>
          <w:rFonts w:ascii="Times" w:hAnsi="Times" w:cstheme="majorHAnsi"/>
          <w:i/>
          <w:sz w:val="22"/>
          <w:szCs w:val="22"/>
        </w:rPr>
        <w:t>Patient recruitment</w:t>
      </w:r>
      <w:bookmarkEnd w:id="18"/>
    </w:p>
    <w:p w14:paraId="21479AD1" w14:textId="530B0989" w:rsidR="004F3182" w:rsidRPr="002C7DEE" w:rsidRDefault="004F3182" w:rsidP="00075724">
      <w:pPr>
        <w:jc w:val="both"/>
        <w:rPr>
          <w:rFonts w:ascii="Times" w:hAnsi="Times" w:cstheme="majorHAnsi"/>
          <w:sz w:val="22"/>
          <w:szCs w:val="22"/>
        </w:rPr>
      </w:pPr>
    </w:p>
    <w:p w14:paraId="69799CCA" w14:textId="1431A4DE" w:rsidR="004F3182" w:rsidRPr="002C7DEE" w:rsidRDefault="00F2545C" w:rsidP="00075724">
      <w:pPr>
        <w:jc w:val="both"/>
        <w:rPr>
          <w:rFonts w:ascii="Times" w:hAnsi="Times" w:cstheme="majorHAnsi"/>
          <w:sz w:val="22"/>
          <w:szCs w:val="22"/>
        </w:rPr>
      </w:pPr>
      <w:r>
        <w:rPr>
          <w:rFonts w:ascii="Times" w:hAnsi="Times" w:cstheme="majorHAnsi"/>
          <w:sz w:val="22"/>
          <w:szCs w:val="22"/>
        </w:rPr>
        <w:t>Patients will be identified through</w:t>
      </w:r>
      <w:r w:rsidR="00356738" w:rsidRPr="002C7DEE">
        <w:rPr>
          <w:rFonts w:ascii="Times" w:hAnsi="Times" w:cstheme="majorHAnsi"/>
          <w:sz w:val="22"/>
          <w:szCs w:val="22"/>
        </w:rPr>
        <w:t xml:space="preserve"> clinicians in both public and private outpatient clinics</w:t>
      </w:r>
      <w:r>
        <w:rPr>
          <w:rFonts w:ascii="Times" w:hAnsi="Times" w:cstheme="majorHAnsi"/>
          <w:sz w:val="22"/>
          <w:szCs w:val="22"/>
        </w:rPr>
        <w:t>, and inpatient wards,</w:t>
      </w:r>
      <w:r w:rsidR="00356738" w:rsidRPr="002C7DEE">
        <w:rPr>
          <w:rFonts w:ascii="Times" w:hAnsi="Times" w:cstheme="majorHAnsi"/>
          <w:sz w:val="22"/>
          <w:szCs w:val="22"/>
        </w:rPr>
        <w:t xml:space="preserve"> through the Monash Health network. </w:t>
      </w:r>
      <w:r w:rsidR="00105020" w:rsidRPr="002C7DEE">
        <w:rPr>
          <w:rFonts w:ascii="Times" w:hAnsi="Times" w:cstheme="majorHAnsi"/>
          <w:sz w:val="22"/>
          <w:szCs w:val="22"/>
        </w:rPr>
        <w:t xml:space="preserve">Clinicians will be informed of the trial and supplied with contact details of the primary investigators for potential participants. The treating clinician will approach the potential participant with the trial information, and offer to supply the Patient Information and Consent Form, and contact the trial investigators to arrange an appointment to discuss the trial in further detail. This review will be scheduled in the Clinical Trials Unit with the trial investigators, and a follow-up visit for consent will be arranged for those wishing to proceed. </w:t>
      </w:r>
      <w:r w:rsidR="00660BDF" w:rsidRPr="002C7DEE">
        <w:rPr>
          <w:rFonts w:ascii="Times" w:hAnsi="Times" w:cstheme="majorHAnsi"/>
          <w:sz w:val="22"/>
          <w:szCs w:val="22"/>
        </w:rPr>
        <w:t>Consent visits will be conducted face-to-face in the Clinical Trials Centre.</w:t>
      </w:r>
    </w:p>
    <w:p w14:paraId="62B559AE" w14:textId="77777777" w:rsidR="004F3182" w:rsidRPr="002C7DEE" w:rsidRDefault="004F3182" w:rsidP="00075724">
      <w:pPr>
        <w:jc w:val="both"/>
        <w:rPr>
          <w:rFonts w:ascii="Times" w:hAnsi="Times" w:cstheme="majorHAnsi"/>
          <w:sz w:val="22"/>
          <w:szCs w:val="22"/>
        </w:rPr>
      </w:pPr>
    </w:p>
    <w:p w14:paraId="0189B51F" w14:textId="3466DBBC" w:rsidR="0088797A" w:rsidRPr="002C7DEE" w:rsidRDefault="0088797A" w:rsidP="00075724">
      <w:pPr>
        <w:pStyle w:val="Heading2"/>
        <w:rPr>
          <w:rFonts w:ascii="Times" w:hAnsi="Times" w:cstheme="majorHAnsi"/>
          <w:i/>
          <w:sz w:val="22"/>
          <w:szCs w:val="22"/>
        </w:rPr>
      </w:pPr>
      <w:bookmarkStart w:id="19" w:name="_Toc166235151"/>
      <w:r w:rsidRPr="002C7DEE">
        <w:rPr>
          <w:rFonts w:ascii="Times" w:hAnsi="Times" w:cstheme="majorHAnsi"/>
          <w:i/>
          <w:sz w:val="22"/>
          <w:szCs w:val="22"/>
        </w:rPr>
        <w:t>Study procedures</w:t>
      </w:r>
      <w:bookmarkEnd w:id="19"/>
    </w:p>
    <w:p w14:paraId="69087F08" w14:textId="77777777" w:rsidR="0088797A" w:rsidRDefault="0088797A" w:rsidP="00075724">
      <w:pPr>
        <w:jc w:val="both"/>
        <w:rPr>
          <w:rFonts w:ascii="Times" w:hAnsi="Times" w:cstheme="majorHAnsi"/>
          <w:sz w:val="22"/>
          <w:szCs w:val="22"/>
        </w:rPr>
      </w:pPr>
    </w:p>
    <w:p w14:paraId="4C960987" w14:textId="41A987B1" w:rsidR="004F65F2" w:rsidRDefault="0044757A" w:rsidP="00075724">
      <w:pPr>
        <w:jc w:val="both"/>
        <w:rPr>
          <w:rFonts w:ascii="Times" w:hAnsi="Times" w:cstheme="majorHAnsi"/>
          <w:sz w:val="22"/>
          <w:szCs w:val="22"/>
        </w:rPr>
      </w:pPr>
      <w:r>
        <w:rPr>
          <w:rFonts w:ascii="Times" w:hAnsi="Times" w:cstheme="majorHAnsi"/>
          <w:sz w:val="22"/>
          <w:szCs w:val="22"/>
        </w:rPr>
        <w:t xml:space="preserve">The trial will have several sequential phases (outlined in </w:t>
      </w:r>
      <w:r w:rsidR="00773108">
        <w:rPr>
          <w:rFonts w:ascii="Times" w:hAnsi="Times" w:cstheme="majorHAnsi"/>
          <w:sz w:val="22"/>
          <w:szCs w:val="22"/>
        </w:rPr>
        <w:t>F</w:t>
      </w:r>
      <w:r>
        <w:rPr>
          <w:rFonts w:ascii="Times" w:hAnsi="Times" w:cstheme="majorHAnsi"/>
          <w:sz w:val="22"/>
          <w:szCs w:val="22"/>
        </w:rPr>
        <w:t xml:space="preserve">igure 1): </w:t>
      </w:r>
    </w:p>
    <w:p w14:paraId="7CEC0CA3" w14:textId="4F8E8AA0" w:rsidR="004F65F2" w:rsidRDefault="0044757A" w:rsidP="00075724">
      <w:pPr>
        <w:pStyle w:val="ListParagraph"/>
        <w:numPr>
          <w:ilvl w:val="0"/>
          <w:numId w:val="21"/>
        </w:numPr>
        <w:jc w:val="both"/>
        <w:rPr>
          <w:rFonts w:ascii="Times" w:hAnsi="Times" w:cstheme="majorHAnsi"/>
          <w:sz w:val="22"/>
          <w:szCs w:val="22"/>
        </w:rPr>
      </w:pPr>
      <w:r w:rsidRPr="00075724">
        <w:rPr>
          <w:rFonts w:ascii="Times" w:hAnsi="Times" w:cstheme="majorHAnsi"/>
          <w:sz w:val="22"/>
          <w:szCs w:val="22"/>
        </w:rPr>
        <w:t>Phase A</w:t>
      </w:r>
      <w:r w:rsidR="004F65F2">
        <w:rPr>
          <w:rFonts w:ascii="Times" w:hAnsi="Times" w:cstheme="majorHAnsi"/>
          <w:sz w:val="22"/>
          <w:szCs w:val="22"/>
        </w:rPr>
        <w:t>:</w:t>
      </w:r>
      <w:r w:rsidR="004F65F2" w:rsidRPr="004F65F2">
        <w:rPr>
          <w:rFonts w:ascii="Times" w:hAnsi="Times" w:cstheme="majorHAnsi"/>
          <w:sz w:val="22"/>
          <w:szCs w:val="22"/>
        </w:rPr>
        <w:t xml:space="preserve"> administration</w:t>
      </w:r>
      <w:r w:rsidRPr="00075724">
        <w:rPr>
          <w:rFonts w:ascii="Times" w:hAnsi="Times" w:cstheme="majorHAnsi"/>
          <w:sz w:val="22"/>
          <w:szCs w:val="22"/>
        </w:rPr>
        <w:t xml:space="preserve"> </w:t>
      </w:r>
      <w:r w:rsidR="00F2545C">
        <w:rPr>
          <w:rFonts w:ascii="Times" w:hAnsi="Times" w:cstheme="majorHAnsi"/>
          <w:sz w:val="22"/>
          <w:szCs w:val="22"/>
        </w:rPr>
        <w:t>LMWH</w:t>
      </w:r>
      <w:r w:rsidR="00F2545C" w:rsidRPr="00075724">
        <w:rPr>
          <w:rFonts w:ascii="Times" w:hAnsi="Times" w:cstheme="majorHAnsi"/>
          <w:sz w:val="22"/>
          <w:szCs w:val="22"/>
        </w:rPr>
        <w:t xml:space="preserve"> </w:t>
      </w:r>
      <w:r w:rsidRPr="00075724">
        <w:rPr>
          <w:rFonts w:ascii="Times" w:hAnsi="Times" w:cstheme="majorHAnsi"/>
          <w:sz w:val="22"/>
          <w:szCs w:val="22"/>
        </w:rPr>
        <w:t xml:space="preserve">via a subcutaneous catheter </w:t>
      </w:r>
      <w:r w:rsidR="004F65F2">
        <w:rPr>
          <w:rFonts w:ascii="Times" w:hAnsi="Times" w:cstheme="majorHAnsi"/>
          <w:sz w:val="22"/>
          <w:szCs w:val="22"/>
        </w:rPr>
        <w:t>with anti-Xa assessments</w:t>
      </w:r>
    </w:p>
    <w:p w14:paraId="5330AB39" w14:textId="2A68FBE3" w:rsidR="004F65F2" w:rsidRDefault="004F65F2" w:rsidP="00075724">
      <w:pPr>
        <w:pStyle w:val="ListParagraph"/>
        <w:numPr>
          <w:ilvl w:val="0"/>
          <w:numId w:val="21"/>
        </w:numPr>
        <w:jc w:val="both"/>
        <w:rPr>
          <w:rFonts w:ascii="Times" w:hAnsi="Times" w:cstheme="majorHAnsi"/>
          <w:sz w:val="22"/>
          <w:szCs w:val="22"/>
        </w:rPr>
      </w:pPr>
      <w:r>
        <w:rPr>
          <w:rFonts w:ascii="Times" w:hAnsi="Times" w:cstheme="majorHAnsi"/>
          <w:sz w:val="22"/>
          <w:szCs w:val="22"/>
        </w:rPr>
        <w:t xml:space="preserve">A </w:t>
      </w:r>
      <w:r w:rsidR="0044757A" w:rsidRPr="00075724">
        <w:rPr>
          <w:rFonts w:ascii="Times" w:hAnsi="Times" w:cstheme="majorHAnsi"/>
          <w:sz w:val="22"/>
          <w:szCs w:val="22"/>
        </w:rPr>
        <w:t>”washout phase”</w:t>
      </w:r>
      <w:r>
        <w:rPr>
          <w:rFonts w:ascii="Times" w:hAnsi="Times" w:cstheme="majorHAnsi"/>
          <w:sz w:val="22"/>
          <w:szCs w:val="22"/>
        </w:rPr>
        <w:t xml:space="preserve">, minimum 5 days of subcutaneous </w:t>
      </w:r>
      <w:r w:rsidR="00F2545C">
        <w:rPr>
          <w:rFonts w:ascii="Times" w:hAnsi="Times" w:cstheme="majorHAnsi"/>
          <w:sz w:val="22"/>
          <w:szCs w:val="22"/>
        </w:rPr>
        <w:t xml:space="preserve">LMWH </w:t>
      </w:r>
      <w:r>
        <w:rPr>
          <w:rFonts w:ascii="Times" w:hAnsi="Times" w:cstheme="majorHAnsi"/>
          <w:sz w:val="22"/>
          <w:szCs w:val="22"/>
        </w:rPr>
        <w:t>injections</w:t>
      </w:r>
    </w:p>
    <w:p w14:paraId="7A2AE7C0" w14:textId="1893EC30" w:rsidR="004F65F2" w:rsidRPr="004F65F2" w:rsidRDefault="0044757A" w:rsidP="00075724">
      <w:pPr>
        <w:pStyle w:val="ListParagraph"/>
        <w:numPr>
          <w:ilvl w:val="0"/>
          <w:numId w:val="21"/>
        </w:numPr>
        <w:jc w:val="both"/>
        <w:rPr>
          <w:rFonts w:ascii="Times" w:hAnsi="Times" w:cstheme="majorHAnsi"/>
          <w:sz w:val="22"/>
          <w:szCs w:val="22"/>
        </w:rPr>
      </w:pPr>
      <w:r w:rsidRPr="00075724">
        <w:rPr>
          <w:rFonts w:ascii="Times" w:hAnsi="Times" w:cstheme="majorHAnsi"/>
          <w:sz w:val="22"/>
          <w:szCs w:val="22"/>
        </w:rPr>
        <w:t>Phase B</w:t>
      </w:r>
      <w:r w:rsidR="004F65F2">
        <w:rPr>
          <w:rFonts w:ascii="Times" w:hAnsi="Times" w:cstheme="majorHAnsi"/>
          <w:sz w:val="22"/>
          <w:szCs w:val="22"/>
        </w:rPr>
        <w:t>: administration</w:t>
      </w:r>
      <w:r w:rsidR="004F65F2" w:rsidRPr="004F65F2">
        <w:rPr>
          <w:rFonts w:ascii="Times" w:hAnsi="Times" w:cstheme="majorHAnsi"/>
          <w:sz w:val="22"/>
          <w:szCs w:val="22"/>
        </w:rPr>
        <w:t xml:space="preserve"> </w:t>
      </w:r>
      <w:r w:rsidR="004F65F2">
        <w:rPr>
          <w:rFonts w:ascii="Times" w:hAnsi="Times" w:cstheme="majorHAnsi"/>
          <w:sz w:val="22"/>
          <w:szCs w:val="22"/>
        </w:rPr>
        <w:t>of</w:t>
      </w:r>
      <w:r w:rsidRPr="00075724">
        <w:rPr>
          <w:rFonts w:ascii="Times" w:hAnsi="Times" w:cstheme="majorHAnsi"/>
          <w:sz w:val="22"/>
          <w:szCs w:val="22"/>
        </w:rPr>
        <w:t xml:space="preserve"> </w:t>
      </w:r>
      <w:r w:rsidR="00F2545C">
        <w:rPr>
          <w:rFonts w:ascii="Times" w:hAnsi="Times" w:cstheme="majorHAnsi"/>
          <w:sz w:val="22"/>
          <w:szCs w:val="22"/>
        </w:rPr>
        <w:t>LMWH</w:t>
      </w:r>
      <w:r w:rsidR="00F2545C" w:rsidRPr="00075724">
        <w:rPr>
          <w:rFonts w:ascii="Times" w:hAnsi="Times" w:cstheme="majorHAnsi"/>
          <w:sz w:val="22"/>
          <w:szCs w:val="22"/>
        </w:rPr>
        <w:t xml:space="preserve"> </w:t>
      </w:r>
      <w:r w:rsidRPr="00075724">
        <w:rPr>
          <w:rFonts w:ascii="Times" w:hAnsi="Times" w:cstheme="majorHAnsi"/>
          <w:sz w:val="22"/>
          <w:szCs w:val="22"/>
        </w:rPr>
        <w:t>via subcutaneous injections with further anti-Xa assessments</w:t>
      </w:r>
    </w:p>
    <w:p w14:paraId="29D8DA09" w14:textId="7DD8B42B" w:rsidR="004F65F2" w:rsidRDefault="004F65F2" w:rsidP="00075724">
      <w:pPr>
        <w:pStyle w:val="ListParagraph"/>
        <w:numPr>
          <w:ilvl w:val="0"/>
          <w:numId w:val="21"/>
        </w:numPr>
        <w:jc w:val="both"/>
        <w:rPr>
          <w:rFonts w:ascii="Times" w:hAnsi="Times" w:cstheme="majorHAnsi"/>
          <w:sz w:val="22"/>
          <w:szCs w:val="22"/>
        </w:rPr>
      </w:pPr>
      <w:r>
        <w:rPr>
          <w:rFonts w:ascii="Times" w:hAnsi="Times" w:cstheme="majorHAnsi"/>
          <w:sz w:val="22"/>
          <w:szCs w:val="22"/>
        </w:rPr>
        <w:t>E</w:t>
      </w:r>
      <w:r w:rsidR="0044757A" w:rsidRPr="00075724">
        <w:rPr>
          <w:rFonts w:ascii="Times" w:hAnsi="Times" w:cstheme="majorHAnsi"/>
          <w:sz w:val="22"/>
          <w:szCs w:val="22"/>
        </w:rPr>
        <w:t>xtension phase</w:t>
      </w:r>
      <w:r>
        <w:rPr>
          <w:rFonts w:ascii="Times" w:hAnsi="Times" w:cstheme="majorHAnsi"/>
          <w:sz w:val="22"/>
          <w:szCs w:val="22"/>
        </w:rPr>
        <w:t xml:space="preserve"> (optional): participants will have the option to change back to a subcutaneous catheter for </w:t>
      </w:r>
      <w:r w:rsidR="00F2545C">
        <w:rPr>
          <w:rFonts w:ascii="Times" w:hAnsi="Times" w:cstheme="majorHAnsi"/>
          <w:sz w:val="22"/>
          <w:szCs w:val="22"/>
        </w:rPr>
        <w:t xml:space="preserve">LMWH </w:t>
      </w:r>
      <w:r>
        <w:rPr>
          <w:rFonts w:ascii="Times" w:hAnsi="Times" w:cstheme="majorHAnsi"/>
          <w:sz w:val="22"/>
          <w:szCs w:val="22"/>
        </w:rPr>
        <w:t>administration with intermittent anti-Xa assessments</w:t>
      </w:r>
    </w:p>
    <w:p w14:paraId="2979DAF8" w14:textId="68FDF493" w:rsidR="004F65F2" w:rsidRDefault="004F65F2" w:rsidP="00075724">
      <w:pPr>
        <w:pStyle w:val="ListParagraph"/>
        <w:numPr>
          <w:ilvl w:val="0"/>
          <w:numId w:val="21"/>
        </w:numPr>
        <w:jc w:val="both"/>
        <w:rPr>
          <w:rFonts w:ascii="Times" w:hAnsi="Times" w:cstheme="majorHAnsi"/>
          <w:sz w:val="22"/>
          <w:szCs w:val="22"/>
        </w:rPr>
      </w:pPr>
      <w:r>
        <w:rPr>
          <w:rFonts w:ascii="Times" w:hAnsi="Times" w:cstheme="majorHAnsi"/>
          <w:sz w:val="22"/>
          <w:szCs w:val="22"/>
        </w:rPr>
        <w:t xml:space="preserve">Follow-up phase: telephone review out to 90 days post completion of Phase B where patients continue subcutaneous </w:t>
      </w:r>
      <w:r w:rsidR="00F2545C">
        <w:rPr>
          <w:rFonts w:ascii="Times" w:hAnsi="Times" w:cstheme="majorHAnsi"/>
          <w:sz w:val="22"/>
          <w:szCs w:val="22"/>
        </w:rPr>
        <w:t xml:space="preserve">LMWH </w:t>
      </w:r>
      <w:r>
        <w:rPr>
          <w:rFonts w:ascii="Times" w:hAnsi="Times" w:cstheme="majorHAnsi"/>
          <w:sz w:val="22"/>
          <w:szCs w:val="22"/>
        </w:rPr>
        <w:t>injections (no anti-Xa assessments required)</w:t>
      </w:r>
    </w:p>
    <w:p w14:paraId="6833C114" w14:textId="77777777" w:rsidR="009139DC" w:rsidRPr="00075724" w:rsidRDefault="009139DC" w:rsidP="00075724">
      <w:pPr>
        <w:jc w:val="both"/>
        <w:rPr>
          <w:rFonts w:ascii="Times" w:hAnsi="Times" w:cstheme="majorHAnsi"/>
          <w:sz w:val="22"/>
          <w:szCs w:val="22"/>
        </w:rPr>
      </w:pPr>
    </w:p>
    <w:p w14:paraId="74E56ED4" w14:textId="6E96EFB7" w:rsidR="00AB1668" w:rsidRDefault="00010546" w:rsidP="00075724">
      <w:pPr>
        <w:jc w:val="both"/>
        <w:rPr>
          <w:rFonts w:ascii="Times" w:hAnsi="Times" w:cstheme="majorHAnsi"/>
          <w:sz w:val="22"/>
          <w:szCs w:val="22"/>
        </w:rPr>
      </w:pPr>
      <w:r w:rsidRPr="002C7DEE">
        <w:rPr>
          <w:rFonts w:ascii="Times" w:hAnsi="Times" w:cstheme="majorHAnsi"/>
          <w:sz w:val="22"/>
          <w:szCs w:val="22"/>
        </w:rPr>
        <w:t>All consented and eligible p</w:t>
      </w:r>
      <w:r w:rsidR="00CE70DF" w:rsidRPr="002C7DEE">
        <w:rPr>
          <w:rFonts w:ascii="Times" w:hAnsi="Times" w:cstheme="majorHAnsi"/>
          <w:sz w:val="22"/>
          <w:szCs w:val="22"/>
        </w:rPr>
        <w:t xml:space="preserve">atients will undergo a training session </w:t>
      </w:r>
      <w:r w:rsidRPr="002C7DEE">
        <w:rPr>
          <w:rFonts w:ascii="Times" w:hAnsi="Times" w:cstheme="majorHAnsi"/>
          <w:sz w:val="22"/>
          <w:szCs w:val="22"/>
        </w:rPr>
        <w:t xml:space="preserve">with nursing staff on </w:t>
      </w:r>
      <w:r w:rsidR="00CE70DF" w:rsidRPr="002C7DEE">
        <w:rPr>
          <w:rFonts w:ascii="Times" w:hAnsi="Times" w:cstheme="majorHAnsi"/>
          <w:sz w:val="22"/>
          <w:szCs w:val="22"/>
        </w:rPr>
        <w:t xml:space="preserve">using the subcutaneous catheters prior to commencing the study. Those able to both manage the catheter appropriately and administer the medication will </w:t>
      </w:r>
      <w:r w:rsidRPr="002C7DEE">
        <w:rPr>
          <w:rFonts w:ascii="Times" w:hAnsi="Times" w:cstheme="majorHAnsi"/>
          <w:sz w:val="22"/>
          <w:szCs w:val="22"/>
        </w:rPr>
        <w:t>then</w:t>
      </w:r>
      <w:r w:rsidR="00CE70DF" w:rsidRPr="002C7DEE">
        <w:rPr>
          <w:rFonts w:ascii="Times" w:hAnsi="Times" w:cstheme="majorHAnsi"/>
          <w:sz w:val="22"/>
          <w:szCs w:val="22"/>
        </w:rPr>
        <w:t xml:space="preserve"> proceed</w:t>
      </w:r>
      <w:r w:rsidR="00012249" w:rsidRPr="002C7DEE">
        <w:rPr>
          <w:rFonts w:ascii="Times" w:hAnsi="Times" w:cstheme="majorHAnsi"/>
          <w:sz w:val="22"/>
          <w:szCs w:val="22"/>
        </w:rPr>
        <w:t xml:space="preserve"> </w:t>
      </w:r>
      <w:r w:rsidRPr="002C7DEE">
        <w:rPr>
          <w:rFonts w:ascii="Times" w:hAnsi="Times" w:cstheme="majorHAnsi"/>
          <w:sz w:val="22"/>
          <w:szCs w:val="22"/>
        </w:rPr>
        <w:t xml:space="preserve">to self-administer </w:t>
      </w:r>
      <w:r w:rsidR="00F2545C">
        <w:rPr>
          <w:rFonts w:ascii="Times" w:hAnsi="Times" w:cstheme="majorHAnsi"/>
          <w:sz w:val="22"/>
          <w:szCs w:val="22"/>
        </w:rPr>
        <w:t>LMWH</w:t>
      </w:r>
      <w:r w:rsidR="00F2545C" w:rsidRPr="002C7DEE">
        <w:rPr>
          <w:rFonts w:ascii="Times" w:hAnsi="Times" w:cstheme="majorHAnsi"/>
          <w:sz w:val="22"/>
          <w:szCs w:val="22"/>
        </w:rPr>
        <w:t xml:space="preserve"> </w:t>
      </w:r>
      <w:r w:rsidRPr="002C7DEE">
        <w:rPr>
          <w:rFonts w:ascii="Times" w:hAnsi="Times" w:cstheme="majorHAnsi"/>
          <w:sz w:val="22"/>
          <w:szCs w:val="22"/>
        </w:rPr>
        <w:t xml:space="preserve">via this route. Basic dressings, alcohol sterilising wipes and sharps containers will be provided. Due to the </w:t>
      </w:r>
      <w:r w:rsidR="00F2545C">
        <w:rPr>
          <w:rFonts w:ascii="Times" w:hAnsi="Times" w:cstheme="majorHAnsi"/>
          <w:sz w:val="22"/>
          <w:szCs w:val="22"/>
        </w:rPr>
        <w:t xml:space="preserve">negligible </w:t>
      </w:r>
      <w:r w:rsidRPr="002C7DEE">
        <w:rPr>
          <w:rFonts w:ascii="Times" w:hAnsi="Times" w:cstheme="majorHAnsi"/>
          <w:sz w:val="22"/>
          <w:szCs w:val="22"/>
        </w:rPr>
        <w:t xml:space="preserve">dead volume within the catheter, the </w:t>
      </w:r>
      <w:r w:rsidR="00F2545C">
        <w:rPr>
          <w:rFonts w:ascii="Times" w:hAnsi="Times" w:cstheme="majorHAnsi"/>
          <w:sz w:val="22"/>
          <w:szCs w:val="22"/>
        </w:rPr>
        <w:t xml:space="preserve">insuflon does not need to </w:t>
      </w:r>
      <w:r w:rsidRPr="002C7DEE">
        <w:rPr>
          <w:rFonts w:ascii="Times" w:hAnsi="Times" w:cstheme="majorHAnsi"/>
          <w:sz w:val="22"/>
          <w:szCs w:val="22"/>
        </w:rPr>
        <w:t xml:space="preserve">be primed for the patient </w:t>
      </w:r>
      <w:r w:rsidR="00F2545C">
        <w:rPr>
          <w:rFonts w:ascii="Times" w:hAnsi="Times" w:cstheme="majorHAnsi"/>
          <w:sz w:val="22"/>
          <w:szCs w:val="22"/>
        </w:rPr>
        <w:t>as per the product information</w:t>
      </w:r>
      <w:r w:rsidRPr="002C7DEE">
        <w:rPr>
          <w:rFonts w:ascii="Times" w:hAnsi="Times" w:cstheme="majorHAnsi"/>
          <w:sz w:val="22"/>
          <w:szCs w:val="22"/>
        </w:rPr>
        <w:t>.</w:t>
      </w:r>
      <w:r w:rsidR="006845F8" w:rsidRPr="002C7DEE">
        <w:rPr>
          <w:rFonts w:ascii="Times" w:hAnsi="Times" w:cstheme="majorHAnsi"/>
          <w:sz w:val="22"/>
          <w:szCs w:val="22"/>
        </w:rPr>
        <w:t xml:space="preserve"> </w:t>
      </w:r>
    </w:p>
    <w:p w14:paraId="093A7D2B" w14:textId="77777777" w:rsidR="004F65F2" w:rsidRPr="002C7DEE" w:rsidRDefault="004F65F2" w:rsidP="00075724">
      <w:pPr>
        <w:jc w:val="both"/>
        <w:rPr>
          <w:rFonts w:ascii="Times" w:hAnsi="Times" w:cstheme="majorHAnsi"/>
          <w:sz w:val="22"/>
          <w:szCs w:val="22"/>
        </w:rPr>
      </w:pPr>
    </w:p>
    <w:p w14:paraId="48F640E6" w14:textId="07E281FB" w:rsidR="00132EF4" w:rsidRDefault="0007367D" w:rsidP="00075724">
      <w:pPr>
        <w:jc w:val="both"/>
        <w:rPr>
          <w:rFonts w:ascii="Times" w:hAnsi="Times" w:cstheme="majorHAnsi"/>
          <w:sz w:val="22"/>
          <w:szCs w:val="22"/>
        </w:rPr>
      </w:pPr>
      <w:r w:rsidRPr="002C7DEE">
        <w:rPr>
          <w:rFonts w:ascii="Times" w:hAnsi="Times" w:cstheme="majorHAnsi"/>
          <w:sz w:val="22"/>
          <w:szCs w:val="22"/>
        </w:rPr>
        <w:t>Venepuncture</w:t>
      </w:r>
      <w:r w:rsidR="00010546" w:rsidRPr="002C7DEE">
        <w:rPr>
          <w:rFonts w:ascii="Times" w:hAnsi="Times" w:cstheme="majorHAnsi"/>
          <w:sz w:val="22"/>
          <w:szCs w:val="22"/>
        </w:rPr>
        <w:t xml:space="preserve"> will be performed </w:t>
      </w:r>
      <w:r w:rsidR="00572CA0" w:rsidRPr="002C7DEE">
        <w:rPr>
          <w:rFonts w:ascii="Times" w:hAnsi="Times" w:cstheme="majorHAnsi"/>
          <w:sz w:val="22"/>
          <w:szCs w:val="22"/>
        </w:rPr>
        <w:t xml:space="preserve">by trained nursing or medical staff in the Monash Clinical Trials Centre </w:t>
      </w:r>
      <w:r w:rsidR="00010546" w:rsidRPr="002C7DEE">
        <w:rPr>
          <w:rFonts w:ascii="Times" w:hAnsi="Times" w:cstheme="majorHAnsi"/>
          <w:sz w:val="22"/>
          <w:szCs w:val="22"/>
        </w:rPr>
        <w:t>to assess p</w:t>
      </w:r>
      <w:r w:rsidR="00CE70DF" w:rsidRPr="002C7DEE">
        <w:rPr>
          <w:rFonts w:ascii="Times" w:hAnsi="Times" w:cstheme="majorHAnsi"/>
          <w:sz w:val="22"/>
          <w:szCs w:val="22"/>
        </w:rPr>
        <w:t>eak anti-Xa levels, collected 4</w:t>
      </w:r>
      <w:r w:rsidR="004309F9" w:rsidRPr="002C7DEE">
        <w:rPr>
          <w:rFonts w:ascii="Times" w:hAnsi="Times" w:cstheme="majorHAnsi"/>
          <w:sz w:val="22"/>
          <w:szCs w:val="22"/>
        </w:rPr>
        <w:t xml:space="preserve"> +/- 1</w:t>
      </w:r>
      <w:r w:rsidR="00CE70DF" w:rsidRPr="002C7DEE">
        <w:rPr>
          <w:rFonts w:ascii="Times" w:hAnsi="Times" w:cstheme="majorHAnsi"/>
          <w:sz w:val="22"/>
          <w:szCs w:val="22"/>
        </w:rPr>
        <w:t xml:space="preserve"> hours post dose, will be measured on days 2, 5 +/- 1, and day 7</w:t>
      </w:r>
      <w:r w:rsidR="00012249" w:rsidRPr="002C7DEE">
        <w:rPr>
          <w:rFonts w:ascii="Times" w:hAnsi="Times" w:cstheme="majorHAnsi"/>
          <w:sz w:val="22"/>
          <w:szCs w:val="22"/>
        </w:rPr>
        <w:t xml:space="preserve"> if the catheter remains in at that time without complication</w:t>
      </w:r>
      <w:r w:rsidR="004F65F2">
        <w:rPr>
          <w:rFonts w:ascii="Times" w:hAnsi="Times" w:cstheme="majorHAnsi"/>
          <w:sz w:val="22"/>
          <w:szCs w:val="22"/>
        </w:rPr>
        <w:t xml:space="preserve"> in Phase A</w:t>
      </w:r>
      <w:r w:rsidR="00CE70DF" w:rsidRPr="002C7DEE">
        <w:rPr>
          <w:rFonts w:ascii="Times" w:hAnsi="Times" w:cstheme="majorHAnsi"/>
          <w:sz w:val="22"/>
          <w:szCs w:val="22"/>
        </w:rPr>
        <w:t xml:space="preserve">. </w:t>
      </w:r>
      <w:r w:rsidR="00012249" w:rsidRPr="002C7DEE">
        <w:rPr>
          <w:rFonts w:ascii="Times" w:hAnsi="Times" w:cstheme="majorHAnsi"/>
          <w:sz w:val="22"/>
          <w:szCs w:val="22"/>
        </w:rPr>
        <w:t>Following the 5-7 days of administration via subcutaneous catheter, the patients will then switch to subcutaneous injections</w:t>
      </w:r>
      <w:r w:rsidRPr="002C7DEE">
        <w:rPr>
          <w:rFonts w:ascii="Times" w:hAnsi="Times" w:cstheme="majorHAnsi"/>
          <w:sz w:val="22"/>
          <w:szCs w:val="22"/>
        </w:rPr>
        <w:t xml:space="preserve"> with </w:t>
      </w:r>
      <w:r w:rsidR="00012249" w:rsidRPr="002C7DEE">
        <w:rPr>
          <w:rFonts w:ascii="Times" w:hAnsi="Times" w:cstheme="majorHAnsi"/>
          <w:sz w:val="22"/>
          <w:szCs w:val="22"/>
        </w:rPr>
        <w:t xml:space="preserve">a </w:t>
      </w:r>
      <w:r w:rsidR="00541262" w:rsidRPr="002C7DEE">
        <w:rPr>
          <w:rFonts w:ascii="Times" w:hAnsi="Times" w:cstheme="majorHAnsi"/>
          <w:sz w:val="22"/>
          <w:szCs w:val="22"/>
        </w:rPr>
        <w:t xml:space="preserve">minimum </w:t>
      </w:r>
      <w:r w:rsidRPr="002C7DEE">
        <w:rPr>
          <w:rFonts w:ascii="Times" w:hAnsi="Times" w:cstheme="majorHAnsi"/>
          <w:sz w:val="22"/>
          <w:szCs w:val="22"/>
        </w:rPr>
        <w:t xml:space="preserve">5 </w:t>
      </w:r>
      <w:r w:rsidR="00012249" w:rsidRPr="002C7DEE">
        <w:rPr>
          <w:rFonts w:ascii="Times" w:hAnsi="Times" w:cstheme="majorHAnsi"/>
          <w:sz w:val="22"/>
          <w:szCs w:val="22"/>
        </w:rPr>
        <w:t xml:space="preserve">day “washout” period to allow for any </w:t>
      </w:r>
      <w:r w:rsidR="00010546" w:rsidRPr="002C7DEE">
        <w:rPr>
          <w:rFonts w:ascii="Times" w:hAnsi="Times" w:cstheme="majorHAnsi"/>
          <w:sz w:val="22"/>
          <w:szCs w:val="22"/>
        </w:rPr>
        <w:t xml:space="preserve">potential </w:t>
      </w:r>
      <w:r w:rsidR="00012249" w:rsidRPr="002C7DEE">
        <w:rPr>
          <w:rFonts w:ascii="Times" w:hAnsi="Times" w:cstheme="majorHAnsi"/>
          <w:sz w:val="22"/>
          <w:szCs w:val="22"/>
        </w:rPr>
        <w:t xml:space="preserve">accumulation of </w:t>
      </w:r>
      <w:r w:rsidR="00F2545C">
        <w:rPr>
          <w:rFonts w:ascii="Times" w:hAnsi="Times" w:cstheme="majorHAnsi"/>
          <w:sz w:val="22"/>
          <w:szCs w:val="22"/>
        </w:rPr>
        <w:t>LMWH</w:t>
      </w:r>
      <w:r w:rsidR="00F2545C" w:rsidRPr="002C7DEE">
        <w:rPr>
          <w:rFonts w:ascii="Times" w:hAnsi="Times" w:cstheme="majorHAnsi"/>
          <w:sz w:val="22"/>
          <w:szCs w:val="22"/>
        </w:rPr>
        <w:t xml:space="preserve"> </w:t>
      </w:r>
      <w:r w:rsidR="00012249" w:rsidRPr="002C7DEE">
        <w:rPr>
          <w:rFonts w:ascii="Times" w:hAnsi="Times" w:cstheme="majorHAnsi"/>
          <w:sz w:val="22"/>
          <w:szCs w:val="22"/>
        </w:rPr>
        <w:t xml:space="preserve">from the catheter site. Peak anti-Xa levels will then be </w:t>
      </w:r>
      <w:r w:rsidR="00010546" w:rsidRPr="002C7DEE">
        <w:rPr>
          <w:rFonts w:ascii="Times" w:hAnsi="Times" w:cstheme="majorHAnsi"/>
          <w:sz w:val="22"/>
          <w:szCs w:val="22"/>
        </w:rPr>
        <w:t>collected</w:t>
      </w:r>
      <w:r w:rsidR="00012249" w:rsidRPr="002C7DEE">
        <w:rPr>
          <w:rFonts w:ascii="Times" w:hAnsi="Times" w:cstheme="majorHAnsi"/>
          <w:sz w:val="22"/>
          <w:szCs w:val="22"/>
        </w:rPr>
        <w:t xml:space="preserve"> on days 2, </w:t>
      </w:r>
      <w:r w:rsidR="00010546" w:rsidRPr="002C7DEE">
        <w:rPr>
          <w:rFonts w:ascii="Times" w:hAnsi="Times" w:cstheme="majorHAnsi"/>
          <w:sz w:val="22"/>
          <w:szCs w:val="22"/>
        </w:rPr>
        <w:t xml:space="preserve">and day </w:t>
      </w:r>
      <w:r w:rsidR="00012249" w:rsidRPr="002C7DEE">
        <w:rPr>
          <w:rFonts w:ascii="Times" w:hAnsi="Times" w:cstheme="majorHAnsi"/>
          <w:sz w:val="22"/>
          <w:szCs w:val="22"/>
        </w:rPr>
        <w:t>5</w:t>
      </w:r>
      <w:r w:rsidR="00010546" w:rsidRPr="002C7DEE">
        <w:rPr>
          <w:rFonts w:ascii="Times" w:hAnsi="Times" w:cstheme="majorHAnsi"/>
          <w:sz w:val="22"/>
          <w:szCs w:val="22"/>
        </w:rPr>
        <w:t xml:space="preserve"> </w:t>
      </w:r>
      <w:r w:rsidR="00012249" w:rsidRPr="002C7DEE">
        <w:rPr>
          <w:rFonts w:ascii="Times" w:hAnsi="Times" w:cstheme="majorHAnsi"/>
          <w:sz w:val="22"/>
          <w:szCs w:val="22"/>
        </w:rPr>
        <w:t>+/-1</w:t>
      </w:r>
      <w:r w:rsidR="004F65F2">
        <w:rPr>
          <w:rFonts w:ascii="Times" w:hAnsi="Times" w:cstheme="majorHAnsi"/>
          <w:sz w:val="22"/>
          <w:szCs w:val="22"/>
        </w:rPr>
        <w:t xml:space="preserve"> during Phase </w:t>
      </w:r>
      <w:r w:rsidR="004F65F2">
        <w:rPr>
          <w:rFonts w:ascii="Times" w:hAnsi="Times" w:cstheme="majorHAnsi"/>
          <w:sz w:val="22"/>
          <w:szCs w:val="22"/>
        </w:rPr>
        <w:lastRenderedPageBreak/>
        <w:t xml:space="preserve">B, while the patient is receiving </w:t>
      </w:r>
      <w:r w:rsidR="00F2545C">
        <w:rPr>
          <w:rFonts w:ascii="Times" w:hAnsi="Times" w:cstheme="majorHAnsi"/>
          <w:sz w:val="22"/>
          <w:szCs w:val="22"/>
        </w:rPr>
        <w:t>LMWH</w:t>
      </w:r>
      <w:r w:rsidR="00F2545C" w:rsidRPr="002C7DEE">
        <w:rPr>
          <w:rFonts w:ascii="Times" w:hAnsi="Times" w:cstheme="majorHAnsi"/>
          <w:sz w:val="22"/>
          <w:szCs w:val="22"/>
        </w:rPr>
        <w:t xml:space="preserve"> </w:t>
      </w:r>
      <w:r w:rsidR="004F65F2">
        <w:rPr>
          <w:rFonts w:ascii="Times" w:hAnsi="Times" w:cstheme="majorHAnsi"/>
          <w:sz w:val="22"/>
          <w:szCs w:val="22"/>
        </w:rPr>
        <w:t>via subcutaneous injection</w:t>
      </w:r>
      <w:r w:rsidR="00012249" w:rsidRPr="002C7DEE">
        <w:rPr>
          <w:rFonts w:ascii="Times" w:hAnsi="Times" w:cstheme="majorHAnsi"/>
          <w:sz w:val="22"/>
          <w:szCs w:val="22"/>
        </w:rPr>
        <w:t xml:space="preserve">. </w:t>
      </w:r>
      <w:r w:rsidRPr="002C7DEE">
        <w:rPr>
          <w:rFonts w:ascii="Times" w:hAnsi="Times" w:cstheme="majorHAnsi"/>
          <w:sz w:val="22"/>
          <w:szCs w:val="22"/>
        </w:rPr>
        <w:t xml:space="preserve">On site visits will coincide with venepuncture timepoints, at days 2, 5+/-1, 7 (where applicable), then at days </w:t>
      </w:r>
      <w:r w:rsidR="000A40CC" w:rsidRPr="002C7DEE">
        <w:rPr>
          <w:rFonts w:ascii="Times" w:hAnsi="Times" w:cstheme="majorHAnsi"/>
          <w:sz w:val="22"/>
          <w:szCs w:val="22"/>
        </w:rPr>
        <w:t xml:space="preserve">7 </w:t>
      </w:r>
      <w:r w:rsidRPr="002C7DEE">
        <w:rPr>
          <w:rFonts w:ascii="Times" w:hAnsi="Times" w:cstheme="majorHAnsi"/>
          <w:sz w:val="22"/>
          <w:szCs w:val="22"/>
        </w:rPr>
        <w:t xml:space="preserve">and </w:t>
      </w:r>
      <w:r w:rsidR="000A40CC" w:rsidRPr="002C7DEE">
        <w:rPr>
          <w:rFonts w:ascii="Times" w:hAnsi="Times" w:cstheme="majorHAnsi"/>
          <w:sz w:val="22"/>
          <w:szCs w:val="22"/>
        </w:rPr>
        <w:t>10</w:t>
      </w:r>
      <w:r w:rsidRPr="002C7DEE">
        <w:rPr>
          <w:rFonts w:ascii="Times" w:hAnsi="Times" w:cstheme="majorHAnsi"/>
          <w:sz w:val="22"/>
          <w:szCs w:val="22"/>
        </w:rPr>
        <w:t xml:space="preserve"> of subcutaneous </w:t>
      </w:r>
      <w:r w:rsidR="00F2545C">
        <w:rPr>
          <w:rFonts w:ascii="Times" w:hAnsi="Times" w:cstheme="majorHAnsi"/>
          <w:sz w:val="22"/>
          <w:szCs w:val="22"/>
        </w:rPr>
        <w:t>LMWH</w:t>
      </w:r>
      <w:r w:rsidR="00F2545C" w:rsidRPr="002C7DEE">
        <w:rPr>
          <w:rFonts w:ascii="Times" w:hAnsi="Times" w:cstheme="majorHAnsi"/>
          <w:sz w:val="22"/>
          <w:szCs w:val="22"/>
        </w:rPr>
        <w:t xml:space="preserve"> </w:t>
      </w:r>
      <w:r w:rsidRPr="002C7DEE">
        <w:rPr>
          <w:rFonts w:ascii="Times" w:hAnsi="Times" w:cstheme="majorHAnsi"/>
          <w:sz w:val="22"/>
          <w:szCs w:val="22"/>
        </w:rPr>
        <w:t xml:space="preserve">injections (see table 1). Follow-up phone calls will be made on days 30, 60 and 90. See figure 1 for further detail. </w:t>
      </w:r>
    </w:p>
    <w:p w14:paraId="14D24ADD" w14:textId="77777777" w:rsidR="00A40C94" w:rsidRPr="002C7DEE" w:rsidRDefault="00A40C94" w:rsidP="00075724">
      <w:pPr>
        <w:jc w:val="both"/>
        <w:rPr>
          <w:rFonts w:ascii="Times" w:hAnsi="Times" w:cstheme="majorHAnsi"/>
          <w:sz w:val="22"/>
          <w:szCs w:val="22"/>
        </w:rPr>
      </w:pPr>
    </w:p>
    <w:p w14:paraId="7BA603BE" w14:textId="17A135C1" w:rsidR="006845F8" w:rsidRDefault="004F65F2" w:rsidP="00075724">
      <w:pPr>
        <w:jc w:val="both"/>
        <w:rPr>
          <w:rFonts w:ascii="Times" w:hAnsi="Times" w:cstheme="majorHAnsi"/>
          <w:sz w:val="22"/>
          <w:szCs w:val="22"/>
        </w:rPr>
      </w:pPr>
      <w:r>
        <w:rPr>
          <w:rFonts w:ascii="Times" w:hAnsi="Times" w:cstheme="majorHAnsi"/>
          <w:sz w:val="22"/>
          <w:szCs w:val="22"/>
        </w:rPr>
        <w:t>During Phase A, i</w:t>
      </w:r>
      <w:r w:rsidR="006845F8" w:rsidRPr="002C7DEE">
        <w:rPr>
          <w:rFonts w:ascii="Times" w:hAnsi="Times" w:cstheme="majorHAnsi"/>
          <w:sz w:val="22"/>
          <w:szCs w:val="22"/>
        </w:rPr>
        <w:t>f the catheter is dislodged, there will be a maximum of 1 replacement per patient, with a</w:t>
      </w:r>
      <w:r w:rsidR="00572CA0" w:rsidRPr="002C7DEE">
        <w:rPr>
          <w:rFonts w:ascii="Times" w:hAnsi="Times" w:cstheme="majorHAnsi"/>
          <w:sz w:val="22"/>
          <w:szCs w:val="22"/>
        </w:rPr>
        <w:t>nti-</w:t>
      </w:r>
      <w:r w:rsidR="006845F8" w:rsidRPr="002C7DEE">
        <w:rPr>
          <w:rFonts w:ascii="Times" w:hAnsi="Times" w:cstheme="majorHAnsi"/>
          <w:sz w:val="22"/>
          <w:szCs w:val="22"/>
        </w:rPr>
        <w:t xml:space="preserve">Xa testing restarting at day 1 on day of replacement. For patients receiving bd </w:t>
      </w:r>
      <w:r w:rsidR="00F2545C">
        <w:rPr>
          <w:rFonts w:ascii="Times" w:hAnsi="Times" w:cstheme="majorHAnsi"/>
          <w:sz w:val="22"/>
          <w:szCs w:val="22"/>
        </w:rPr>
        <w:t>LMWH</w:t>
      </w:r>
      <w:r w:rsidR="00F2545C" w:rsidRPr="002C7DEE">
        <w:rPr>
          <w:rFonts w:ascii="Times" w:hAnsi="Times" w:cstheme="majorHAnsi"/>
          <w:sz w:val="22"/>
          <w:szCs w:val="22"/>
        </w:rPr>
        <w:t xml:space="preserve"> </w:t>
      </w:r>
      <w:r w:rsidR="006845F8" w:rsidRPr="002C7DEE">
        <w:rPr>
          <w:rFonts w:ascii="Times" w:hAnsi="Times" w:cstheme="majorHAnsi"/>
          <w:sz w:val="22"/>
          <w:szCs w:val="22"/>
        </w:rPr>
        <w:t xml:space="preserve">, they will have the option of a second catheter inserted from day 1 to alternate using the 2 catheters if they wish. If this is the preferred option the protocol will be updated accordingly. Indications for catheter removal will include patient request, evidence of infection, or significant bruising/haematoma at the site as per clinician discretion. </w:t>
      </w:r>
    </w:p>
    <w:p w14:paraId="628EB243" w14:textId="77777777" w:rsidR="00A40C94" w:rsidRDefault="00A40C94" w:rsidP="00075724">
      <w:pPr>
        <w:jc w:val="both"/>
        <w:rPr>
          <w:rFonts w:ascii="Times" w:hAnsi="Times" w:cstheme="majorHAnsi"/>
          <w:sz w:val="22"/>
          <w:szCs w:val="22"/>
        </w:rPr>
      </w:pPr>
    </w:p>
    <w:p w14:paraId="5A31A600" w14:textId="1E97F01A" w:rsidR="004F65F2" w:rsidRPr="00AD7B0D" w:rsidRDefault="004F65F2" w:rsidP="00075724">
      <w:pPr>
        <w:jc w:val="both"/>
        <w:rPr>
          <w:rFonts w:ascii="Times" w:hAnsi="Times" w:cstheme="majorHAnsi"/>
          <w:sz w:val="22"/>
          <w:szCs w:val="22"/>
        </w:rPr>
      </w:pPr>
      <w:r>
        <w:rPr>
          <w:rFonts w:ascii="Times" w:hAnsi="Times" w:cstheme="majorHAnsi"/>
          <w:sz w:val="22"/>
          <w:szCs w:val="22"/>
        </w:rPr>
        <w:t xml:space="preserve">Once patients have completed Phase B, they will be given the option of continuing subcutaneous injections, or switching back to the subcutaneous catheter for ongoing </w:t>
      </w:r>
      <w:r w:rsidR="00F2545C">
        <w:rPr>
          <w:rFonts w:ascii="Times" w:hAnsi="Times" w:cstheme="majorHAnsi"/>
          <w:sz w:val="22"/>
          <w:szCs w:val="22"/>
        </w:rPr>
        <w:t>LMWH</w:t>
      </w:r>
      <w:r w:rsidR="00F2545C" w:rsidRPr="002C7DEE">
        <w:rPr>
          <w:rFonts w:ascii="Times" w:hAnsi="Times" w:cstheme="majorHAnsi"/>
          <w:sz w:val="22"/>
          <w:szCs w:val="22"/>
        </w:rPr>
        <w:t xml:space="preserve"> </w:t>
      </w:r>
      <w:r>
        <w:rPr>
          <w:rFonts w:ascii="Times" w:hAnsi="Times" w:cstheme="majorHAnsi"/>
          <w:sz w:val="22"/>
          <w:szCs w:val="22"/>
        </w:rPr>
        <w:t xml:space="preserve">administration.  </w:t>
      </w:r>
      <w:r w:rsidRPr="00AD7B0D">
        <w:rPr>
          <w:rFonts w:ascii="Times" w:hAnsi="Times" w:cstheme="majorHAnsi"/>
          <w:sz w:val="22"/>
          <w:szCs w:val="22"/>
        </w:rPr>
        <w:t xml:space="preserve">For participants wishing to continue with the subcutaneous catheter, safety will be determined by an independent clinician who is not </w:t>
      </w:r>
      <w:r>
        <w:rPr>
          <w:rFonts w:ascii="Times" w:hAnsi="Times" w:cstheme="majorHAnsi"/>
          <w:sz w:val="22"/>
          <w:szCs w:val="22"/>
        </w:rPr>
        <w:t>affiliated with th</w:t>
      </w:r>
      <w:r w:rsidRPr="00AD7B0D">
        <w:rPr>
          <w:rFonts w:ascii="Times" w:hAnsi="Times" w:cstheme="majorHAnsi"/>
          <w:sz w:val="22"/>
          <w:szCs w:val="22"/>
        </w:rPr>
        <w:t xml:space="preserve">e study team.  This will involve clinical review of the patient and associated anti-Xa results.  If the patient is deemed safe to continue, they will have the subcutaneous catheters inserted at the Monash Clinical Trials Centre by trained nursing staff, with repeat anti-Xa assessments and </w:t>
      </w:r>
      <w:r>
        <w:rPr>
          <w:rFonts w:ascii="Times" w:hAnsi="Times" w:cstheme="majorHAnsi"/>
          <w:sz w:val="22"/>
          <w:szCs w:val="22"/>
        </w:rPr>
        <w:t xml:space="preserve">independent </w:t>
      </w:r>
      <w:r w:rsidRPr="00AD7B0D">
        <w:rPr>
          <w:rFonts w:ascii="Times" w:hAnsi="Times" w:cstheme="majorHAnsi"/>
          <w:sz w:val="22"/>
          <w:szCs w:val="22"/>
        </w:rPr>
        <w:t xml:space="preserve">clinician review on a 4-weekly basis. </w:t>
      </w:r>
      <w:r w:rsidR="00A40C94">
        <w:rPr>
          <w:rFonts w:ascii="Times" w:hAnsi="Times" w:cstheme="majorHAnsi"/>
          <w:sz w:val="22"/>
          <w:szCs w:val="22"/>
        </w:rPr>
        <w:t xml:space="preserve"> If after 4 weeks, the participant wishes to self-insert insuflon catheters ongoing, they will be shown by trials nursing staff how to manage this, and supplied with appropriate materials (insuflon catheters, sharps disposal containers, dressings and alcohol wipes. They will be</w:t>
      </w:r>
      <w:r w:rsidR="005A5199">
        <w:rPr>
          <w:rFonts w:ascii="Times" w:hAnsi="Times" w:cstheme="majorHAnsi"/>
          <w:sz w:val="22"/>
          <w:szCs w:val="22"/>
        </w:rPr>
        <w:t xml:space="preserve"> supervised by trials nursing staff when self-inserting the insuflon for the first time, and</w:t>
      </w:r>
      <w:r w:rsidR="00A40C94">
        <w:rPr>
          <w:rFonts w:ascii="Times" w:hAnsi="Times" w:cstheme="majorHAnsi"/>
          <w:sz w:val="22"/>
          <w:szCs w:val="22"/>
        </w:rPr>
        <w:t xml:space="preserve"> able to contact trials nursing or medical staff if they have any </w:t>
      </w:r>
      <w:r w:rsidR="005A5199">
        <w:rPr>
          <w:rFonts w:ascii="Times" w:hAnsi="Times" w:cstheme="majorHAnsi"/>
          <w:sz w:val="22"/>
          <w:szCs w:val="22"/>
        </w:rPr>
        <w:t>issues. They may</w:t>
      </w:r>
      <w:r w:rsidR="00A40C94">
        <w:rPr>
          <w:rFonts w:ascii="Times" w:hAnsi="Times" w:cstheme="majorHAnsi"/>
          <w:sz w:val="22"/>
          <w:szCs w:val="22"/>
        </w:rPr>
        <w:t xml:space="preserve"> return to the trials nursing staff inserting the insuflon catheter if they prefer.  </w:t>
      </w:r>
      <w:r>
        <w:rPr>
          <w:rFonts w:ascii="Times" w:hAnsi="Times" w:cstheme="majorHAnsi"/>
          <w:sz w:val="22"/>
          <w:szCs w:val="22"/>
        </w:rPr>
        <w:t>The participant will have the option to continue with the subcutaneous catheter for up to 6 months if there are no safety concerns.  If</w:t>
      </w:r>
      <w:r w:rsidR="00773108">
        <w:rPr>
          <w:rFonts w:ascii="Times" w:hAnsi="Times" w:cstheme="majorHAnsi"/>
          <w:sz w:val="22"/>
          <w:szCs w:val="22"/>
        </w:rPr>
        <w:t>/when</w:t>
      </w:r>
      <w:r>
        <w:rPr>
          <w:rFonts w:ascii="Times" w:hAnsi="Times" w:cstheme="majorHAnsi"/>
          <w:sz w:val="22"/>
          <w:szCs w:val="22"/>
        </w:rPr>
        <w:t xml:space="preserve"> they wish to change back to subcutaneous injections then they will enter the </w:t>
      </w:r>
      <w:r w:rsidR="00773108">
        <w:rPr>
          <w:rFonts w:ascii="Times" w:hAnsi="Times" w:cstheme="majorHAnsi"/>
          <w:sz w:val="22"/>
          <w:szCs w:val="22"/>
        </w:rPr>
        <w:t xml:space="preserve">follow-up phase as outlined in Figure 1. </w:t>
      </w:r>
    </w:p>
    <w:p w14:paraId="33763DE7" w14:textId="77777777" w:rsidR="004F65F2" w:rsidRPr="002C7DEE" w:rsidRDefault="004F65F2" w:rsidP="00075724">
      <w:pPr>
        <w:jc w:val="both"/>
        <w:rPr>
          <w:rFonts w:ascii="Times" w:hAnsi="Times" w:cstheme="majorHAnsi"/>
          <w:sz w:val="22"/>
          <w:szCs w:val="22"/>
        </w:rPr>
      </w:pPr>
    </w:p>
    <w:p w14:paraId="4656E11F" w14:textId="0E074911" w:rsidR="0007367D" w:rsidRPr="002C7DEE" w:rsidRDefault="0007367D" w:rsidP="00075724">
      <w:pPr>
        <w:jc w:val="both"/>
        <w:rPr>
          <w:rFonts w:ascii="Times" w:hAnsi="Times" w:cstheme="majorHAnsi"/>
          <w:sz w:val="22"/>
          <w:szCs w:val="22"/>
        </w:rPr>
      </w:pPr>
    </w:p>
    <w:p w14:paraId="488ACCBE" w14:textId="76C6F636" w:rsidR="0007367D" w:rsidRPr="002C7DEE" w:rsidRDefault="0007367D" w:rsidP="00075724">
      <w:pPr>
        <w:pStyle w:val="Heading3"/>
        <w:rPr>
          <w:rFonts w:ascii="Times" w:hAnsi="Times" w:cstheme="majorHAnsi"/>
          <w:sz w:val="22"/>
          <w:szCs w:val="22"/>
        </w:rPr>
      </w:pPr>
      <w:bookmarkStart w:id="20" w:name="_Toc166235152"/>
      <w:r w:rsidRPr="002C7DEE">
        <w:rPr>
          <w:rFonts w:ascii="Times" w:hAnsi="Times" w:cstheme="majorHAnsi"/>
          <w:sz w:val="22"/>
          <w:szCs w:val="22"/>
        </w:rPr>
        <w:lastRenderedPageBreak/>
        <w:t>Figure 1</w:t>
      </w:r>
      <w:r w:rsidR="00BD31D5" w:rsidRPr="002C7DEE">
        <w:rPr>
          <w:rFonts w:ascii="Times" w:hAnsi="Times" w:cstheme="majorHAnsi"/>
          <w:sz w:val="22"/>
          <w:szCs w:val="22"/>
        </w:rPr>
        <w:t>.</w:t>
      </w:r>
      <w:r w:rsidR="0044757A">
        <w:rPr>
          <w:rFonts w:ascii="Times" w:hAnsi="Times" w:cstheme="majorHAnsi"/>
          <w:sz w:val="22"/>
          <w:szCs w:val="22"/>
        </w:rPr>
        <w:t xml:space="preserve"> Study outline.</w:t>
      </w:r>
      <w:bookmarkEnd w:id="20"/>
    </w:p>
    <w:p w14:paraId="7F01BAB9" w14:textId="77777777" w:rsidR="00E47C30" w:rsidRDefault="00726851" w:rsidP="00075724">
      <w:pPr>
        <w:jc w:val="both"/>
        <w:rPr>
          <w:rFonts w:ascii="Times" w:hAnsi="Times" w:cstheme="majorHAnsi"/>
          <w:sz w:val="22"/>
          <w:szCs w:val="22"/>
        </w:rPr>
      </w:pPr>
      <w:r>
        <w:rPr>
          <w:rFonts w:ascii="Times" w:hAnsi="Times" w:cstheme="majorHAnsi"/>
          <w:noProof/>
          <w:sz w:val="22"/>
          <w:szCs w:val="22"/>
          <w:lang w:eastAsia="en-AU"/>
        </w:rPr>
        <w:drawing>
          <wp:inline distT="0" distB="0" distL="0" distR="0" wp14:anchorId="575D5C85" wp14:editId="2DB3E2A1">
            <wp:extent cx="6534150" cy="4253948"/>
            <wp:effectExtent l="0" t="19050" r="0" b="133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F3FD7A3" w14:textId="49D16710" w:rsidR="00E47C30" w:rsidRPr="00075724" w:rsidRDefault="00E47C30" w:rsidP="00075724">
      <w:pPr>
        <w:jc w:val="both"/>
        <w:rPr>
          <w:rFonts w:ascii="Times" w:hAnsi="Times" w:cstheme="majorHAnsi"/>
          <w:sz w:val="20"/>
          <w:szCs w:val="22"/>
        </w:rPr>
      </w:pPr>
      <w:r w:rsidRPr="00075724">
        <w:rPr>
          <w:rFonts w:ascii="Times" w:hAnsi="Times" w:cstheme="majorHAnsi"/>
          <w:sz w:val="20"/>
          <w:szCs w:val="22"/>
        </w:rPr>
        <w:t>* +/-1 day permitted for anti-Xa testing</w:t>
      </w:r>
      <w:r w:rsidR="00CD7DAE">
        <w:rPr>
          <w:rFonts w:ascii="Times" w:hAnsi="Times" w:cstheme="majorHAnsi"/>
          <w:sz w:val="20"/>
          <w:szCs w:val="22"/>
        </w:rPr>
        <w:t xml:space="preserve">. Day 7 testing performed on those in whom the catheter remains in for 7 days. </w:t>
      </w:r>
    </w:p>
    <w:p w14:paraId="61BC93B3" w14:textId="4C9D8E19" w:rsidR="00CD7DAE" w:rsidRPr="00075724" w:rsidRDefault="00CD7DAE" w:rsidP="00075724">
      <w:pPr>
        <w:jc w:val="both"/>
        <w:rPr>
          <w:rFonts w:ascii="Times" w:hAnsi="Times" w:cstheme="majorHAnsi"/>
          <w:sz w:val="20"/>
          <w:szCs w:val="22"/>
        </w:rPr>
      </w:pPr>
      <w:r w:rsidRPr="00075724">
        <w:rPr>
          <w:rFonts w:ascii="Times" w:hAnsi="Times" w:cstheme="majorHAnsi"/>
          <w:sz w:val="20"/>
          <w:szCs w:val="22"/>
        </w:rPr>
        <w:t xml:space="preserve">** An independent clinician not within the study team will review the anti-Xa results for each patient to determine whether they are safe to continue using the subcutaneous catheter. </w:t>
      </w:r>
    </w:p>
    <w:p w14:paraId="77D8788C" w14:textId="2BDD34E2" w:rsidR="00E47C30" w:rsidRPr="00075724" w:rsidRDefault="00E47C30" w:rsidP="00075724">
      <w:pPr>
        <w:jc w:val="both"/>
        <w:rPr>
          <w:rFonts w:ascii="Times" w:hAnsi="Times" w:cstheme="majorHAnsi"/>
          <w:sz w:val="20"/>
          <w:szCs w:val="22"/>
        </w:rPr>
      </w:pPr>
      <w:r w:rsidRPr="00075724">
        <w:rPr>
          <w:rFonts w:ascii="Times" w:hAnsi="Times" w:cstheme="majorHAnsi"/>
          <w:sz w:val="20"/>
          <w:szCs w:val="22"/>
        </w:rPr>
        <w:t>*</w:t>
      </w:r>
      <w:r w:rsidR="00CD7DAE" w:rsidRPr="00075724">
        <w:rPr>
          <w:rFonts w:ascii="Times" w:hAnsi="Times" w:cstheme="majorHAnsi"/>
          <w:sz w:val="20"/>
          <w:szCs w:val="22"/>
        </w:rPr>
        <w:t>*</w:t>
      </w:r>
      <w:r w:rsidRPr="00075724">
        <w:rPr>
          <w:rFonts w:ascii="Times" w:hAnsi="Times" w:cstheme="majorHAnsi"/>
          <w:sz w:val="20"/>
          <w:szCs w:val="22"/>
        </w:rPr>
        <w:t xml:space="preserve">* </w:t>
      </w:r>
      <w:r w:rsidR="00CD7DAE" w:rsidRPr="00075724">
        <w:rPr>
          <w:rFonts w:ascii="Times" w:hAnsi="Times" w:cstheme="majorHAnsi"/>
          <w:sz w:val="20"/>
          <w:szCs w:val="22"/>
        </w:rPr>
        <w:t xml:space="preserve">Anti-Xa results will be reviewed by an independent clinician who is not part of the study team to assess safety. </w:t>
      </w:r>
      <w:r w:rsidRPr="00075724">
        <w:rPr>
          <w:rFonts w:ascii="Times" w:hAnsi="Times" w:cstheme="majorHAnsi"/>
          <w:sz w:val="20"/>
          <w:szCs w:val="22"/>
        </w:rPr>
        <w:t>Additional blood tests and anti-Xa levels permitted at clinician discretion</w:t>
      </w:r>
      <w:r w:rsidR="00CD7DAE" w:rsidRPr="00075724">
        <w:rPr>
          <w:rFonts w:ascii="Times" w:hAnsi="Times" w:cstheme="majorHAnsi"/>
          <w:sz w:val="20"/>
          <w:szCs w:val="22"/>
        </w:rPr>
        <w:t>.</w:t>
      </w:r>
    </w:p>
    <w:p w14:paraId="73268398" w14:textId="77777777" w:rsidR="00CD7DAE" w:rsidRDefault="00CD7DAE" w:rsidP="00075724">
      <w:pPr>
        <w:jc w:val="both"/>
        <w:rPr>
          <w:rFonts w:ascii="Times" w:hAnsi="Times" w:cstheme="majorHAnsi"/>
          <w:sz w:val="22"/>
          <w:szCs w:val="22"/>
        </w:rPr>
      </w:pPr>
    </w:p>
    <w:p w14:paraId="4C7047E7" w14:textId="667D8CEB" w:rsidR="0007367D" w:rsidRPr="002C7DEE" w:rsidRDefault="0007367D" w:rsidP="00075724">
      <w:pPr>
        <w:jc w:val="both"/>
        <w:rPr>
          <w:rFonts w:ascii="Times" w:hAnsi="Times" w:cstheme="majorHAnsi"/>
          <w:sz w:val="22"/>
          <w:szCs w:val="22"/>
        </w:rPr>
      </w:pPr>
    </w:p>
    <w:p w14:paraId="2333D415" w14:textId="165BF024" w:rsidR="00863606" w:rsidRPr="002C7DEE" w:rsidRDefault="00863606" w:rsidP="00075724">
      <w:pPr>
        <w:jc w:val="both"/>
        <w:rPr>
          <w:rFonts w:ascii="Times" w:hAnsi="Times" w:cstheme="majorHAnsi"/>
          <w:sz w:val="22"/>
          <w:szCs w:val="22"/>
        </w:rPr>
      </w:pPr>
    </w:p>
    <w:p w14:paraId="601845A1" w14:textId="1E34264E" w:rsidR="00863606" w:rsidRPr="002C7DEE" w:rsidRDefault="00863606" w:rsidP="00075724">
      <w:pPr>
        <w:jc w:val="both"/>
        <w:rPr>
          <w:rFonts w:ascii="Times" w:hAnsi="Times" w:cstheme="majorHAnsi"/>
          <w:sz w:val="22"/>
          <w:szCs w:val="22"/>
        </w:rPr>
      </w:pPr>
    </w:p>
    <w:p w14:paraId="23BF5E78" w14:textId="13ED72FF" w:rsidR="00863606" w:rsidRPr="002C7DEE" w:rsidRDefault="00863606" w:rsidP="00075724">
      <w:pPr>
        <w:pStyle w:val="Heading3"/>
        <w:rPr>
          <w:rFonts w:ascii="Times" w:hAnsi="Times" w:cstheme="majorHAnsi"/>
          <w:sz w:val="22"/>
          <w:szCs w:val="22"/>
        </w:rPr>
      </w:pPr>
      <w:bookmarkStart w:id="21" w:name="_Toc166235153"/>
      <w:r w:rsidRPr="002C7DEE">
        <w:rPr>
          <w:rFonts w:ascii="Times" w:hAnsi="Times" w:cstheme="majorHAnsi"/>
          <w:sz w:val="22"/>
          <w:szCs w:val="22"/>
        </w:rPr>
        <w:t>Table 1</w:t>
      </w:r>
      <w:r w:rsidR="00747026" w:rsidRPr="002C7DEE">
        <w:rPr>
          <w:rFonts w:ascii="Times" w:hAnsi="Times" w:cstheme="majorHAnsi"/>
          <w:sz w:val="22"/>
          <w:szCs w:val="22"/>
        </w:rPr>
        <w:t>.</w:t>
      </w:r>
      <w:r w:rsidRPr="002C7DEE">
        <w:rPr>
          <w:rFonts w:ascii="Times" w:hAnsi="Times" w:cstheme="majorHAnsi"/>
          <w:sz w:val="22"/>
          <w:szCs w:val="22"/>
        </w:rPr>
        <w:t xml:space="preserve"> Visit schedule and assessments</w:t>
      </w:r>
      <w:bookmarkEnd w:id="21"/>
      <w:r w:rsidRPr="002C7DEE">
        <w:rPr>
          <w:rFonts w:ascii="Times" w:hAnsi="Times" w:cstheme="majorHAnsi"/>
          <w:sz w:val="22"/>
          <w:szCs w:val="2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06"/>
        <w:gridCol w:w="620"/>
        <w:gridCol w:w="621"/>
        <w:gridCol w:w="621"/>
        <w:gridCol w:w="621"/>
        <w:gridCol w:w="621"/>
        <w:gridCol w:w="620"/>
        <w:gridCol w:w="621"/>
        <w:gridCol w:w="621"/>
        <w:gridCol w:w="621"/>
        <w:gridCol w:w="621"/>
      </w:tblGrid>
      <w:tr w:rsidR="00953B00" w:rsidRPr="00904585" w14:paraId="3D8AF611" w14:textId="695B8D89" w:rsidTr="00953B00">
        <w:trPr>
          <w:trHeight w:val="443"/>
        </w:trPr>
        <w:tc>
          <w:tcPr>
            <w:tcW w:w="2434" w:type="dxa"/>
            <w:shd w:val="clear" w:color="auto" w:fill="auto"/>
          </w:tcPr>
          <w:p w14:paraId="0ED84824" w14:textId="77777777" w:rsidR="00953B00" w:rsidRPr="002C7DEE" w:rsidRDefault="00953B00" w:rsidP="00075724">
            <w:pPr>
              <w:jc w:val="both"/>
              <w:rPr>
                <w:rFonts w:ascii="Times" w:hAnsi="Times" w:cstheme="majorHAnsi"/>
                <w:sz w:val="18"/>
                <w:szCs w:val="18"/>
              </w:rPr>
            </w:pPr>
          </w:p>
        </w:tc>
        <w:tc>
          <w:tcPr>
            <w:tcW w:w="1106" w:type="dxa"/>
            <w:shd w:val="clear" w:color="auto" w:fill="auto"/>
          </w:tcPr>
          <w:p w14:paraId="1A545769" w14:textId="77777777" w:rsidR="00953B00" w:rsidRPr="002C7DEE" w:rsidRDefault="00953B00" w:rsidP="00075724">
            <w:pPr>
              <w:jc w:val="both"/>
              <w:rPr>
                <w:rFonts w:ascii="Times" w:hAnsi="Times" w:cstheme="majorHAnsi"/>
                <w:sz w:val="18"/>
                <w:szCs w:val="18"/>
              </w:rPr>
            </w:pPr>
          </w:p>
        </w:tc>
        <w:tc>
          <w:tcPr>
            <w:tcW w:w="3104" w:type="dxa"/>
            <w:gridSpan w:val="5"/>
          </w:tcPr>
          <w:p w14:paraId="231952C8" w14:textId="1C765C81" w:rsidR="00953B00" w:rsidRPr="002C7DEE" w:rsidRDefault="00773108" w:rsidP="00075724">
            <w:pPr>
              <w:jc w:val="both"/>
              <w:rPr>
                <w:rFonts w:ascii="Times" w:hAnsi="Times" w:cstheme="majorHAnsi"/>
                <w:sz w:val="18"/>
                <w:szCs w:val="18"/>
              </w:rPr>
            </w:pPr>
            <w:r>
              <w:rPr>
                <w:rFonts w:ascii="Times" w:hAnsi="Times" w:cstheme="majorHAnsi"/>
                <w:sz w:val="18"/>
                <w:szCs w:val="18"/>
              </w:rPr>
              <w:t xml:space="preserve">Phase A: </w:t>
            </w:r>
            <w:r w:rsidR="00953B00" w:rsidRPr="002C7DEE">
              <w:rPr>
                <w:rFonts w:ascii="Times" w:hAnsi="Times" w:cstheme="majorHAnsi"/>
                <w:sz w:val="18"/>
                <w:szCs w:val="18"/>
              </w:rPr>
              <w:t>Subcutaneous catheter</w:t>
            </w:r>
          </w:p>
        </w:tc>
        <w:tc>
          <w:tcPr>
            <w:tcW w:w="3104" w:type="dxa"/>
            <w:gridSpan w:val="5"/>
          </w:tcPr>
          <w:p w14:paraId="78519ECD" w14:textId="74BFDDC9" w:rsidR="00953B00" w:rsidRPr="002C7DEE" w:rsidRDefault="00773108" w:rsidP="00075724">
            <w:pPr>
              <w:jc w:val="both"/>
              <w:rPr>
                <w:rFonts w:ascii="Times" w:hAnsi="Times" w:cstheme="majorHAnsi"/>
                <w:sz w:val="18"/>
                <w:szCs w:val="18"/>
              </w:rPr>
            </w:pPr>
            <w:r>
              <w:rPr>
                <w:rFonts w:ascii="Times" w:hAnsi="Times" w:cstheme="majorHAnsi"/>
                <w:sz w:val="18"/>
                <w:szCs w:val="18"/>
              </w:rPr>
              <w:t xml:space="preserve">Phase B: </w:t>
            </w:r>
            <w:r w:rsidR="00953B00" w:rsidRPr="002C7DEE">
              <w:rPr>
                <w:rFonts w:ascii="Times" w:hAnsi="Times" w:cstheme="majorHAnsi"/>
                <w:sz w:val="18"/>
                <w:szCs w:val="18"/>
              </w:rPr>
              <w:t>Subcutaneous injections</w:t>
            </w:r>
          </w:p>
        </w:tc>
      </w:tr>
      <w:tr w:rsidR="00953B00" w:rsidRPr="00904585" w14:paraId="4FF17AED" w14:textId="6E461D19" w:rsidTr="00953B00">
        <w:trPr>
          <w:trHeight w:val="443"/>
        </w:trPr>
        <w:tc>
          <w:tcPr>
            <w:tcW w:w="2434" w:type="dxa"/>
            <w:shd w:val="clear" w:color="auto" w:fill="auto"/>
          </w:tcPr>
          <w:p w14:paraId="7F97DD3C" w14:textId="77777777" w:rsidR="000E4335" w:rsidRPr="002C7DEE" w:rsidRDefault="000E4335" w:rsidP="00075724">
            <w:pPr>
              <w:jc w:val="both"/>
              <w:rPr>
                <w:rFonts w:ascii="Times" w:hAnsi="Times" w:cstheme="majorHAnsi"/>
                <w:sz w:val="18"/>
                <w:szCs w:val="18"/>
              </w:rPr>
            </w:pPr>
          </w:p>
        </w:tc>
        <w:tc>
          <w:tcPr>
            <w:tcW w:w="1106" w:type="dxa"/>
            <w:shd w:val="clear" w:color="auto" w:fill="auto"/>
          </w:tcPr>
          <w:p w14:paraId="000F371E"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Screening</w:t>
            </w:r>
          </w:p>
        </w:tc>
        <w:tc>
          <w:tcPr>
            <w:tcW w:w="620" w:type="dxa"/>
          </w:tcPr>
          <w:p w14:paraId="67EC44A8" w14:textId="665FB8E8"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1</w:t>
            </w:r>
          </w:p>
        </w:tc>
        <w:tc>
          <w:tcPr>
            <w:tcW w:w="621" w:type="dxa"/>
            <w:shd w:val="clear" w:color="auto" w:fill="auto"/>
          </w:tcPr>
          <w:p w14:paraId="62C23829" w14:textId="3FA99600"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2</w:t>
            </w:r>
          </w:p>
        </w:tc>
        <w:tc>
          <w:tcPr>
            <w:tcW w:w="621" w:type="dxa"/>
          </w:tcPr>
          <w:p w14:paraId="40D18E46" w14:textId="3C19F591"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3</w:t>
            </w:r>
          </w:p>
        </w:tc>
        <w:tc>
          <w:tcPr>
            <w:tcW w:w="621" w:type="dxa"/>
          </w:tcPr>
          <w:p w14:paraId="3344FC8E" w14:textId="3B63F7B9"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5</w:t>
            </w:r>
          </w:p>
        </w:tc>
        <w:tc>
          <w:tcPr>
            <w:tcW w:w="621" w:type="dxa"/>
          </w:tcPr>
          <w:p w14:paraId="3DEA637F" w14:textId="06F1FF63"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7</w:t>
            </w:r>
          </w:p>
        </w:tc>
        <w:tc>
          <w:tcPr>
            <w:tcW w:w="620" w:type="dxa"/>
          </w:tcPr>
          <w:p w14:paraId="37FEDA92" w14:textId="42CD8EEA"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 xml:space="preserve">Day </w:t>
            </w:r>
            <w:r w:rsidR="000A40CC" w:rsidRPr="002C7DEE">
              <w:rPr>
                <w:rFonts w:ascii="Times" w:hAnsi="Times" w:cstheme="majorHAnsi"/>
                <w:sz w:val="18"/>
                <w:szCs w:val="18"/>
              </w:rPr>
              <w:t>7</w:t>
            </w:r>
          </w:p>
        </w:tc>
        <w:tc>
          <w:tcPr>
            <w:tcW w:w="621" w:type="dxa"/>
          </w:tcPr>
          <w:p w14:paraId="7131A45D" w14:textId="35C97C90"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 xml:space="preserve">Day </w:t>
            </w:r>
            <w:r w:rsidR="000A40CC" w:rsidRPr="002C7DEE">
              <w:rPr>
                <w:rFonts w:ascii="Times" w:hAnsi="Times" w:cstheme="majorHAnsi"/>
                <w:sz w:val="18"/>
                <w:szCs w:val="18"/>
              </w:rPr>
              <w:t>10</w:t>
            </w:r>
          </w:p>
        </w:tc>
        <w:tc>
          <w:tcPr>
            <w:tcW w:w="621" w:type="dxa"/>
          </w:tcPr>
          <w:p w14:paraId="39C2ACEC" w14:textId="743D3FCE"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30</w:t>
            </w:r>
          </w:p>
        </w:tc>
        <w:tc>
          <w:tcPr>
            <w:tcW w:w="621" w:type="dxa"/>
          </w:tcPr>
          <w:p w14:paraId="248E7576" w14:textId="2D46ACB4"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60</w:t>
            </w:r>
          </w:p>
        </w:tc>
        <w:tc>
          <w:tcPr>
            <w:tcW w:w="621" w:type="dxa"/>
          </w:tcPr>
          <w:p w14:paraId="12D74763" w14:textId="79474B8B"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Day 90</w:t>
            </w:r>
          </w:p>
        </w:tc>
      </w:tr>
      <w:tr w:rsidR="00953B00" w:rsidRPr="00904585" w14:paraId="2D7EDE0E" w14:textId="67DA6BD1" w:rsidTr="00953B00">
        <w:trPr>
          <w:trHeight w:val="226"/>
        </w:trPr>
        <w:tc>
          <w:tcPr>
            <w:tcW w:w="2434" w:type="dxa"/>
            <w:shd w:val="clear" w:color="auto" w:fill="auto"/>
          </w:tcPr>
          <w:p w14:paraId="7E05AB23"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Clinical assessment/medications</w:t>
            </w:r>
          </w:p>
        </w:tc>
        <w:tc>
          <w:tcPr>
            <w:tcW w:w="1106" w:type="dxa"/>
            <w:shd w:val="clear" w:color="auto" w:fill="auto"/>
          </w:tcPr>
          <w:p w14:paraId="3A836423"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613E5BAC" w14:textId="01458C74"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shd w:val="clear" w:color="auto" w:fill="auto"/>
          </w:tcPr>
          <w:p w14:paraId="5DA56775" w14:textId="6E12C5E2" w:rsidR="000E4335" w:rsidRPr="002C7DEE" w:rsidRDefault="000E4335" w:rsidP="00075724">
            <w:pPr>
              <w:jc w:val="both"/>
              <w:rPr>
                <w:rFonts w:ascii="Times" w:hAnsi="Times" w:cstheme="majorHAnsi"/>
                <w:sz w:val="18"/>
                <w:szCs w:val="18"/>
              </w:rPr>
            </w:pPr>
          </w:p>
        </w:tc>
        <w:tc>
          <w:tcPr>
            <w:tcW w:w="621" w:type="dxa"/>
          </w:tcPr>
          <w:p w14:paraId="73CC3967" w14:textId="77777777" w:rsidR="000E4335" w:rsidRPr="002C7DEE" w:rsidRDefault="000E4335" w:rsidP="00075724">
            <w:pPr>
              <w:jc w:val="both"/>
              <w:rPr>
                <w:rFonts w:ascii="Times" w:hAnsi="Times" w:cstheme="majorHAnsi"/>
                <w:sz w:val="18"/>
                <w:szCs w:val="18"/>
              </w:rPr>
            </w:pPr>
          </w:p>
        </w:tc>
        <w:tc>
          <w:tcPr>
            <w:tcW w:w="621" w:type="dxa"/>
          </w:tcPr>
          <w:p w14:paraId="36A28E2E" w14:textId="424BDF8F" w:rsidR="000E4335" w:rsidRPr="002C7DEE" w:rsidRDefault="000E4335" w:rsidP="00075724">
            <w:pPr>
              <w:jc w:val="both"/>
              <w:rPr>
                <w:rFonts w:ascii="Times" w:hAnsi="Times" w:cstheme="majorHAnsi"/>
                <w:sz w:val="18"/>
                <w:szCs w:val="18"/>
              </w:rPr>
            </w:pPr>
          </w:p>
        </w:tc>
        <w:tc>
          <w:tcPr>
            <w:tcW w:w="621" w:type="dxa"/>
          </w:tcPr>
          <w:p w14:paraId="379C115D" w14:textId="77777777" w:rsidR="000E4335" w:rsidRPr="002C7DEE" w:rsidRDefault="000E4335" w:rsidP="00075724">
            <w:pPr>
              <w:jc w:val="both"/>
              <w:rPr>
                <w:rFonts w:ascii="Times" w:hAnsi="Times" w:cstheme="majorHAnsi"/>
                <w:sz w:val="18"/>
                <w:szCs w:val="18"/>
              </w:rPr>
            </w:pPr>
          </w:p>
        </w:tc>
        <w:tc>
          <w:tcPr>
            <w:tcW w:w="620" w:type="dxa"/>
          </w:tcPr>
          <w:p w14:paraId="62A42336" w14:textId="63F7E1BE" w:rsidR="000E4335" w:rsidRPr="002C7DEE" w:rsidRDefault="000E4335" w:rsidP="00075724">
            <w:pPr>
              <w:jc w:val="both"/>
              <w:rPr>
                <w:rFonts w:ascii="Times" w:hAnsi="Times" w:cstheme="majorHAnsi"/>
                <w:sz w:val="18"/>
                <w:szCs w:val="18"/>
              </w:rPr>
            </w:pPr>
          </w:p>
        </w:tc>
        <w:tc>
          <w:tcPr>
            <w:tcW w:w="621" w:type="dxa"/>
          </w:tcPr>
          <w:p w14:paraId="51E5BC4D" w14:textId="77777777" w:rsidR="000E4335" w:rsidRPr="002C7DEE" w:rsidRDefault="000E4335" w:rsidP="00075724">
            <w:pPr>
              <w:jc w:val="both"/>
              <w:rPr>
                <w:rFonts w:ascii="Times" w:hAnsi="Times" w:cstheme="majorHAnsi"/>
                <w:sz w:val="18"/>
                <w:szCs w:val="18"/>
              </w:rPr>
            </w:pPr>
          </w:p>
        </w:tc>
        <w:tc>
          <w:tcPr>
            <w:tcW w:w="621" w:type="dxa"/>
          </w:tcPr>
          <w:p w14:paraId="0941701D" w14:textId="77777777" w:rsidR="000E4335" w:rsidRPr="002C7DEE" w:rsidRDefault="000E4335" w:rsidP="00075724">
            <w:pPr>
              <w:jc w:val="both"/>
              <w:rPr>
                <w:rFonts w:ascii="Times" w:hAnsi="Times" w:cstheme="majorHAnsi"/>
                <w:sz w:val="18"/>
                <w:szCs w:val="18"/>
              </w:rPr>
            </w:pPr>
          </w:p>
        </w:tc>
        <w:tc>
          <w:tcPr>
            <w:tcW w:w="621" w:type="dxa"/>
          </w:tcPr>
          <w:p w14:paraId="279642D8" w14:textId="77777777" w:rsidR="000E4335" w:rsidRPr="002C7DEE" w:rsidRDefault="000E4335" w:rsidP="00075724">
            <w:pPr>
              <w:jc w:val="both"/>
              <w:rPr>
                <w:rFonts w:ascii="Times" w:hAnsi="Times" w:cstheme="majorHAnsi"/>
                <w:sz w:val="18"/>
                <w:szCs w:val="18"/>
              </w:rPr>
            </w:pPr>
          </w:p>
        </w:tc>
        <w:tc>
          <w:tcPr>
            <w:tcW w:w="621" w:type="dxa"/>
          </w:tcPr>
          <w:p w14:paraId="41671C60" w14:textId="77777777" w:rsidR="000E4335" w:rsidRPr="002C7DEE" w:rsidRDefault="000E4335" w:rsidP="00075724">
            <w:pPr>
              <w:jc w:val="both"/>
              <w:rPr>
                <w:rFonts w:ascii="Times" w:hAnsi="Times" w:cstheme="majorHAnsi"/>
                <w:sz w:val="18"/>
                <w:szCs w:val="18"/>
              </w:rPr>
            </w:pPr>
          </w:p>
        </w:tc>
      </w:tr>
      <w:tr w:rsidR="00953B00" w:rsidRPr="00904585" w14:paraId="2693F6D4" w14:textId="2BB8547C" w:rsidTr="00953B00">
        <w:trPr>
          <w:trHeight w:val="226"/>
        </w:trPr>
        <w:tc>
          <w:tcPr>
            <w:tcW w:w="2434" w:type="dxa"/>
            <w:shd w:val="clear" w:color="auto" w:fill="auto"/>
          </w:tcPr>
          <w:p w14:paraId="77197DCC"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Baseline weight and height</w:t>
            </w:r>
          </w:p>
        </w:tc>
        <w:tc>
          <w:tcPr>
            <w:tcW w:w="1106" w:type="dxa"/>
            <w:shd w:val="clear" w:color="auto" w:fill="auto"/>
          </w:tcPr>
          <w:p w14:paraId="27FBFC96"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7D2B07A1" w14:textId="77777777" w:rsidR="000E4335" w:rsidRPr="002C7DEE" w:rsidRDefault="000E4335" w:rsidP="00075724">
            <w:pPr>
              <w:jc w:val="both"/>
              <w:rPr>
                <w:rFonts w:ascii="Times" w:hAnsi="Times" w:cstheme="majorHAnsi"/>
                <w:sz w:val="18"/>
                <w:szCs w:val="18"/>
              </w:rPr>
            </w:pPr>
          </w:p>
        </w:tc>
        <w:tc>
          <w:tcPr>
            <w:tcW w:w="621" w:type="dxa"/>
            <w:shd w:val="clear" w:color="auto" w:fill="auto"/>
          </w:tcPr>
          <w:p w14:paraId="0915DB8A" w14:textId="304FB6F8" w:rsidR="000E4335" w:rsidRPr="002C7DEE" w:rsidRDefault="000E4335" w:rsidP="00075724">
            <w:pPr>
              <w:jc w:val="both"/>
              <w:rPr>
                <w:rFonts w:ascii="Times" w:hAnsi="Times" w:cstheme="majorHAnsi"/>
                <w:sz w:val="18"/>
                <w:szCs w:val="18"/>
              </w:rPr>
            </w:pPr>
          </w:p>
        </w:tc>
        <w:tc>
          <w:tcPr>
            <w:tcW w:w="621" w:type="dxa"/>
          </w:tcPr>
          <w:p w14:paraId="635870FD" w14:textId="77777777" w:rsidR="000E4335" w:rsidRPr="002C7DEE" w:rsidRDefault="000E4335" w:rsidP="00075724">
            <w:pPr>
              <w:jc w:val="both"/>
              <w:rPr>
                <w:rFonts w:ascii="Times" w:hAnsi="Times" w:cstheme="majorHAnsi"/>
                <w:sz w:val="18"/>
                <w:szCs w:val="18"/>
              </w:rPr>
            </w:pPr>
          </w:p>
        </w:tc>
        <w:tc>
          <w:tcPr>
            <w:tcW w:w="621" w:type="dxa"/>
          </w:tcPr>
          <w:p w14:paraId="3AB16E9E" w14:textId="7CC3170E" w:rsidR="000E4335" w:rsidRPr="002C7DEE" w:rsidRDefault="000E4335" w:rsidP="00075724">
            <w:pPr>
              <w:jc w:val="both"/>
              <w:rPr>
                <w:rFonts w:ascii="Times" w:hAnsi="Times" w:cstheme="majorHAnsi"/>
                <w:sz w:val="18"/>
                <w:szCs w:val="18"/>
              </w:rPr>
            </w:pPr>
          </w:p>
        </w:tc>
        <w:tc>
          <w:tcPr>
            <w:tcW w:w="621" w:type="dxa"/>
          </w:tcPr>
          <w:p w14:paraId="7B767034" w14:textId="77777777" w:rsidR="000E4335" w:rsidRPr="002C7DEE" w:rsidRDefault="000E4335" w:rsidP="00075724">
            <w:pPr>
              <w:jc w:val="both"/>
              <w:rPr>
                <w:rFonts w:ascii="Times" w:hAnsi="Times" w:cstheme="majorHAnsi"/>
                <w:sz w:val="18"/>
                <w:szCs w:val="18"/>
              </w:rPr>
            </w:pPr>
          </w:p>
        </w:tc>
        <w:tc>
          <w:tcPr>
            <w:tcW w:w="620" w:type="dxa"/>
          </w:tcPr>
          <w:p w14:paraId="4C24F771" w14:textId="7952E05E" w:rsidR="000E4335" w:rsidRPr="002C7DEE" w:rsidRDefault="000E4335" w:rsidP="00075724">
            <w:pPr>
              <w:jc w:val="both"/>
              <w:rPr>
                <w:rFonts w:ascii="Times" w:hAnsi="Times" w:cstheme="majorHAnsi"/>
                <w:sz w:val="18"/>
                <w:szCs w:val="18"/>
              </w:rPr>
            </w:pPr>
          </w:p>
        </w:tc>
        <w:tc>
          <w:tcPr>
            <w:tcW w:w="621" w:type="dxa"/>
          </w:tcPr>
          <w:p w14:paraId="3D850024" w14:textId="77777777" w:rsidR="000E4335" w:rsidRPr="002C7DEE" w:rsidRDefault="000E4335" w:rsidP="00075724">
            <w:pPr>
              <w:jc w:val="both"/>
              <w:rPr>
                <w:rFonts w:ascii="Times" w:hAnsi="Times" w:cstheme="majorHAnsi"/>
                <w:sz w:val="18"/>
                <w:szCs w:val="18"/>
              </w:rPr>
            </w:pPr>
          </w:p>
        </w:tc>
        <w:tc>
          <w:tcPr>
            <w:tcW w:w="621" w:type="dxa"/>
          </w:tcPr>
          <w:p w14:paraId="1DE37C12" w14:textId="77777777" w:rsidR="000E4335" w:rsidRPr="002C7DEE" w:rsidRDefault="000E4335" w:rsidP="00075724">
            <w:pPr>
              <w:jc w:val="both"/>
              <w:rPr>
                <w:rFonts w:ascii="Times" w:hAnsi="Times" w:cstheme="majorHAnsi"/>
                <w:sz w:val="18"/>
                <w:szCs w:val="18"/>
              </w:rPr>
            </w:pPr>
          </w:p>
        </w:tc>
        <w:tc>
          <w:tcPr>
            <w:tcW w:w="621" w:type="dxa"/>
          </w:tcPr>
          <w:p w14:paraId="6E84C0AB" w14:textId="77777777" w:rsidR="000E4335" w:rsidRPr="002C7DEE" w:rsidRDefault="000E4335" w:rsidP="00075724">
            <w:pPr>
              <w:jc w:val="both"/>
              <w:rPr>
                <w:rFonts w:ascii="Times" w:hAnsi="Times" w:cstheme="majorHAnsi"/>
                <w:sz w:val="18"/>
                <w:szCs w:val="18"/>
              </w:rPr>
            </w:pPr>
          </w:p>
        </w:tc>
        <w:tc>
          <w:tcPr>
            <w:tcW w:w="621" w:type="dxa"/>
          </w:tcPr>
          <w:p w14:paraId="598DE912" w14:textId="77777777" w:rsidR="000E4335" w:rsidRPr="002C7DEE" w:rsidRDefault="000E4335" w:rsidP="00075724">
            <w:pPr>
              <w:jc w:val="both"/>
              <w:rPr>
                <w:rFonts w:ascii="Times" w:hAnsi="Times" w:cstheme="majorHAnsi"/>
                <w:sz w:val="18"/>
                <w:szCs w:val="18"/>
              </w:rPr>
            </w:pPr>
          </w:p>
        </w:tc>
      </w:tr>
      <w:tr w:rsidR="00953B00" w:rsidRPr="00904585" w14:paraId="4C9055AF" w14:textId="34333114" w:rsidTr="00953B00">
        <w:trPr>
          <w:trHeight w:val="217"/>
        </w:trPr>
        <w:tc>
          <w:tcPr>
            <w:tcW w:w="2434" w:type="dxa"/>
            <w:shd w:val="clear" w:color="auto" w:fill="auto"/>
          </w:tcPr>
          <w:p w14:paraId="1570F79D"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Indication for anticoagulation</w:t>
            </w:r>
          </w:p>
        </w:tc>
        <w:tc>
          <w:tcPr>
            <w:tcW w:w="1106" w:type="dxa"/>
            <w:shd w:val="clear" w:color="auto" w:fill="auto"/>
          </w:tcPr>
          <w:p w14:paraId="29D7F849"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3E8574FB" w14:textId="77777777" w:rsidR="000E4335" w:rsidRPr="002C7DEE" w:rsidRDefault="000E4335" w:rsidP="00075724">
            <w:pPr>
              <w:jc w:val="both"/>
              <w:rPr>
                <w:rFonts w:ascii="Times" w:hAnsi="Times" w:cstheme="majorHAnsi"/>
                <w:sz w:val="18"/>
                <w:szCs w:val="18"/>
              </w:rPr>
            </w:pPr>
          </w:p>
        </w:tc>
        <w:tc>
          <w:tcPr>
            <w:tcW w:w="621" w:type="dxa"/>
            <w:shd w:val="clear" w:color="auto" w:fill="auto"/>
          </w:tcPr>
          <w:p w14:paraId="5D5CCF7A" w14:textId="76D0ACE3" w:rsidR="000E4335" w:rsidRPr="002C7DEE" w:rsidRDefault="000E4335" w:rsidP="00075724">
            <w:pPr>
              <w:jc w:val="both"/>
              <w:rPr>
                <w:rFonts w:ascii="Times" w:hAnsi="Times" w:cstheme="majorHAnsi"/>
                <w:sz w:val="18"/>
                <w:szCs w:val="18"/>
              </w:rPr>
            </w:pPr>
          </w:p>
        </w:tc>
        <w:tc>
          <w:tcPr>
            <w:tcW w:w="621" w:type="dxa"/>
          </w:tcPr>
          <w:p w14:paraId="654129A8" w14:textId="77777777" w:rsidR="000E4335" w:rsidRPr="002C7DEE" w:rsidRDefault="000E4335" w:rsidP="00075724">
            <w:pPr>
              <w:jc w:val="both"/>
              <w:rPr>
                <w:rFonts w:ascii="Times" w:hAnsi="Times" w:cstheme="majorHAnsi"/>
                <w:sz w:val="18"/>
                <w:szCs w:val="18"/>
              </w:rPr>
            </w:pPr>
          </w:p>
        </w:tc>
        <w:tc>
          <w:tcPr>
            <w:tcW w:w="621" w:type="dxa"/>
          </w:tcPr>
          <w:p w14:paraId="09911756" w14:textId="52F39252" w:rsidR="000E4335" w:rsidRPr="002C7DEE" w:rsidRDefault="000E4335" w:rsidP="00075724">
            <w:pPr>
              <w:jc w:val="both"/>
              <w:rPr>
                <w:rFonts w:ascii="Times" w:hAnsi="Times" w:cstheme="majorHAnsi"/>
                <w:sz w:val="18"/>
                <w:szCs w:val="18"/>
              </w:rPr>
            </w:pPr>
          </w:p>
        </w:tc>
        <w:tc>
          <w:tcPr>
            <w:tcW w:w="621" w:type="dxa"/>
          </w:tcPr>
          <w:p w14:paraId="77D2E072" w14:textId="77777777" w:rsidR="000E4335" w:rsidRPr="002C7DEE" w:rsidRDefault="000E4335" w:rsidP="00075724">
            <w:pPr>
              <w:jc w:val="both"/>
              <w:rPr>
                <w:rFonts w:ascii="Times" w:hAnsi="Times" w:cstheme="majorHAnsi"/>
                <w:sz w:val="18"/>
                <w:szCs w:val="18"/>
              </w:rPr>
            </w:pPr>
          </w:p>
        </w:tc>
        <w:tc>
          <w:tcPr>
            <w:tcW w:w="620" w:type="dxa"/>
          </w:tcPr>
          <w:p w14:paraId="3D7BEEB7" w14:textId="09BB770D" w:rsidR="000E4335" w:rsidRPr="002C7DEE" w:rsidRDefault="000E4335" w:rsidP="00075724">
            <w:pPr>
              <w:jc w:val="both"/>
              <w:rPr>
                <w:rFonts w:ascii="Times" w:hAnsi="Times" w:cstheme="majorHAnsi"/>
                <w:sz w:val="18"/>
                <w:szCs w:val="18"/>
              </w:rPr>
            </w:pPr>
          </w:p>
        </w:tc>
        <w:tc>
          <w:tcPr>
            <w:tcW w:w="621" w:type="dxa"/>
          </w:tcPr>
          <w:p w14:paraId="259C8198" w14:textId="77777777" w:rsidR="000E4335" w:rsidRPr="002C7DEE" w:rsidRDefault="000E4335" w:rsidP="00075724">
            <w:pPr>
              <w:jc w:val="both"/>
              <w:rPr>
                <w:rFonts w:ascii="Times" w:hAnsi="Times" w:cstheme="majorHAnsi"/>
                <w:sz w:val="18"/>
                <w:szCs w:val="18"/>
              </w:rPr>
            </w:pPr>
          </w:p>
        </w:tc>
        <w:tc>
          <w:tcPr>
            <w:tcW w:w="621" w:type="dxa"/>
          </w:tcPr>
          <w:p w14:paraId="2B8C601A" w14:textId="77777777" w:rsidR="000E4335" w:rsidRPr="002C7DEE" w:rsidRDefault="000E4335" w:rsidP="00075724">
            <w:pPr>
              <w:jc w:val="both"/>
              <w:rPr>
                <w:rFonts w:ascii="Times" w:hAnsi="Times" w:cstheme="majorHAnsi"/>
                <w:sz w:val="18"/>
                <w:szCs w:val="18"/>
              </w:rPr>
            </w:pPr>
          </w:p>
        </w:tc>
        <w:tc>
          <w:tcPr>
            <w:tcW w:w="621" w:type="dxa"/>
          </w:tcPr>
          <w:p w14:paraId="38ABC6A1" w14:textId="77777777" w:rsidR="000E4335" w:rsidRPr="002C7DEE" w:rsidRDefault="000E4335" w:rsidP="00075724">
            <w:pPr>
              <w:jc w:val="both"/>
              <w:rPr>
                <w:rFonts w:ascii="Times" w:hAnsi="Times" w:cstheme="majorHAnsi"/>
                <w:sz w:val="18"/>
                <w:szCs w:val="18"/>
              </w:rPr>
            </w:pPr>
          </w:p>
        </w:tc>
        <w:tc>
          <w:tcPr>
            <w:tcW w:w="621" w:type="dxa"/>
          </w:tcPr>
          <w:p w14:paraId="2AEEA86E" w14:textId="77777777" w:rsidR="000E4335" w:rsidRPr="002C7DEE" w:rsidRDefault="000E4335" w:rsidP="00075724">
            <w:pPr>
              <w:jc w:val="both"/>
              <w:rPr>
                <w:rFonts w:ascii="Times" w:hAnsi="Times" w:cstheme="majorHAnsi"/>
                <w:sz w:val="18"/>
                <w:szCs w:val="18"/>
              </w:rPr>
            </w:pPr>
          </w:p>
        </w:tc>
      </w:tr>
      <w:tr w:rsidR="00953B00" w:rsidRPr="00904585" w14:paraId="747337C0" w14:textId="20C04779" w:rsidTr="00953B00">
        <w:trPr>
          <w:trHeight w:val="226"/>
        </w:trPr>
        <w:tc>
          <w:tcPr>
            <w:tcW w:w="2434" w:type="dxa"/>
            <w:shd w:val="clear" w:color="auto" w:fill="auto"/>
          </w:tcPr>
          <w:p w14:paraId="5833F6A9" w14:textId="7DEBE318"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SOC bloods (FBE, UEC within 4 weeks of commencement)</w:t>
            </w:r>
          </w:p>
        </w:tc>
        <w:tc>
          <w:tcPr>
            <w:tcW w:w="1106" w:type="dxa"/>
            <w:shd w:val="clear" w:color="auto" w:fill="auto"/>
          </w:tcPr>
          <w:p w14:paraId="5C8A944C"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20542B11" w14:textId="77777777" w:rsidR="000E4335" w:rsidRPr="002C7DEE" w:rsidRDefault="000E4335" w:rsidP="00075724">
            <w:pPr>
              <w:jc w:val="both"/>
              <w:rPr>
                <w:rFonts w:ascii="Times" w:hAnsi="Times" w:cstheme="majorHAnsi"/>
                <w:sz w:val="18"/>
                <w:szCs w:val="18"/>
              </w:rPr>
            </w:pPr>
          </w:p>
        </w:tc>
        <w:tc>
          <w:tcPr>
            <w:tcW w:w="621" w:type="dxa"/>
            <w:shd w:val="clear" w:color="auto" w:fill="auto"/>
          </w:tcPr>
          <w:p w14:paraId="4B681ED2" w14:textId="20E5860B" w:rsidR="000E4335" w:rsidRPr="002C7DEE" w:rsidRDefault="000E4335" w:rsidP="00075724">
            <w:pPr>
              <w:jc w:val="both"/>
              <w:rPr>
                <w:rFonts w:ascii="Times" w:hAnsi="Times" w:cstheme="majorHAnsi"/>
                <w:sz w:val="18"/>
                <w:szCs w:val="18"/>
              </w:rPr>
            </w:pPr>
          </w:p>
        </w:tc>
        <w:tc>
          <w:tcPr>
            <w:tcW w:w="621" w:type="dxa"/>
          </w:tcPr>
          <w:p w14:paraId="503C5114" w14:textId="79E61CD6" w:rsidR="000E4335" w:rsidRPr="002C7DEE" w:rsidRDefault="000E4335" w:rsidP="00075724">
            <w:pPr>
              <w:jc w:val="both"/>
              <w:rPr>
                <w:rFonts w:ascii="Times" w:hAnsi="Times" w:cstheme="majorHAnsi"/>
                <w:sz w:val="18"/>
                <w:szCs w:val="18"/>
              </w:rPr>
            </w:pPr>
          </w:p>
        </w:tc>
        <w:tc>
          <w:tcPr>
            <w:tcW w:w="621" w:type="dxa"/>
          </w:tcPr>
          <w:p w14:paraId="0839818E" w14:textId="0BED3A80" w:rsidR="000E4335" w:rsidRPr="002C7DEE" w:rsidRDefault="000E4335" w:rsidP="00075724">
            <w:pPr>
              <w:jc w:val="both"/>
              <w:rPr>
                <w:rFonts w:ascii="Times" w:hAnsi="Times" w:cstheme="majorHAnsi"/>
                <w:sz w:val="18"/>
                <w:szCs w:val="18"/>
              </w:rPr>
            </w:pPr>
          </w:p>
        </w:tc>
        <w:tc>
          <w:tcPr>
            <w:tcW w:w="621" w:type="dxa"/>
          </w:tcPr>
          <w:p w14:paraId="4FF6E202" w14:textId="77777777" w:rsidR="000E4335" w:rsidRPr="002C7DEE" w:rsidRDefault="000E4335" w:rsidP="00075724">
            <w:pPr>
              <w:jc w:val="both"/>
              <w:rPr>
                <w:rFonts w:ascii="Times" w:hAnsi="Times" w:cstheme="majorHAnsi"/>
                <w:sz w:val="18"/>
                <w:szCs w:val="18"/>
              </w:rPr>
            </w:pPr>
          </w:p>
        </w:tc>
        <w:tc>
          <w:tcPr>
            <w:tcW w:w="620" w:type="dxa"/>
          </w:tcPr>
          <w:p w14:paraId="4A36868E" w14:textId="6FF9747D" w:rsidR="000E4335" w:rsidRPr="002C7DEE" w:rsidRDefault="000E4335" w:rsidP="00075724">
            <w:pPr>
              <w:jc w:val="both"/>
              <w:rPr>
                <w:rFonts w:ascii="Times" w:hAnsi="Times" w:cstheme="majorHAnsi"/>
                <w:sz w:val="18"/>
                <w:szCs w:val="18"/>
              </w:rPr>
            </w:pPr>
          </w:p>
        </w:tc>
        <w:tc>
          <w:tcPr>
            <w:tcW w:w="621" w:type="dxa"/>
          </w:tcPr>
          <w:p w14:paraId="11F6A348" w14:textId="77777777" w:rsidR="000E4335" w:rsidRPr="002C7DEE" w:rsidRDefault="000E4335" w:rsidP="00075724">
            <w:pPr>
              <w:jc w:val="both"/>
              <w:rPr>
                <w:rFonts w:ascii="Times" w:hAnsi="Times" w:cstheme="majorHAnsi"/>
                <w:sz w:val="18"/>
                <w:szCs w:val="18"/>
              </w:rPr>
            </w:pPr>
          </w:p>
        </w:tc>
        <w:tc>
          <w:tcPr>
            <w:tcW w:w="621" w:type="dxa"/>
          </w:tcPr>
          <w:p w14:paraId="604E08D0" w14:textId="77777777" w:rsidR="000E4335" w:rsidRPr="002C7DEE" w:rsidRDefault="000E4335" w:rsidP="00075724">
            <w:pPr>
              <w:jc w:val="both"/>
              <w:rPr>
                <w:rFonts w:ascii="Times" w:hAnsi="Times" w:cstheme="majorHAnsi"/>
                <w:sz w:val="18"/>
                <w:szCs w:val="18"/>
              </w:rPr>
            </w:pPr>
          </w:p>
        </w:tc>
        <w:tc>
          <w:tcPr>
            <w:tcW w:w="621" w:type="dxa"/>
          </w:tcPr>
          <w:p w14:paraId="7CD94565" w14:textId="77777777" w:rsidR="000E4335" w:rsidRPr="002C7DEE" w:rsidRDefault="000E4335" w:rsidP="00075724">
            <w:pPr>
              <w:jc w:val="both"/>
              <w:rPr>
                <w:rFonts w:ascii="Times" w:hAnsi="Times" w:cstheme="majorHAnsi"/>
                <w:sz w:val="18"/>
                <w:szCs w:val="18"/>
              </w:rPr>
            </w:pPr>
          </w:p>
        </w:tc>
        <w:tc>
          <w:tcPr>
            <w:tcW w:w="621" w:type="dxa"/>
          </w:tcPr>
          <w:p w14:paraId="0B82B9B0" w14:textId="77777777" w:rsidR="000E4335" w:rsidRPr="002C7DEE" w:rsidRDefault="000E4335" w:rsidP="00075724">
            <w:pPr>
              <w:jc w:val="both"/>
              <w:rPr>
                <w:rFonts w:ascii="Times" w:hAnsi="Times" w:cstheme="majorHAnsi"/>
                <w:sz w:val="18"/>
                <w:szCs w:val="18"/>
              </w:rPr>
            </w:pPr>
          </w:p>
        </w:tc>
      </w:tr>
      <w:tr w:rsidR="00953B00" w:rsidRPr="00904585" w14:paraId="07BCB4B1" w14:textId="311A486A" w:rsidTr="00953B00">
        <w:trPr>
          <w:trHeight w:val="217"/>
        </w:trPr>
        <w:tc>
          <w:tcPr>
            <w:tcW w:w="2434" w:type="dxa"/>
            <w:shd w:val="clear" w:color="auto" w:fill="auto"/>
          </w:tcPr>
          <w:p w14:paraId="032EBC50" w14:textId="0E146430"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 xml:space="preserve">Anti-Xa </w:t>
            </w:r>
          </w:p>
        </w:tc>
        <w:tc>
          <w:tcPr>
            <w:tcW w:w="1106" w:type="dxa"/>
            <w:shd w:val="clear" w:color="auto" w:fill="auto"/>
          </w:tcPr>
          <w:p w14:paraId="32FAEA68"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4E4039F1" w14:textId="77777777" w:rsidR="000E4335" w:rsidRPr="002C7DEE" w:rsidRDefault="000E4335" w:rsidP="00075724">
            <w:pPr>
              <w:jc w:val="both"/>
              <w:rPr>
                <w:rFonts w:ascii="Times" w:hAnsi="Times" w:cstheme="majorHAnsi"/>
                <w:sz w:val="18"/>
                <w:szCs w:val="18"/>
              </w:rPr>
            </w:pPr>
          </w:p>
        </w:tc>
        <w:tc>
          <w:tcPr>
            <w:tcW w:w="621" w:type="dxa"/>
            <w:shd w:val="clear" w:color="auto" w:fill="auto"/>
          </w:tcPr>
          <w:p w14:paraId="5EFF6B1A" w14:textId="5804E133"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4139BF95" w14:textId="5CE0FF29" w:rsidR="000E4335" w:rsidRPr="002C7DEE" w:rsidRDefault="000E4335" w:rsidP="00075724">
            <w:pPr>
              <w:jc w:val="both"/>
              <w:rPr>
                <w:rFonts w:ascii="Times" w:hAnsi="Times" w:cstheme="majorHAnsi"/>
                <w:sz w:val="18"/>
                <w:szCs w:val="18"/>
              </w:rPr>
            </w:pPr>
          </w:p>
        </w:tc>
        <w:tc>
          <w:tcPr>
            <w:tcW w:w="621" w:type="dxa"/>
          </w:tcPr>
          <w:p w14:paraId="2BD2DB0D" w14:textId="5F1669CF"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11B42485" w14:textId="0CDF318A"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08822AA0" w14:textId="4D4957A5"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3DB70533" w14:textId="054D46F1"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33FE9A59" w14:textId="00A73524"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08B70411" w14:textId="77777777" w:rsidR="000E4335" w:rsidRPr="002C7DEE" w:rsidRDefault="000E4335" w:rsidP="00075724">
            <w:pPr>
              <w:jc w:val="both"/>
              <w:rPr>
                <w:rFonts w:ascii="Times" w:hAnsi="Times" w:cstheme="majorHAnsi"/>
                <w:sz w:val="18"/>
                <w:szCs w:val="18"/>
              </w:rPr>
            </w:pPr>
          </w:p>
        </w:tc>
        <w:tc>
          <w:tcPr>
            <w:tcW w:w="621" w:type="dxa"/>
          </w:tcPr>
          <w:p w14:paraId="5858DC2E" w14:textId="77777777" w:rsidR="000E4335" w:rsidRPr="002C7DEE" w:rsidRDefault="000E4335" w:rsidP="00075724">
            <w:pPr>
              <w:jc w:val="both"/>
              <w:rPr>
                <w:rFonts w:ascii="Times" w:hAnsi="Times" w:cstheme="majorHAnsi"/>
                <w:sz w:val="18"/>
                <w:szCs w:val="18"/>
              </w:rPr>
            </w:pPr>
          </w:p>
        </w:tc>
      </w:tr>
      <w:tr w:rsidR="00953B00" w:rsidRPr="00904585" w14:paraId="450E1AD8" w14:textId="6403AA19" w:rsidTr="00953B00">
        <w:trPr>
          <w:trHeight w:val="226"/>
        </w:trPr>
        <w:tc>
          <w:tcPr>
            <w:tcW w:w="2434" w:type="dxa"/>
            <w:shd w:val="clear" w:color="auto" w:fill="auto"/>
          </w:tcPr>
          <w:p w14:paraId="7D15AECB" w14:textId="7FFD076E"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Nursing review</w:t>
            </w:r>
          </w:p>
        </w:tc>
        <w:tc>
          <w:tcPr>
            <w:tcW w:w="1106" w:type="dxa"/>
            <w:shd w:val="clear" w:color="auto" w:fill="auto"/>
          </w:tcPr>
          <w:p w14:paraId="43DF95A9" w14:textId="62FC8FB6"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23FFB3C2" w14:textId="6429EE64"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shd w:val="clear" w:color="auto" w:fill="auto"/>
          </w:tcPr>
          <w:p w14:paraId="737D4E3B" w14:textId="10FBB948"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292F2578" w14:textId="3EA9AF98" w:rsidR="000E4335" w:rsidRPr="002C7DEE" w:rsidRDefault="000E4335" w:rsidP="00075724">
            <w:pPr>
              <w:jc w:val="both"/>
              <w:rPr>
                <w:rFonts w:ascii="Times" w:hAnsi="Times" w:cstheme="majorHAnsi"/>
                <w:sz w:val="18"/>
                <w:szCs w:val="18"/>
              </w:rPr>
            </w:pPr>
          </w:p>
        </w:tc>
        <w:tc>
          <w:tcPr>
            <w:tcW w:w="621" w:type="dxa"/>
          </w:tcPr>
          <w:p w14:paraId="10BD4623" w14:textId="0E221D73"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0E6044E3" w14:textId="697C33ED"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48386283" w14:textId="46E9B20C" w:rsidR="000E4335" w:rsidRPr="002C7DEE" w:rsidRDefault="000E4335" w:rsidP="00075724">
            <w:pPr>
              <w:jc w:val="both"/>
              <w:rPr>
                <w:rFonts w:ascii="Times" w:hAnsi="Times" w:cstheme="majorHAnsi"/>
                <w:sz w:val="18"/>
                <w:szCs w:val="18"/>
              </w:rPr>
            </w:pPr>
          </w:p>
        </w:tc>
        <w:tc>
          <w:tcPr>
            <w:tcW w:w="621" w:type="dxa"/>
          </w:tcPr>
          <w:p w14:paraId="36282577" w14:textId="77777777" w:rsidR="000E4335" w:rsidRPr="002C7DEE" w:rsidRDefault="000E4335" w:rsidP="00075724">
            <w:pPr>
              <w:jc w:val="both"/>
              <w:rPr>
                <w:rFonts w:ascii="Times" w:hAnsi="Times" w:cstheme="majorHAnsi"/>
                <w:sz w:val="18"/>
                <w:szCs w:val="18"/>
              </w:rPr>
            </w:pPr>
          </w:p>
        </w:tc>
        <w:tc>
          <w:tcPr>
            <w:tcW w:w="621" w:type="dxa"/>
          </w:tcPr>
          <w:p w14:paraId="3D3212F5" w14:textId="77777777" w:rsidR="000E4335" w:rsidRPr="002C7DEE" w:rsidRDefault="000E4335" w:rsidP="00075724">
            <w:pPr>
              <w:jc w:val="both"/>
              <w:rPr>
                <w:rFonts w:ascii="Times" w:hAnsi="Times" w:cstheme="majorHAnsi"/>
                <w:sz w:val="18"/>
                <w:szCs w:val="18"/>
              </w:rPr>
            </w:pPr>
          </w:p>
        </w:tc>
        <w:tc>
          <w:tcPr>
            <w:tcW w:w="621" w:type="dxa"/>
          </w:tcPr>
          <w:p w14:paraId="23EF4802" w14:textId="77777777" w:rsidR="000E4335" w:rsidRPr="002C7DEE" w:rsidRDefault="000E4335" w:rsidP="00075724">
            <w:pPr>
              <w:jc w:val="both"/>
              <w:rPr>
                <w:rFonts w:ascii="Times" w:hAnsi="Times" w:cstheme="majorHAnsi"/>
                <w:sz w:val="18"/>
                <w:szCs w:val="18"/>
              </w:rPr>
            </w:pPr>
          </w:p>
        </w:tc>
        <w:tc>
          <w:tcPr>
            <w:tcW w:w="621" w:type="dxa"/>
          </w:tcPr>
          <w:p w14:paraId="7BA175AB" w14:textId="77777777" w:rsidR="000E4335" w:rsidRPr="002C7DEE" w:rsidRDefault="000E4335" w:rsidP="00075724">
            <w:pPr>
              <w:jc w:val="both"/>
              <w:rPr>
                <w:rFonts w:ascii="Times" w:hAnsi="Times" w:cstheme="majorHAnsi"/>
                <w:sz w:val="18"/>
                <w:szCs w:val="18"/>
              </w:rPr>
            </w:pPr>
          </w:p>
        </w:tc>
      </w:tr>
      <w:tr w:rsidR="00953B00" w:rsidRPr="00904585" w14:paraId="00B4E533" w14:textId="7C2C133C" w:rsidTr="00953B00">
        <w:trPr>
          <w:trHeight w:val="217"/>
        </w:trPr>
        <w:tc>
          <w:tcPr>
            <w:tcW w:w="2434" w:type="dxa"/>
            <w:shd w:val="clear" w:color="auto" w:fill="auto"/>
          </w:tcPr>
          <w:p w14:paraId="13F024C2" w14:textId="10E2B72F"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Doctor review</w:t>
            </w:r>
          </w:p>
        </w:tc>
        <w:tc>
          <w:tcPr>
            <w:tcW w:w="1106" w:type="dxa"/>
            <w:shd w:val="clear" w:color="auto" w:fill="auto"/>
          </w:tcPr>
          <w:p w14:paraId="7EBEDEDB" w14:textId="3F8F2E2B"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0" w:type="dxa"/>
          </w:tcPr>
          <w:p w14:paraId="47779C6E" w14:textId="37AB71A2"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shd w:val="clear" w:color="auto" w:fill="auto"/>
          </w:tcPr>
          <w:p w14:paraId="7B7867D6" w14:textId="239FE096" w:rsidR="000E4335" w:rsidRPr="002C7DEE" w:rsidRDefault="000E4335" w:rsidP="00075724">
            <w:pPr>
              <w:jc w:val="both"/>
              <w:rPr>
                <w:rFonts w:ascii="Times" w:hAnsi="Times" w:cstheme="majorHAnsi"/>
                <w:sz w:val="18"/>
                <w:szCs w:val="18"/>
              </w:rPr>
            </w:pPr>
          </w:p>
        </w:tc>
        <w:tc>
          <w:tcPr>
            <w:tcW w:w="621" w:type="dxa"/>
          </w:tcPr>
          <w:p w14:paraId="5534711B" w14:textId="4D92DB41" w:rsidR="000E4335" w:rsidRPr="002C7DEE" w:rsidRDefault="000E4335" w:rsidP="00075724">
            <w:pPr>
              <w:jc w:val="both"/>
              <w:rPr>
                <w:rFonts w:ascii="Times" w:hAnsi="Times" w:cstheme="majorHAnsi"/>
                <w:sz w:val="18"/>
                <w:szCs w:val="18"/>
              </w:rPr>
            </w:pPr>
          </w:p>
        </w:tc>
        <w:tc>
          <w:tcPr>
            <w:tcW w:w="621" w:type="dxa"/>
          </w:tcPr>
          <w:p w14:paraId="57E3F618" w14:textId="15F239C9"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042DB66E" w14:textId="77777777" w:rsidR="000E4335" w:rsidRPr="002C7DEE" w:rsidRDefault="000E4335" w:rsidP="00075724">
            <w:pPr>
              <w:jc w:val="both"/>
              <w:rPr>
                <w:rFonts w:ascii="Times" w:hAnsi="Times" w:cstheme="majorHAnsi"/>
                <w:sz w:val="18"/>
                <w:szCs w:val="18"/>
              </w:rPr>
            </w:pPr>
          </w:p>
        </w:tc>
        <w:tc>
          <w:tcPr>
            <w:tcW w:w="620" w:type="dxa"/>
          </w:tcPr>
          <w:p w14:paraId="5F64D607" w14:textId="1E3F79BB"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3A73A62E" w14:textId="77777777" w:rsidR="000E4335" w:rsidRPr="002C7DEE" w:rsidRDefault="000E4335" w:rsidP="00075724">
            <w:pPr>
              <w:jc w:val="both"/>
              <w:rPr>
                <w:rFonts w:ascii="Times" w:hAnsi="Times" w:cstheme="majorHAnsi"/>
                <w:sz w:val="18"/>
                <w:szCs w:val="18"/>
              </w:rPr>
            </w:pPr>
          </w:p>
        </w:tc>
        <w:tc>
          <w:tcPr>
            <w:tcW w:w="621" w:type="dxa"/>
          </w:tcPr>
          <w:p w14:paraId="01BB122C" w14:textId="77777777" w:rsidR="000E4335" w:rsidRPr="002C7DEE" w:rsidRDefault="000E4335" w:rsidP="00075724">
            <w:pPr>
              <w:jc w:val="both"/>
              <w:rPr>
                <w:rFonts w:ascii="Times" w:hAnsi="Times" w:cstheme="majorHAnsi"/>
                <w:sz w:val="18"/>
                <w:szCs w:val="18"/>
              </w:rPr>
            </w:pPr>
          </w:p>
        </w:tc>
        <w:tc>
          <w:tcPr>
            <w:tcW w:w="621" w:type="dxa"/>
          </w:tcPr>
          <w:p w14:paraId="74E91825" w14:textId="77777777" w:rsidR="000E4335" w:rsidRPr="002C7DEE" w:rsidRDefault="000E4335" w:rsidP="00075724">
            <w:pPr>
              <w:jc w:val="both"/>
              <w:rPr>
                <w:rFonts w:ascii="Times" w:hAnsi="Times" w:cstheme="majorHAnsi"/>
                <w:sz w:val="18"/>
                <w:szCs w:val="18"/>
              </w:rPr>
            </w:pPr>
          </w:p>
        </w:tc>
        <w:tc>
          <w:tcPr>
            <w:tcW w:w="621" w:type="dxa"/>
          </w:tcPr>
          <w:p w14:paraId="41EAD736" w14:textId="77777777" w:rsidR="000E4335" w:rsidRPr="002C7DEE" w:rsidRDefault="000E4335" w:rsidP="00075724">
            <w:pPr>
              <w:jc w:val="both"/>
              <w:rPr>
                <w:rFonts w:ascii="Times" w:hAnsi="Times" w:cstheme="majorHAnsi"/>
                <w:sz w:val="18"/>
                <w:szCs w:val="18"/>
              </w:rPr>
            </w:pPr>
          </w:p>
        </w:tc>
      </w:tr>
      <w:tr w:rsidR="00953B00" w:rsidRPr="00904585" w14:paraId="4ABA2541" w14:textId="694F1A8A" w:rsidTr="00953B00">
        <w:trPr>
          <w:trHeight w:val="671"/>
        </w:trPr>
        <w:tc>
          <w:tcPr>
            <w:tcW w:w="2434" w:type="dxa"/>
            <w:shd w:val="clear" w:color="auto" w:fill="auto"/>
          </w:tcPr>
          <w:p w14:paraId="39491F7C" w14:textId="77777777"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Phone review to check medication adherence, bleeding and/or thrombotic complications</w:t>
            </w:r>
          </w:p>
        </w:tc>
        <w:tc>
          <w:tcPr>
            <w:tcW w:w="1106" w:type="dxa"/>
            <w:shd w:val="clear" w:color="auto" w:fill="auto"/>
          </w:tcPr>
          <w:p w14:paraId="4549A573" w14:textId="77777777" w:rsidR="000E4335" w:rsidRPr="002C7DEE" w:rsidRDefault="000E4335" w:rsidP="00075724">
            <w:pPr>
              <w:jc w:val="both"/>
              <w:rPr>
                <w:rFonts w:ascii="Times" w:hAnsi="Times" w:cstheme="majorHAnsi"/>
                <w:sz w:val="18"/>
                <w:szCs w:val="18"/>
              </w:rPr>
            </w:pPr>
          </w:p>
        </w:tc>
        <w:tc>
          <w:tcPr>
            <w:tcW w:w="620" w:type="dxa"/>
          </w:tcPr>
          <w:p w14:paraId="1DA0F17E" w14:textId="77777777" w:rsidR="000E4335" w:rsidRPr="002C7DEE" w:rsidRDefault="000E4335" w:rsidP="00075724">
            <w:pPr>
              <w:jc w:val="both"/>
              <w:rPr>
                <w:rFonts w:ascii="Times" w:hAnsi="Times" w:cstheme="majorHAnsi"/>
                <w:sz w:val="18"/>
                <w:szCs w:val="18"/>
              </w:rPr>
            </w:pPr>
          </w:p>
        </w:tc>
        <w:tc>
          <w:tcPr>
            <w:tcW w:w="621" w:type="dxa"/>
            <w:shd w:val="clear" w:color="auto" w:fill="auto"/>
          </w:tcPr>
          <w:p w14:paraId="355CF89B" w14:textId="52B8FBCE" w:rsidR="000E4335" w:rsidRPr="002C7DEE" w:rsidRDefault="000E4335" w:rsidP="00075724">
            <w:pPr>
              <w:jc w:val="both"/>
              <w:rPr>
                <w:rFonts w:ascii="Times" w:hAnsi="Times" w:cstheme="majorHAnsi"/>
                <w:sz w:val="18"/>
                <w:szCs w:val="18"/>
              </w:rPr>
            </w:pPr>
          </w:p>
        </w:tc>
        <w:tc>
          <w:tcPr>
            <w:tcW w:w="621" w:type="dxa"/>
          </w:tcPr>
          <w:p w14:paraId="6B45BB64" w14:textId="0EC2430C"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5F9C0708" w14:textId="549ECDB0" w:rsidR="000E4335" w:rsidRPr="002C7DEE" w:rsidRDefault="000E4335" w:rsidP="00075724">
            <w:pPr>
              <w:jc w:val="both"/>
              <w:rPr>
                <w:rFonts w:ascii="Times" w:hAnsi="Times" w:cstheme="majorHAnsi"/>
                <w:sz w:val="18"/>
                <w:szCs w:val="18"/>
              </w:rPr>
            </w:pPr>
          </w:p>
        </w:tc>
        <w:tc>
          <w:tcPr>
            <w:tcW w:w="621" w:type="dxa"/>
          </w:tcPr>
          <w:p w14:paraId="1C3B449E" w14:textId="77777777" w:rsidR="000E4335" w:rsidRPr="002C7DEE" w:rsidRDefault="000E4335" w:rsidP="00075724">
            <w:pPr>
              <w:jc w:val="both"/>
              <w:rPr>
                <w:rFonts w:ascii="Times" w:hAnsi="Times" w:cstheme="majorHAnsi"/>
                <w:sz w:val="18"/>
                <w:szCs w:val="18"/>
              </w:rPr>
            </w:pPr>
          </w:p>
        </w:tc>
        <w:tc>
          <w:tcPr>
            <w:tcW w:w="620" w:type="dxa"/>
          </w:tcPr>
          <w:p w14:paraId="541FA898" w14:textId="68BC55FA" w:rsidR="000E4335" w:rsidRPr="002C7DEE" w:rsidRDefault="000E4335" w:rsidP="00075724">
            <w:pPr>
              <w:jc w:val="both"/>
              <w:rPr>
                <w:rFonts w:ascii="Times" w:hAnsi="Times" w:cstheme="majorHAnsi"/>
                <w:sz w:val="18"/>
                <w:szCs w:val="18"/>
              </w:rPr>
            </w:pPr>
          </w:p>
        </w:tc>
        <w:tc>
          <w:tcPr>
            <w:tcW w:w="621" w:type="dxa"/>
          </w:tcPr>
          <w:p w14:paraId="56600BEB" w14:textId="77777777" w:rsidR="000E4335" w:rsidRPr="002C7DEE" w:rsidRDefault="000E4335" w:rsidP="00075724">
            <w:pPr>
              <w:jc w:val="both"/>
              <w:rPr>
                <w:rFonts w:ascii="Times" w:hAnsi="Times" w:cstheme="majorHAnsi"/>
                <w:sz w:val="18"/>
                <w:szCs w:val="18"/>
              </w:rPr>
            </w:pPr>
          </w:p>
        </w:tc>
        <w:tc>
          <w:tcPr>
            <w:tcW w:w="621" w:type="dxa"/>
          </w:tcPr>
          <w:p w14:paraId="1168DB8D" w14:textId="1F979ACE"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7962B827" w14:textId="0D6420CD"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c>
          <w:tcPr>
            <w:tcW w:w="621" w:type="dxa"/>
          </w:tcPr>
          <w:p w14:paraId="1ABA1DDD" w14:textId="6912B2D9" w:rsidR="000E4335" w:rsidRPr="002C7DEE" w:rsidRDefault="000E4335" w:rsidP="00075724">
            <w:pPr>
              <w:jc w:val="both"/>
              <w:rPr>
                <w:rFonts w:ascii="Times" w:hAnsi="Times" w:cstheme="majorHAnsi"/>
                <w:sz w:val="18"/>
                <w:szCs w:val="18"/>
              </w:rPr>
            </w:pPr>
            <w:r w:rsidRPr="002C7DEE">
              <w:rPr>
                <w:rFonts w:ascii="Times" w:hAnsi="Times" w:cstheme="majorHAnsi"/>
                <w:sz w:val="18"/>
                <w:szCs w:val="18"/>
              </w:rPr>
              <w:t>X</w:t>
            </w:r>
          </w:p>
        </w:tc>
      </w:tr>
    </w:tbl>
    <w:p w14:paraId="57766D24" w14:textId="77777777" w:rsidR="00863606" w:rsidRPr="002C7DEE" w:rsidRDefault="00863606" w:rsidP="000A0A28">
      <w:pPr>
        <w:jc w:val="both"/>
        <w:rPr>
          <w:rFonts w:ascii="Times" w:hAnsi="Times" w:cstheme="majorHAnsi"/>
          <w:bCs/>
          <w:sz w:val="22"/>
          <w:szCs w:val="22"/>
          <w:lang w:val="en-US"/>
        </w:rPr>
      </w:pPr>
    </w:p>
    <w:p w14:paraId="42438435" w14:textId="3333BB59" w:rsidR="00010546" w:rsidRDefault="00010546" w:rsidP="00075724">
      <w:pPr>
        <w:jc w:val="both"/>
        <w:rPr>
          <w:rFonts w:ascii="Times" w:hAnsi="Times" w:cstheme="majorHAnsi"/>
          <w:sz w:val="22"/>
          <w:szCs w:val="22"/>
        </w:rPr>
      </w:pPr>
    </w:p>
    <w:p w14:paraId="158331D3" w14:textId="538B7C79" w:rsidR="00142970" w:rsidRDefault="00142970" w:rsidP="00075724">
      <w:pPr>
        <w:pStyle w:val="Heading3"/>
        <w:rPr>
          <w:rFonts w:ascii="Times" w:hAnsi="Times" w:cstheme="majorHAnsi"/>
          <w:sz w:val="22"/>
          <w:szCs w:val="22"/>
        </w:rPr>
      </w:pPr>
      <w:bookmarkStart w:id="22" w:name="_Toc166235154"/>
      <w:r>
        <w:rPr>
          <w:rFonts w:ascii="Times" w:hAnsi="Times" w:cstheme="majorHAnsi"/>
          <w:sz w:val="22"/>
          <w:szCs w:val="22"/>
        </w:rPr>
        <w:t xml:space="preserve">Table 2. Extension </w:t>
      </w:r>
      <w:r w:rsidR="00773108">
        <w:rPr>
          <w:rFonts w:ascii="Times" w:hAnsi="Times" w:cstheme="majorHAnsi"/>
          <w:sz w:val="22"/>
          <w:szCs w:val="22"/>
        </w:rPr>
        <w:t>phase</w:t>
      </w:r>
      <w:r w:rsidR="00726851">
        <w:rPr>
          <w:rFonts w:ascii="Times" w:hAnsi="Times" w:cstheme="majorHAnsi"/>
          <w:sz w:val="22"/>
          <w:szCs w:val="22"/>
        </w:rPr>
        <w:t xml:space="preserve"> (subcutaneous catheter)</w:t>
      </w:r>
      <w:bookmarkEnd w:id="22"/>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684"/>
        <w:gridCol w:w="1779"/>
        <w:gridCol w:w="1772"/>
      </w:tblGrid>
      <w:tr w:rsidR="00773108" w:rsidRPr="00904585" w14:paraId="77EEC79D" w14:textId="080E2660" w:rsidTr="00075724">
        <w:trPr>
          <w:trHeight w:val="422"/>
        </w:trPr>
        <w:tc>
          <w:tcPr>
            <w:tcW w:w="3775" w:type="dxa"/>
            <w:shd w:val="clear" w:color="auto" w:fill="auto"/>
          </w:tcPr>
          <w:p w14:paraId="4D48EC93" w14:textId="77777777" w:rsidR="00773108" w:rsidRPr="002C7DEE" w:rsidRDefault="00773108" w:rsidP="00075724">
            <w:pPr>
              <w:jc w:val="both"/>
              <w:rPr>
                <w:rFonts w:ascii="Times" w:hAnsi="Times" w:cstheme="majorHAnsi"/>
                <w:sz w:val="18"/>
                <w:szCs w:val="18"/>
              </w:rPr>
            </w:pPr>
          </w:p>
        </w:tc>
        <w:tc>
          <w:tcPr>
            <w:tcW w:w="1684" w:type="dxa"/>
          </w:tcPr>
          <w:p w14:paraId="6542095B" w14:textId="7FAC4D05" w:rsidR="00773108" w:rsidRDefault="00773108" w:rsidP="00075724">
            <w:pPr>
              <w:jc w:val="both"/>
              <w:rPr>
                <w:rFonts w:ascii="Times" w:hAnsi="Times" w:cstheme="majorHAnsi"/>
                <w:sz w:val="18"/>
                <w:szCs w:val="18"/>
              </w:rPr>
            </w:pPr>
            <w:r>
              <w:rPr>
                <w:rFonts w:ascii="Times" w:hAnsi="Times" w:cstheme="majorHAnsi"/>
                <w:sz w:val="18"/>
                <w:szCs w:val="18"/>
              </w:rPr>
              <w:t>Prior to commencing</w:t>
            </w:r>
          </w:p>
        </w:tc>
        <w:tc>
          <w:tcPr>
            <w:tcW w:w="1779" w:type="dxa"/>
            <w:shd w:val="clear" w:color="auto" w:fill="auto"/>
          </w:tcPr>
          <w:p w14:paraId="01A890CF" w14:textId="7529F251" w:rsidR="00773108" w:rsidRPr="002C7DEE" w:rsidRDefault="00773108" w:rsidP="00075724">
            <w:pPr>
              <w:jc w:val="both"/>
              <w:rPr>
                <w:rFonts w:ascii="Times" w:hAnsi="Times" w:cstheme="majorHAnsi"/>
                <w:sz w:val="18"/>
                <w:szCs w:val="18"/>
              </w:rPr>
            </w:pPr>
            <w:r>
              <w:rPr>
                <w:rFonts w:ascii="Times" w:hAnsi="Times" w:cstheme="majorHAnsi"/>
                <w:sz w:val="18"/>
                <w:szCs w:val="18"/>
              </w:rPr>
              <w:t>Weekly</w:t>
            </w:r>
          </w:p>
        </w:tc>
        <w:tc>
          <w:tcPr>
            <w:tcW w:w="1772" w:type="dxa"/>
          </w:tcPr>
          <w:p w14:paraId="21E2EF38" w14:textId="4FECCFA6" w:rsidR="00773108" w:rsidRDefault="00773108" w:rsidP="00075724">
            <w:pPr>
              <w:jc w:val="both"/>
              <w:rPr>
                <w:rFonts w:ascii="Times" w:hAnsi="Times" w:cstheme="majorHAnsi"/>
                <w:sz w:val="18"/>
                <w:szCs w:val="18"/>
              </w:rPr>
            </w:pPr>
            <w:r>
              <w:rPr>
                <w:rFonts w:ascii="Times" w:hAnsi="Times" w:cstheme="majorHAnsi"/>
                <w:sz w:val="18"/>
                <w:szCs w:val="18"/>
              </w:rPr>
              <w:t>4-weekly</w:t>
            </w:r>
          </w:p>
        </w:tc>
      </w:tr>
      <w:tr w:rsidR="00D8568B" w:rsidRPr="00904585" w14:paraId="29AB764C" w14:textId="77777777" w:rsidTr="00773108">
        <w:trPr>
          <w:trHeight w:val="206"/>
        </w:trPr>
        <w:tc>
          <w:tcPr>
            <w:tcW w:w="3775" w:type="dxa"/>
            <w:shd w:val="clear" w:color="auto" w:fill="auto"/>
          </w:tcPr>
          <w:p w14:paraId="4D1418B1" w14:textId="71A94BBD" w:rsidR="00D8568B" w:rsidRPr="002C7DEE" w:rsidRDefault="00D8568B" w:rsidP="00075724">
            <w:pPr>
              <w:jc w:val="both"/>
              <w:rPr>
                <w:rFonts w:ascii="Times" w:hAnsi="Times" w:cstheme="majorHAnsi"/>
                <w:sz w:val="18"/>
                <w:szCs w:val="18"/>
              </w:rPr>
            </w:pPr>
            <w:r>
              <w:rPr>
                <w:rFonts w:ascii="Times" w:hAnsi="Times" w:cstheme="majorHAnsi"/>
                <w:sz w:val="18"/>
                <w:szCs w:val="18"/>
              </w:rPr>
              <w:t>Independent clinician review of patient and anti-Xa results</w:t>
            </w:r>
          </w:p>
        </w:tc>
        <w:tc>
          <w:tcPr>
            <w:tcW w:w="1684" w:type="dxa"/>
          </w:tcPr>
          <w:p w14:paraId="17040D0E" w14:textId="46ED47F8" w:rsidR="00D8568B" w:rsidRPr="002C7DEE" w:rsidRDefault="00D8568B" w:rsidP="00075724">
            <w:pPr>
              <w:jc w:val="both"/>
              <w:rPr>
                <w:rFonts w:ascii="Times" w:hAnsi="Times" w:cstheme="majorHAnsi"/>
                <w:sz w:val="18"/>
                <w:szCs w:val="18"/>
              </w:rPr>
            </w:pPr>
            <w:r>
              <w:rPr>
                <w:rFonts w:ascii="Times" w:hAnsi="Times" w:cstheme="majorHAnsi"/>
                <w:sz w:val="18"/>
                <w:szCs w:val="18"/>
              </w:rPr>
              <w:t>X</w:t>
            </w:r>
          </w:p>
        </w:tc>
        <w:tc>
          <w:tcPr>
            <w:tcW w:w="1779" w:type="dxa"/>
            <w:shd w:val="clear" w:color="auto" w:fill="auto"/>
          </w:tcPr>
          <w:p w14:paraId="117581E5" w14:textId="77777777" w:rsidR="00D8568B" w:rsidRPr="002C7DEE" w:rsidRDefault="00D8568B" w:rsidP="00075724">
            <w:pPr>
              <w:jc w:val="both"/>
              <w:rPr>
                <w:rFonts w:ascii="Times" w:hAnsi="Times" w:cstheme="majorHAnsi"/>
                <w:sz w:val="18"/>
                <w:szCs w:val="18"/>
              </w:rPr>
            </w:pPr>
          </w:p>
        </w:tc>
        <w:tc>
          <w:tcPr>
            <w:tcW w:w="1772" w:type="dxa"/>
          </w:tcPr>
          <w:p w14:paraId="6404DD52" w14:textId="77777777" w:rsidR="00D8568B" w:rsidRDefault="00D8568B" w:rsidP="00075724">
            <w:pPr>
              <w:jc w:val="both"/>
              <w:rPr>
                <w:rFonts w:ascii="Times" w:hAnsi="Times" w:cstheme="majorHAnsi"/>
                <w:sz w:val="18"/>
                <w:szCs w:val="18"/>
              </w:rPr>
            </w:pPr>
          </w:p>
        </w:tc>
      </w:tr>
      <w:tr w:rsidR="00773108" w:rsidRPr="00904585" w14:paraId="37A4E6B4" w14:textId="19FFEF9E" w:rsidTr="00075724">
        <w:trPr>
          <w:trHeight w:val="206"/>
        </w:trPr>
        <w:tc>
          <w:tcPr>
            <w:tcW w:w="3775" w:type="dxa"/>
            <w:shd w:val="clear" w:color="auto" w:fill="auto"/>
          </w:tcPr>
          <w:p w14:paraId="73AA94DA" w14:textId="229C4F60" w:rsidR="00773108" w:rsidRPr="002C7DEE" w:rsidRDefault="00773108" w:rsidP="00075724">
            <w:pPr>
              <w:jc w:val="both"/>
              <w:rPr>
                <w:rFonts w:ascii="Times" w:hAnsi="Times" w:cstheme="majorHAnsi"/>
                <w:sz w:val="18"/>
                <w:szCs w:val="18"/>
              </w:rPr>
            </w:pPr>
            <w:r w:rsidRPr="002C7DEE">
              <w:rPr>
                <w:rFonts w:ascii="Times" w:hAnsi="Times" w:cstheme="majorHAnsi"/>
                <w:sz w:val="18"/>
                <w:szCs w:val="18"/>
              </w:rPr>
              <w:t>Anti-Xa</w:t>
            </w:r>
            <w:r>
              <w:rPr>
                <w:rFonts w:ascii="Times" w:hAnsi="Times" w:cstheme="majorHAnsi"/>
                <w:sz w:val="18"/>
                <w:szCs w:val="18"/>
              </w:rPr>
              <w:t>*</w:t>
            </w:r>
            <w:r w:rsidRPr="002C7DEE">
              <w:rPr>
                <w:rFonts w:ascii="Times" w:hAnsi="Times" w:cstheme="majorHAnsi"/>
                <w:sz w:val="18"/>
                <w:szCs w:val="18"/>
              </w:rPr>
              <w:t xml:space="preserve"> </w:t>
            </w:r>
          </w:p>
        </w:tc>
        <w:tc>
          <w:tcPr>
            <w:tcW w:w="1684" w:type="dxa"/>
          </w:tcPr>
          <w:p w14:paraId="5D384942" w14:textId="77777777" w:rsidR="00773108" w:rsidRPr="002C7DEE" w:rsidRDefault="00773108" w:rsidP="00075724">
            <w:pPr>
              <w:jc w:val="both"/>
              <w:rPr>
                <w:rFonts w:ascii="Times" w:hAnsi="Times" w:cstheme="majorHAnsi"/>
                <w:sz w:val="18"/>
                <w:szCs w:val="18"/>
              </w:rPr>
            </w:pPr>
          </w:p>
        </w:tc>
        <w:tc>
          <w:tcPr>
            <w:tcW w:w="1779" w:type="dxa"/>
            <w:shd w:val="clear" w:color="auto" w:fill="auto"/>
          </w:tcPr>
          <w:p w14:paraId="721D673A" w14:textId="316DD2AF" w:rsidR="00773108" w:rsidRPr="002C7DEE" w:rsidRDefault="00773108" w:rsidP="00075724">
            <w:pPr>
              <w:jc w:val="both"/>
              <w:rPr>
                <w:rFonts w:ascii="Times" w:hAnsi="Times" w:cstheme="majorHAnsi"/>
                <w:sz w:val="18"/>
                <w:szCs w:val="18"/>
              </w:rPr>
            </w:pPr>
          </w:p>
        </w:tc>
        <w:tc>
          <w:tcPr>
            <w:tcW w:w="1772" w:type="dxa"/>
          </w:tcPr>
          <w:p w14:paraId="0A9843B0" w14:textId="4AE6F336" w:rsidR="00773108" w:rsidRPr="002C7DEE" w:rsidRDefault="00773108" w:rsidP="00075724">
            <w:pPr>
              <w:jc w:val="both"/>
              <w:rPr>
                <w:rFonts w:ascii="Times" w:hAnsi="Times" w:cstheme="majorHAnsi"/>
                <w:sz w:val="18"/>
                <w:szCs w:val="18"/>
              </w:rPr>
            </w:pPr>
            <w:r>
              <w:rPr>
                <w:rFonts w:ascii="Times" w:hAnsi="Times" w:cstheme="majorHAnsi"/>
                <w:sz w:val="18"/>
                <w:szCs w:val="18"/>
              </w:rPr>
              <w:t>X</w:t>
            </w:r>
          </w:p>
        </w:tc>
      </w:tr>
      <w:tr w:rsidR="00773108" w:rsidRPr="00904585" w14:paraId="10C5A2B2" w14:textId="0E696EC3" w:rsidTr="00075724">
        <w:trPr>
          <w:trHeight w:val="215"/>
        </w:trPr>
        <w:tc>
          <w:tcPr>
            <w:tcW w:w="3775" w:type="dxa"/>
            <w:shd w:val="clear" w:color="auto" w:fill="auto"/>
          </w:tcPr>
          <w:p w14:paraId="4C335BD6" w14:textId="71E54035" w:rsidR="00773108" w:rsidRPr="002C7DEE" w:rsidRDefault="00773108" w:rsidP="00075724">
            <w:pPr>
              <w:jc w:val="both"/>
              <w:rPr>
                <w:rFonts w:ascii="Times" w:hAnsi="Times" w:cstheme="majorHAnsi"/>
                <w:sz w:val="18"/>
                <w:szCs w:val="18"/>
              </w:rPr>
            </w:pPr>
            <w:r w:rsidRPr="002C7DEE">
              <w:rPr>
                <w:rFonts w:ascii="Times" w:hAnsi="Times" w:cstheme="majorHAnsi"/>
                <w:sz w:val="18"/>
                <w:szCs w:val="18"/>
              </w:rPr>
              <w:t>Nursing review</w:t>
            </w:r>
            <w:r>
              <w:rPr>
                <w:rFonts w:ascii="Times" w:hAnsi="Times" w:cstheme="majorHAnsi"/>
                <w:sz w:val="18"/>
                <w:szCs w:val="18"/>
              </w:rPr>
              <w:t xml:space="preserve"> with catheter change*</w:t>
            </w:r>
          </w:p>
        </w:tc>
        <w:tc>
          <w:tcPr>
            <w:tcW w:w="1684" w:type="dxa"/>
          </w:tcPr>
          <w:p w14:paraId="0825E284" w14:textId="77777777" w:rsidR="00773108" w:rsidRPr="002C7DEE" w:rsidRDefault="00773108" w:rsidP="00075724">
            <w:pPr>
              <w:jc w:val="both"/>
              <w:rPr>
                <w:rFonts w:ascii="Times" w:hAnsi="Times" w:cstheme="majorHAnsi"/>
                <w:sz w:val="18"/>
                <w:szCs w:val="18"/>
              </w:rPr>
            </w:pPr>
          </w:p>
        </w:tc>
        <w:tc>
          <w:tcPr>
            <w:tcW w:w="1779" w:type="dxa"/>
            <w:shd w:val="clear" w:color="auto" w:fill="auto"/>
          </w:tcPr>
          <w:p w14:paraId="6956EF6A" w14:textId="3F180617" w:rsidR="00773108" w:rsidRPr="002C7DEE" w:rsidRDefault="00773108" w:rsidP="00075724">
            <w:pPr>
              <w:jc w:val="both"/>
              <w:rPr>
                <w:rFonts w:ascii="Times" w:hAnsi="Times" w:cstheme="majorHAnsi"/>
                <w:sz w:val="18"/>
                <w:szCs w:val="18"/>
              </w:rPr>
            </w:pPr>
            <w:r w:rsidRPr="002C7DEE">
              <w:rPr>
                <w:rFonts w:ascii="Times" w:hAnsi="Times" w:cstheme="majorHAnsi"/>
                <w:sz w:val="18"/>
                <w:szCs w:val="18"/>
              </w:rPr>
              <w:t>X</w:t>
            </w:r>
            <w:r w:rsidR="00A40C94">
              <w:rPr>
                <w:rFonts w:ascii="Times" w:hAnsi="Times" w:cstheme="majorHAnsi"/>
                <w:sz w:val="18"/>
                <w:szCs w:val="18"/>
              </w:rPr>
              <w:t xml:space="preserve"> (while nursing staff inserting insuflon)</w:t>
            </w:r>
          </w:p>
        </w:tc>
        <w:tc>
          <w:tcPr>
            <w:tcW w:w="1772" w:type="dxa"/>
          </w:tcPr>
          <w:p w14:paraId="7DCAEEAD" w14:textId="77777777" w:rsidR="00773108" w:rsidRPr="002C7DEE" w:rsidRDefault="00773108" w:rsidP="00075724">
            <w:pPr>
              <w:jc w:val="both"/>
              <w:rPr>
                <w:rFonts w:ascii="Times" w:hAnsi="Times" w:cstheme="majorHAnsi"/>
                <w:sz w:val="18"/>
                <w:szCs w:val="18"/>
              </w:rPr>
            </w:pPr>
          </w:p>
        </w:tc>
      </w:tr>
      <w:tr w:rsidR="00773108" w:rsidRPr="00904585" w14:paraId="56874FBD" w14:textId="6D3359C2" w:rsidTr="00075724">
        <w:trPr>
          <w:trHeight w:val="206"/>
        </w:trPr>
        <w:tc>
          <w:tcPr>
            <w:tcW w:w="3775" w:type="dxa"/>
            <w:shd w:val="clear" w:color="auto" w:fill="auto"/>
          </w:tcPr>
          <w:p w14:paraId="08FF3054" w14:textId="02DD1A75" w:rsidR="00773108" w:rsidRPr="002C7DEE" w:rsidRDefault="00773108" w:rsidP="00075724">
            <w:pPr>
              <w:jc w:val="both"/>
              <w:rPr>
                <w:rFonts w:ascii="Times" w:hAnsi="Times" w:cstheme="majorHAnsi"/>
                <w:sz w:val="18"/>
                <w:szCs w:val="18"/>
              </w:rPr>
            </w:pPr>
            <w:r w:rsidRPr="002C7DEE">
              <w:rPr>
                <w:rFonts w:ascii="Times" w:hAnsi="Times" w:cstheme="majorHAnsi"/>
                <w:sz w:val="18"/>
                <w:szCs w:val="18"/>
              </w:rPr>
              <w:t>Doctor review</w:t>
            </w:r>
            <w:r>
              <w:rPr>
                <w:rFonts w:ascii="Times" w:hAnsi="Times" w:cstheme="majorHAnsi"/>
                <w:sz w:val="18"/>
                <w:szCs w:val="18"/>
              </w:rPr>
              <w:t>**</w:t>
            </w:r>
          </w:p>
        </w:tc>
        <w:tc>
          <w:tcPr>
            <w:tcW w:w="1684" w:type="dxa"/>
          </w:tcPr>
          <w:p w14:paraId="442BE9FA" w14:textId="06CB78FD" w:rsidR="00773108" w:rsidRPr="002C7DEE" w:rsidRDefault="00773108" w:rsidP="00075724">
            <w:pPr>
              <w:jc w:val="both"/>
              <w:rPr>
                <w:rFonts w:ascii="Times" w:hAnsi="Times" w:cstheme="majorHAnsi"/>
                <w:sz w:val="18"/>
                <w:szCs w:val="18"/>
              </w:rPr>
            </w:pPr>
          </w:p>
        </w:tc>
        <w:tc>
          <w:tcPr>
            <w:tcW w:w="1779" w:type="dxa"/>
            <w:shd w:val="clear" w:color="auto" w:fill="auto"/>
          </w:tcPr>
          <w:p w14:paraId="40EDB9B1" w14:textId="306F9821" w:rsidR="00773108" w:rsidRPr="002C7DEE" w:rsidRDefault="00773108" w:rsidP="00075724">
            <w:pPr>
              <w:jc w:val="both"/>
              <w:rPr>
                <w:rFonts w:ascii="Times" w:hAnsi="Times" w:cstheme="majorHAnsi"/>
                <w:sz w:val="18"/>
                <w:szCs w:val="18"/>
              </w:rPr>
            </w:pPr>
          </w:p>
        </w:tc>
        <w:tc>
          <w:tcPr>
            <w:tcW w:w="1772" w:type="dxa"/>
          </w:tcPr>
          <w:p w14:paraId="66074B81" w14:textId="2E1B9112" w:rsidR="00773108" w:rsidRPr="002C7DEE" w:rsidRDefault="00773108" w:rsidP="00075724">
            <w:pPr>
              <w:jc w:val="both"/>
              <w:rPr>
                <w:rFonts w:ascii="Times" w:hAnsi="Times" w:cstheme="majorHAnsi"/>
                <w:sz w:val="18"/>
                <w:szCs w:val="18"/>
              </w:rPr>
            </w:pPr>
            <w:r>
              <w:rPr>
                <w:rFonts w:ascii="Times" w:hAnsi="Times" w:cstheme="majorHAnsi"/>
                <w:sz w:val="18"/>
                <w:szCs w:val="18"/>
              </w:rPr>
              <w:t>X</w:t>
            </w:r>
          </w:p>
        </w:tc>
      </w:tr>
    </w:tbl>
    <w:p w14:paraId="619DD2CA" w14:textId="7DB85685" w:rsidR="00142970" w:rsidRPr="00075724" w:rsidRDefault="00142970" w:rsidP="00075724">
      <w:pPr>
        <w:jc w:val="both"/>
        <w:rPr>
          <w:rFonts w:ascii="Times" w:hAnsi="Times" w:cstheme="majorHAnsi"/>
          <w:sz w:val="20"/>
          <w:szCs w:val="22"/>
        </w:rPr>
      </w:pPr>
      <w:r w:rsidRPr="00075724">
        <w:rPr>
          <w:rFonts w:ascii="Times" w:hAnsi="Times" w:cstheme="majorHAnsi"/>
          <w:sz w:val="20"/>
          <w:szCs w:val="22"/>
        </w:rPr>
        <w:t>* Results to be reviewed (blinded) by a clinician not directly involved in the research team to assess safety.</w:t>
      </w:r>
    </w:p>
    <w:p w14:paraId="799B34AB" w14:textId="504DF3FB" w:rsidR="00142970" w:rsidRPr="00075724" w:rsidRDefault="00142970" w:rsidP="00075724">
      <w:pPr>
        <w:jc w:val="both"/>
        <w:rPr>
          <w:rFonts w:ascii="Times" w:hAnsi="Times" w:cstheme="majorHAnsi"/>
          <w:sz w:val="20"/>
          <w:szCs w:val="22"/>
        </w:rPr>
      </w:pPr>
      <w:r w:rsidRPr="00075724">
        <w:rPr>
          <w:rFonts w:ascii="Times" w:hAnsi="Times" w:cstheme="majorHAnsi"/>
          <w:sz w:val="20"/>
          <w:szCs w:val="22"/>
        </w:rPr>
        <w:t xml:space="preserve">** More frequent catheter changes with nursing review are permitted as clinically indicated. Recurring frequent catheter changes or complications will be reviewed with the doctor and research team to assess safety and feasibility of continuing on trial. </w:t>
      </w:r>
    </w:p>
    <w:p w14:paraId="4825850D" w14:textId="5995C78A" w:rsidR="00142970" w:rsidRPr="00075724" w:rsidRDefault="00142970" w:rsidP="00075724">
      <w:pPr>
        <w:jc w:val="both"/>
        <w:rPr>
          <w:rFonts w:ascii="Times" w:hAnsi="Times" w:cstheme="majorHAnsi"/>
          <w:sz w:val="20"/>
          <w:szCs w:val="22"/>
        </w:rPr>
      </w:pPr>
      <w:r w:rsidRPr="00075724">
        <w:rPr>
          <w:rFonts w:ascii="Times" w:hAnsi="Times" w:cstheme="majorHAnsi"/>
          <w:sz w:val="20"/>
          <w:szCs w:val="22"/>
        </w:rPr>
        <w:t>*** Additional blood tests will be arranged as indicated clinically</w:t>
      </w:r>
    </w:p>
    <w:p w14:paraId="1DC093C9" w14:textId="77777777" w:rsidR="00142970" w:rsidRDefault="00142970" w:rsidP="00075724">
      <w:pPr>
        <w:jc w:val="both"/>
        <w:rPr>
          <w:rFonts w:ascii="Times" w:hAnsi="Times" w:cstheme="majorHAnsi"/>
          <w:sz w:val="22"/>
          <w:szCs w:val="22"/>
        </w:rPr>
      </w:pPr>
    </w:p>
    <w:p w14:paraId="4151FB30" w14:textId="77777777" w:rsidR="00726851" w:rsidRPr="002C7DEE" w:rsidRDefault="00726851" w:rsidP="00075724">
      <w:pPr>
        <w:jc w:val="both"/>
        <w:rPr>
          <w:rFonts w:ascii="Times" w:hAnsi="Times" w:cstheme="majorHAnsi"/>
          <w:sz w:val="22"/>
          <w:szCs w:val="22"/>
        </w:rPr>
      </w:pPr>
    </w:p>
    <w:p w14:paraId="62A713DB" w14:textId="4281A9A9" w:rsidR="00010546" w:rsidRPr="002C7DEE" w:rsidRDefault="00010546" w:rsidP="00075724">
      <w:pPr>
        <w:jc w:val="both"/>
        <w:rPr>
          <w:rFonts w:ascii="Times" w:hAnsi="Times" w:cstheme="majorHAnsi"/>
          <w:i/>
          <w:sz w:val="22"/>
          <w:szCs w:val="22"/>
        </w:rPr>
      </w:pPr>
      <w:r w:rsidRPr="002C7DEE">
        <w:rPr>
          <w:rFonts w:ascii="Times" w:hAnsi="Times" w:cstheme="majorHAnsi"/>
          <w:i/>
          <w:sz w:val="22"/>
          <w:szCs w:val="22"/>
        </w:rPr>
        <w:t>Laboratory measurements</w:t>
      </w:r>
    </w:p>
    <w:p w14:paraId="38015FD2" w14:textId="77777777" w:rsidR="00CE70DF" w:rsidRPr="002C7DEE" w:rsidRDefault="00CE70DF" w:rsidP="00075724">
      <w:pPr>
        <w:jc w:val="both"/>
        <w:rPr>
          <w:rFonts w:ascii="Times" w:hAnsi="Times" w:cstheme="majorHAnsi"/>
          <w:sz w:val="22"/>
          <w:szCs w:val="22"/>
        </w:rPr>
      </w:pPr>
    </w:p>
    <w:p w14:paraId="384991C3" w14:textId="7334721F" w:rsidR="00360AC1" w:rsidRPr="002C7DEE" w:rsidRDefault="006D7812" w:rsidP="00075724">
      <w:pPr>
        <w:jc w:val="both"/>
        <w:rPr>
          <w:rFonts w:ascii="Times" w:hAnsi="Times" w:cstheme="majorHAnsi"/>
          <w:sz w:val="22"/>
          <w:szCs w:val="22"/>
        </w:rPr>
      </w:pPr>
      <w:r w:rsidRPr="002C7DEE">
        <w:rPr>
          <w:rFonts w:ascii="Times" w:hAnsi="Times" w:cstheme="majorHAnsi"/>
          <w:sz w:val="22"/>
          <w:szCs w:val="22"/>
        </w:rPr>
        <w:t xml:space="preserve">The anti-Xa levels will be run </w:t>
      </w:r>
      <w:r w:rsidR="00105020" w:rsidRPr="002C7DEE">
        <w:rPr>
          <w:rFonts w:ascii="Times" w:hAnsi="Times" w:cstheme="majorHAnsi"/>
          <w:sz w:val="22"/>
          <w:szCs w:val="22"/>
        </w:rPr>
        <w:t xml:space="preserve">at Monash Pathology on </w:t>
      </w:r>
      <w:r w:rsidRPr="002C7DEE">
        <w:rPr>
          <w:rFonts w:ascii="Times" w:hAnsi="Times" w:cstheme="majorHAnsi"/>
          <w:sz w:val="22"/>
          <w:szCs w:val="22"/>
        </w:rPr>
        <w:t>the ACL TOP analyser as a one stage chromogenic assay</w:t>
      </w:r>
      <w:r w:rsidR="00105020" w:rsidRPr="002C7DEE">
        <w:rPr>
          <w:rFonts w:ascii="Times" w:hAnsi="Times" w:cstheme="majorHAnsi"/>
          <w:sz w:val="22"/>
          <w:szCs w:val="22"/>
        </w:rPr>
        <w:t xml:space="preserve"> as per standard laboratory operating procedure</w:t>
      </w:r>
      <w:r w:rsidR="002D298D" w:rsidRPr="002C7DEE">
        <w:rPr>
          <w:rFonts w:ascii="Times" w:hAnsi="Times" w:cstheme="majorHAnsi"/>
          <w:sz w:val="22"/>
          <w:szCs w:val="22"/>
        </w:rPr>
        <w:t>s</w:t>
      </w:r>
      <w:r w:rsidRPr="002C7DEE">
        <w:rPr>
          <w:rFonts w:ascii="Times" w:hAnsi="Times" w:cstheme="majorHAnsi"/>
          <w:sz w:val="22"/>
          <w:szCs w:val="22"/>
        </w:rPr>
        <w:t xml:space="preserve">. </w:t>
      </w:r>
      <w:r w:rsidR="009E1730" w:rsidRPr="002C7DEE">
        <w:rPr>
          <w:rFonts w:ascii="Times" w:hAnsi="Times" w:cstheme="majorHAnsi"/>
          <w:sz w:val="22"/>
          <w:szCs w:val="22"/>
        </w:rPr>
        <w:t xml:space="preserve">The estimated coefficient of variance for this assay is 5%. </w:t>
      </w:r>
      <w:r w:rsidR="00397C0B" w:rsidRPr="002C7DEE">
        <w:rPr>
          <w:rFonts w:ascii="Times" w:hAnsi="Times" w:cstheme="majorHAnsi"/>
          <w:sz w:val="22"/>
          <w:szCs w:val="22"/>
        </w:rPr>
        <w:t xml:space="preserve">All anti-Xa </w:t>
      </w:r>
      <w:r w:rsidR="00010546" w:rsidRPr="002C7DEE">
        <w:rPr>
          <w:rFonts w:ascii="Times" w:hAnsi="Times" w:cstheme="majorHAnsi"/>
          <w:sz w:val="22"/>
          <w:szCs w:val="22"/>
        </w:rPr>
        <w:t>samples</w:t>
      </w:r>
      <w:r w:rsidR="00397C0B" w:rsidRPr="002C7DEE">
        <w:rPr>
          <w:rFonts w:ascii="Times" w:hAnsi="Times" w:cstheme="majorHAnsi"/>
          <w:sz w:val="22"/>
          <w:szCs w:val="22"/>
        </w:rPr>
        <w:t xml:space="preserve"> will be</w:t>
      </w:r>
      <w:r w:rsidRPr="002C7DEE">
        <w:rPr>
          <w:rFonts w:ascii="Times" w:hAnsi="Times" w:cstheme="majorHAnsi"/>
          <w:sz w:val="22"/>
          <w:szCs w:val="22"/>
        </w:rPr>
        <w:t xml:space="preserve"> collected in citrate tubes,</w:t>
      </w:r>
      <w:r w:rsidR="00397C0B" w:rsidRPr="002C7DEE">
        <w:rPr>
          <w:rFonts w:ascii="Times" w:hAnsi="Times" w:cstheme="majorHAnsi"/>
          <w:sz w:val="22"/>
          <w:szCs w:val="22"/>
        </w:rPr>
        <w:t xml:space="preserve"> </w:t>
      </w:r>
      <w:r w:rsidR="00010546" w:rsidRPr="002C7DEE">
        <w:rPr>
          <w:rFonts w:ascii="Times" w:hAnsi="Times" w:cstheme="majorHAnsi"/>
          <w:sz w:val="22"/>
          <w:szCs w:val="22"/>
        </w:rPr>
        <w:t xml:space="preserve">centrifuged </w:t>
      </w:r>
      <w:r w:rsidRPr="002C7DEE">
        <w:rPr>
          <w:rFonts w:ascii="Times" w:hAnsi="Times" w:cstheme="majorHAnsi"/>
          <w:sz w:val="22"/>
          <w:szCs w:val="22"/>
        </w:rPr>
        <w:t xml:space="preserve">at 3800rpm for 10 minutes </w:t>
      </w:r>
      <w:r w:rsidR="00010546" w:rsidRPr="002C7DEE">
        <w:rPr>
          <w:rFonts w:ascii="Times" w:hAnsi="Times" w:cstheme="majorHAnsi"/>
          <w:sz w:val="22"/>
          <w:szCs w:val="22"/>
        </w:rPr>
        <w:t>and</w:t>
      </w:r>
      <w:r w:rsidR="00397C0B" w:rsidRPr="002C7DEE">
        <w:rPr>
          <w:rFonts w:ascii="Times" w:hAnsi="Times" w:cstheme="majorHAnsi"/>
          <w:sz w:val="22"/>
          <w:szCs w:val="22"/>
        </w:rPr>
        <w:t xml:space="preserve"> frozen </w:t>
      </w:r>
      <w:r w:rsidR="00010546" w:rsidRPr="002C7DEE">
        <w:rPr>
          <w:rFonts w:ascii="Times" w:hAnsi="Times" w:cstheme="majorHAnsi"/>
          <w:sz w:val="22"/>
          <w:szCs w:val="22"/>
        </w:rPr>
        <w:t>as per local protocols to be run in duplicate for each patient</w:t>
      </w:r>
      <w:r w:rsidR="00397C0B" w:rsidRPr="002C7DEE">
        <w:rPr>
          <w:rFonts w:ascii="Times" w:hAnsi="Times" w:cstheme="majorHAnsi"/>
          <w:sz w:val="22"/>
          <w:szCs w:val="22"/>
        </w:rPr>
        <w:t>.</w:t>
      </w:r>
      <w:r w:rsidR="00010546" w:rsidRPr="002C7DEE">
        <w:rPr>
          <w:rFonts w:ascii="Times" w:hAnsi="Times" w:cstheme="majorHAnsi"/>
          <w:sz w:val="22"/>
          <w:szCs w:val="22"/>
        </w:rPr>
        <w:t xml:space="preserve"> </w:t>
      </w:r>
      <w:r w:rsidR="009E1730" w:rsidRPr="002C7DEE">
        <w:rPr>
          <w:rFonts w:ascii="Times" w:hAnsi="Times" w:cstheme="majorHAnsi"/>
          <w:sz w:val="22"/>
          <w:szCs w:val="22"/>
        </w:rPr>
        <w:t xml:space="preserve">Anti-Xa levels will not be run in real time unless there is clinical concern. Any results falling outside of the expected range will be phoned through to the study investigators for further assessment and investigation as clinically indicated. </w:t>
      </w:r>
    </w:p>
    <w:p w14:paraId="0E9002D2" w14:textId="7C50DA3B" w:rsidR="00360AC1" w:rsidRPr="002C7DEE" w:rsidRDefault="00360AC1" w:rsidP="00075724">
      <w:pPr>
        <w:jc w:val="both"/>
        <w:rPr>
          <w:rFonts w:ascii="Times" w:hAnsi="Times" w:cstheme="majorHAnsi"/>
          <w:sz w:val="20"/>
          <w:szCs w:val="20"/>
        </w:rPr>
      </w:pPr>
    </w:p>
    <w:p w14:paraId="44D10717" w14:textId="77777777" w:rsidR="00360AC1" w:rsidRPr="002C7DEE" w:rsidRDefault="00360AC1" w:rsidP="00075724">
      <w:pPr>
        <w:jc w:val="both"/>
        <w:rPr>
          <w:rFonts w:ascii="Times" w:hAnsi="Times" w:cstheme="majorHAnsi"/>
          <w:sz w:val="20"/>
          <w:szCs w:val="20"/>
        </w:rPr>
      </w:pPr>
    </w:p>
    <w:p w14:paraId="038CD266" w14:textId="3F473C4C" w:rsidR="00360AC1" w:rsidRPr="00075724" w:rsidRDefault="00360AC1" w:rsidP="00075724">
      <w:pPr>
        <w:pStyle w:val="Heading2"/>
        <w:rPr>
          <w:rFonts w:ascii="Times" w:hAnsi="Times" w:cstheme="majorHAnsi"/>
          <w:i/>
          <w:sz w:val="22"/>
          <w:szCs w:val="20"/>
        </w:rPr>
      </w:pPr>
      <w:bookmarkStart w:id="23" w:name="_Toc166235155"/>
      <w:r w:rsidRPr="00075724">
        <w:rPr>
          <w:rFonts w:ascii="Times" w:hAnsi="Times" w:cstheme="majorHAnsi"/>
          <w:i/>
          <w:sz w:val="22"/>
          <w:szCs w:val="20"/>
        </w:rPr>
        <w:t>Safety assessment</w:t>
      </w:r>
      <w:bookmarkEnd w:id="23"/>
    </w:p>
    <w:p w14:paraId="2AE10D0C" w14:textId="77777777" w:rsidR="00360AC1" w:rsidRPr="002C7DEE" w:rsidRDefault="00360AC1" w:rsidP="00075724">
      <w:pPr>
        <w:jc w:val="both"/>
        <w:rPr>
          <w:rFonts w:ascii="Times" w:hAnsi="Times" w:cstheme="majorHAnsi"/>
          <w:i/>
          <w:sz w:val="20"/>
          <w:szCs w:val="20"/>
        </w:rPr>
      </w:pPr>
    </w:p>
    <w:p w14:paraId="5A950785" w14:textId="60CA28A7" w:rsidR="00096F20" w:rsidRDefault="00096F20" w:rsidP="000A0A28">
      <w:pPr>
        <w:jc w:val="both"/>
        <w:rPr>
          <w:rFonts w:ascii="Times" w:hAnsi="Times" w:cstheme="majorHAnsi"/>
          <w:sz w:val="22"/>
          <w:szCs w:val="22"/>
        </w:rPr>
      </w:pPr>
      <w:r>
        <w:rPr>
          <w:rFonts w:ascii="Times" w:hAnsi="Times" w:cstheme="majorHAnsi"/>
          <w:sz w:val="22"/>
          <w:szCs w:val="22"/>
        </w:rPr>
        <w:t>During Phases A and B, r</w:t>
      </w:r>
      <w:r w:rsidR="002D298D" w:rsidRPr="00075724">
        <w:rPr>
          <w:rFonts w:ascii="Times" w:hAnsi="Times" w:cstheme="majorHAnsi"/>
          <w:sz w:val="22"/>
          <w:szCs w:val="22"/>
        </w:rPr>
        <w:t>andom samples will be selected and run in real time to ensure there is no signal for drug accumulation or inadequate drug exposure. Anti-Xa levels run during the study period will assessed by a clinician not involved with the study to ensure the anti-Xa levels remain in the expected ranges for both patient on therapeutic or prophylactic anticoagulation.</w:t>
      </w:r>
      <w:r w:rsidR="002D298D" w:rsidRPr="000A0A28">
        <w:rPr>
          <w:rFonts w:ascii="Times" w:hAnsi="Times" w:cstheme="majorHAnsi"/>
          <w:sz w:val="22"/>
          <w:szCs w:val="22"/>
        </w:rPr>
        <w:t xml:space="preserve"> Evidence of accumulation of drug exposure using subcutaneous catheters will be measured by performing defined as &gt;50% difference or </w:t>
      </w:r>
      <w:r w:rsidR="002D298D" w:rsidRPr="00075724">
        <w:rPr>
          <w:rFonts w:ascii="Times" w:hAnsi="Times"/>
          <w:sz w:val="22"/>
          <w:szCs w:val="22"/>
        </w:rPr>
        <w:t>≥</w:t>
      </w:r>
      <w:r w:rsidR="002D298D" w:rsidRPr="000A0A28">
        <w:rPr>
          <w:rFonts w:ascii="Times" w:hAnsi="Times" w:cstheme="majorHAnsi"/>
          <w:sz w:val="22"/>
          <w:szCs w:val="22"/>
        </w:rPr>
        <w:t xml:space="preserve">0.4 absolute difference in the mean peak anti-Xa between day 2 vs day 5 (and day 7 in those applicable). </w:t>
      </w:r>
      <w:r w:rsidR="00360AC1" w:rsidRPr="000A0A28">
        <w:rPr>
          <w:rFonts w:ascii="Times" w:hAnsi="Times" w:cstheme="majorHAnsi"/>
          <w:sz w:val="22"/>
          <w:szCs w:val="22"/>
        </w:rPr>
        <w:t xml:space="preserve">If there are any safety concerns or a safety report is submitted for a participant, copies will be forwarded to appropriate clinical and pharmacy parties. </w:t>
      </w:r>
    </w:p>
    <w:p w14:paraId="3681E189" w14:textId="77777777" w:rsidR="00096F20" w:rsidRDefault="00096F20" w:rsidP="000A0A28">
      <w:pPr>
        <w:jc w:val="both"/>
        <w:rPr>
          <w:rFonts w:ascii="Times" w:hAnsi="Times" w:cstheme="majorHAnsi"/>
          <w:sz w:val="22"/>
          <w:szCs w:val="22"/>
        </w:rPr>
      </w:pPr>
    </w:p>
    <w:p w14:paraId="05C112A8" w14:textId="46867877" w:rsidR="00010546" w:rsidRPr="000A0A28" w:rsidRDefault="00096F20" w:rsidP="000A0A28">
      <w:pPr>
        <w:jc w:val="both"/>
        <w:rPr>
          <w:rFonts w:ascii="Times" w:hAnsi="Times" w:cstheme="majorHAnsi"/>
          <w:i/>
          <w:sz w:val="22"/>
          <w:szCs w:val="22"/>
        </w:rPr>
      </w:pPr>
      <w:r>
        <w:rPr>
          <w:rFonts w:ascii="Times" w:hAnsi="Times" w:cstheme="majorHAnsi"/>
          <w:sz w:val="22"/>
          <w:szCs w:val="22"/>
        </w:rPr>
        <w:t xml:space="preserve">Prior to and throughout the Extension phase, there will be external clinician review of the patient and anti-Xa levels to ensure results are within expected range, and there are no safety concerns with the patient continuing the subcutaneous catheter.  Regular nursing reviews will take place at each catheter replacement and be escalated to a clinician for review as required. </w:t>
      </w:r>
    </w:p>
    <w:p w14:paraId="5173CCC3" w14:textId="77777777" w:rsidR="00010546" w:rsidRPr="000A0A28" w:rsidRDefault="00010546" w:rsidP="000A0A28">
      <w:pPr>
        <w:jc w:val="both"/>
        <w:rPr>
          <w:rFonts w:ascii="Times" w:hAnsi="Times" w:cstheme="majorHAnsi"/>
          <w:i/>
          <w:sz w:val="22"/>
          <w:szCs w:val="22"/>
        </w:rPr>
      </w:pPr>
    </w:p>
    <w:p w14:paraId="5AF57632" w14:textId="279B1919" w:rsidR="00010546" w:rsidRPr="000A0A28" w:rsidRDefault="00010546" w:rsidP="000A0A28">
      <w:pPr>
        <w:jc w:val="both"/>
        <w:rPr>
          <w:rFonts w:ascii="Times" w:hAnsi="Times" w:cstheme="majorHAnsi"/>
          <w:sz w:val="22"/>
          <w:szCs w:val="22"/>
        </w:rPr>
      </w:pPr>
      <w:r w:rsidRPr="000A0A28">
        <w:rPr>
          <w:rFonts w:ascii="Times" w:hAnsi="Times" w:cstheme="majorHAnsi"/>
          <w:sz w:val="22"/>
          <w:szCs w:val="22"/>
        </w:rPr>
        <w:t xml:space="preserve">Frozen samples will be stored at Monash Health </w:t>
      </w:r>
      <w:r w:rsidR="009E1730" w:rsidRPr="000A0A28">
        <w:rPr>
          <w:rFonts w:ascii="Times" w:hAnsi="Times" w:cstheme="majorHAnsi"/>
          <w:sz w:val="22"/>
          <w:szCs w:val="22"/>
        </w:rPr>
        <w:t>as per local laboratory guidelines</w:t>
      </w:r>
      <w:r w:rsidRPr="000A0A28">
        <w:rPr>
          <w:rFonts w:ascii="Times" w:hAnsi="Times" w:cstheme="majorHAnsi"/>
          <w:sz w:val="22"/>
          <w:szCs w:val="22"/>
        </w:rPr>
        <w:t xml:space="preserve">. The samples obtained will not be used for genetic testing. </w:t>
      </w:r>
    </w:p>
    <w:p w14:paraId="5C8327D0" w14:textId="3E655E32" w:rsidR="00010546" w:rsidRPr="002C7DEE" w:rsidRDefault="00010546" w:rsidP="000A0A28">
      <w:pPr>
        <w:jc w:val="both"/>
        <w:rPr>
          <w:rFonts w:ascii="Times" w:hAnsi="Times" w:cstheme="majorHAnsi"/>
          <w:sz w:val="22"/>
          <w:szCs w:val="22"/>
        </w:rPr>
      </w:pPr>
    </w:p>
    <w:p w14:paraId="51DB7DA1" w14:textId="77777777" w:rsidR="00035D40" w:rsidRPr="002C7DEE" w:rsidRDefault="00035D40" w:rsidP="000A0A28">
      <w:pPr>
        <w:jc w:val="both"/>
        <w:rPr>
          <w:rFonts w:ascii="Times" w:hAnsi="Times" w:cstheme="majorHAnsi"/>
          <w:sz w:val="22"/>
          <w:szCs w:val="22"/>
        </w:rPr>
      </w:pPr>
    </w:p>
    <w:p w14:paraId="15C43ABA" w14:textId="2E9B4C6D" w:rsidR="00010546" w:rsidRPr="002C7DEE" w:rsidRDefault="00010546" w:rsidP="00075724">
      <w:pPr>
        <w:pStyle w:val="Heading2"/>
        <w:rPr>
          <w:rFonts w:ascii="Times" w:hAnsi="Times" w:cstheme="majorHAnsi"/>
          <w:i/>
          <w:sz w:val="22"/>
          <w:szCs w:val="22"/>
        </w:rPr>
      </w:pPr>
      <w:bookmarkStart w:id="24" w:name="_Toc166235156"/>
      <w:r w:rsidRPr="002C7DEE">
        <w:rPr>
          <w:rFonts w:ascii="Times" w:hAnsi="Times" w:cstheme="majorHAnsi"/>
          <w:i/>
          <w:sz w:val="22"/>
          <w:szCs w:val="22"/>
        </w:rPr>
        <w:t>Data security and handling</w:t>
      </w:r>
      <w:bookmarkEnd w:id="24"/>
    </w:p>
    <w:p w14:paraId="16CFC0BA" w14:textId="77777777" w:rsidR="00010546" w:rsidRPr="002C7DEE" w:rsidRDefault="00010546" w:rsidP="000A0A28">
      <w:pPr>
        <w:jc w:val="both"/>
        <w:rPr>
          <w:rFonts w:ascii="Times" w:hAnsi="Times" w:cstheme="majorHAnsi"/>
          <w:i/>
          <w:sz w:val="22"/>
          <w:szCs w:val="22"/>
        </w:rPr>
      </w:pPr>
    </w:p>
    <w:p w14:paraId="240DADE4" w14:textId="77777777" w:rsidR="00010546" w:rsidRPr="002C7DEE" w:rsidRDefault="00010546" w:rsidP="00096F20">
      <w:pPr>
        <w:jc w:val="both"/>
        <w:rPr>
          <w:rFonts w:ascii="Times" w:hAnsi="Times" w:cstheme="majorHAnsi"/>
          <w:sz w:val="22"/>
          <w:szCs w:val="22"/>
        </w:rPr>
      </w:pPr>
      <w:r w:rsidRPr="002C7DEE">
        <w:rPr>
          <w:rFonts w:ascii="Times" w:hAnsi="Times" w:cstheme="majorHAnsi"/>
          <w:sz w:val="22"/>
          <w:szCs w:val="22"/>
        </w:rPr>
        <w:t xml:space="preserve">Information will be collected on case report forms (CRFs). The original case report forms will be maintained at the Monash Health Haematology Research Unit. All study investigators and trial co-ordinators are required to maintain patient confidentiality. CRFs will be stored at Monash Health in paper form, and progress notes by study investigators will be scanned into the Monash Health Scanned Medical Record system. All paper records will be securely stored by the Monash Health Haematology Research Unit in locked facilities (e.g. locked cabinets). All electronic data will be password-protected. </w:t>
      </w:r>
      <w:r w:rsidRPr="002C7DEE">
        <w:rPr>
          <w:rFonts w:ascii="Times" w:hAnsi="Times" w:cstheme="majorHAnsi"/>
          <w:sz w:val="22"/>
          <w:szCs w:val="22"/>
        </w:rPr>
        <w:lastRenderedPageBreak/>
        <w:t>Data analysis will use software including Graph Pad Prism and Microsoft Excel. Data analysis will use de-identified information, using the alphanumeric code assigned to each participant.</w:t>
      </w:r>
    </w:p>
    <w:p w14:paraId="3BD4BFC5" w14:textId="77777777" w:rsidR="00010546" w:rsidRPr="002C7DEE" w:rsidRDefault="00010546">
      <w:pPr>
        <w:jc w:val="both"/>
        <w:rPr>
          <w:rFonts w:ascii="Times" w:hAnsi="Times" w:cstheme="majorHAnsi"/>
          <w:sz w:val="22"/>
          <w:szCs w:val="22"/>
          <w:lang w:val="en-US"/>
        </w:rPr>
      </w:pPr>
      <w:r w:rsidRPr="002C7DEE">
        <w:rPr>
          <w:rFonts w:ascii="Times" w:hAnsi="Times" w:cstheme="majorHAnsi"/>
          <w:sz w:val="22"/>
          <w:szCs w:val="22"/>
        </w:rPr>
        <w:t>Records will be maintained for at least 15 years following study closure</w:t>
      </w:r>
      <w:r w:rsidRPr="002C7DEE">
        <w:rPr>
          <w:rFonts w:ascii="Times" w:hAnsi="Times" w:cstheme="majorHAnsi"/>
          <w:sz w:val="22"/>
          <w:szCs w:val="22"/>
          <w:lang w:val="en-US"/>
        </w:rPr>
        <w:t>.</w:t>
      </w:r>
    </w:p>
    <w:p w14:paraId="53AC02F1" w14:textId="38136B09" w:rsidR="009D497B" w:rsidRPr="002C7DEE" w:rsidRDefault="009D497B" w:rsidP="00075724">
      <w:pPr>
        <w:jc w:val="both"/>
        <w:rPr>
          <w:rFonts w:ascii="Times" w:hAnsi="Times" w:cstheme="majorHAnsi"/>
          <w:sz w:val="22"/>
          <w:szCs w:val="22"/>
        </w:rPr>
      </w:pPr>
    </w:p>
    <w:p w14:paraId="5BFE1B2C" w14:textId="77777777" w:rsidR="00035D40" w:rsidRPr="002C7DEE" w:rsidRDefault="00035D40" w:rsidP="00075724">
      <w:pPr>
        <w:jc w:val="both"/>
        <w:rPr>
          <w:rFonts w:ascii="Times" w:hAnsi="Times" w:cstheme="majorHAnsi"/>
          <w:sz w:val="22"/>
          <w:szCs w:val="22"/>
        </w:rPr>
      </w:pPr>
    </w:p>
    <w:p w14:paraId="44DC8099" w14:textId="716D1140" w:rsidR="00012BAE" w:rsidRPr="002C7DEE" w:rsidRDefault="00010546" w:rsidP="00075724">
      <w:pPr>
        <w:pStyle w:val="Heading1"/>
        <w:rPr>
          <w:rFonts w:ascii="Times" w:hAnsi="Times" w:cstheme="majorHAnsi"/>
          <w:b/>
          <w:sz w:val="22"/>
          <w:szCs w:val="22"/>
        </w:rPr>
      </w:pPr>
      <w:bookmarkStart w:id="25" w:name="_Toc166235157"/>
      <w:r w:rsidRPr="002C7DEE">
        <w:rPr>
          <w:rFonts w:ascii="Times" w:hAnsi="Times" w:cstheme="majorHAnsi"/>
          <w:b/>
          <w:sz w:val="22"/>
          <w:szCs w:val="22"/>
        </w:rPr>
        <w:t>Study outcomes</w:t>
      </w:r>
      <w:bookmarkEnd w:id="25"/>
      <w:r w:rsidR="009D6823" w:rsidRPr="002C7DEE">
        <w:rPr>
          <w:rFonts w:ascii="Times" w:hAnsi="Times" w:cstheme="majorHAnsi"/>
          <w:b/>
          <w:sz w:val="22"/>
          <w:szCs w:val="22"/>
        </w:rPr>
        <w:t xml:space="preserve"> </w:t>
      </w:r>
    </w:p>
    <w:p w14:paraId="724DAE72" w14:textId="292A30DE" w:rsidR="00010546" w:rsidRPr="002C7DEE" w:rsidRDefault="00010546" w:rsidP="00075724">
      <w:pPr>
        <w:jc w:val="both"/>
        <w:rPr>
          <w:rFonts w:ascii="Times" w:hAnsi="Times" w:cstheme="majorHAnsi"/>
          <w:sz w:val="22"/>
          <w:szCs w:val="22"/>
        </w:rPr>
      </w:pPr>
    </w:p>
    <w:p w14:paraId="3C94E070" w14:textId="78695F20" w:rsidR="00010546" w:rsidRPr="002C7DEE" w:rsidRDefault="00010546" w:rsidP="00075724">
      <w:pPr>
        <w:pStyle w:val="Heading2"/>
        <w:rPr>
          <w:rFonts w:ascii="Times" w:hAnsi="Times" w:cstheme="majorHAnsi"/>
          <w:i/>
          <w:sz w:val="22"/>
          <w:szCs w:val="22"/>
        </w:rPr>
      </w:pPr>
      <w:bookmarkStart w:id="26" w:name="_Toc166235158"/>
      <w:r w:rsidRPr="002C7DEE">
        <w:rPr>
          <w:rFonts w:ascii="Times" w:hAnsi="Times" w:cstheme="majorHAnsi"/>
          <w:i/>
          <w:sz w:val="22"/>
          <w:szCs w:val="22"/>
        </w:rPr>
        <w:t>Primary outcome</w:t>
      </w:r>
      <w:r w:rsidR="00132EF4" w:rsidRPr="002C7DEE">
        <w:rPr>
          <w:rFonts w:ascii="Times" w:hAnsi="Times" w:cstheme="majorHAnsi"/>
          <w:i/>
          <w:sz w:val="22"/>
          <w:szCs w:val="22"/>
        </w:rPr>
        <w:t>s</w:t>
      </w:r>
      <w:bookmarkEnd w:id="26"/>
    </w:p>
    <w:p w14:paraId="42FA5769" w14:textId="45E2D7C2" w:rsidR="00132EF4" w:rsidRPr="002C7DEE" w:rsidRDefault="00132EF4" w:rsidP="00075724">
      <w:pPr>
        <w:jc w:val="both"/>
        <w:rPr>
          <w:rFonts w:ascii="Times" w:hAnsi="Times" w:cstheme="majorHAnsi"/>
          <w:sz w:val="22"/>
          <w:szCs w:val="22"/>
        </w:rPr>
      </w:pPr>
      <w:r w:rsidRPr="002C7DEE">
        <w:rPr>
          <w:rFonts w:ascii="Times" w:hAnsi="Times" w:cstheme="majorHAnsi"/>
          <w:sz w:val="22"/>
          <w:szCs w:val="22"/>
        </w:rPr>
        <w:t>Therapeutic arm</w:t>
      </w:r>
    </w:p>
    <w:p w14:paraId="36730CCB" w14:textId="1769DD74" w:rsidR="00010546" w:rsidRPr="002C7DEE" w:rsidRDefault="00142D1F" w:rsidP="00075724">
      <w:pPr>
        <w:pStyle w:val="ListParagraph"/>
        <w:numPr>
          <w:ilvl w:val="0"/>
          <w:numId w:val="8"/>
        </w:numPr>
        <w:jc w:val="both"/>
        <w:rPr>
          <w:rFonts w:ascii="Times" w:hAnsi="Times" w:cstheme="majorHAnsi"/>
          <w:sz w:val="22"/>
          <w:szCs w:val="22"/>
        </w:rPr>
      </w:pPr>
      <w:r w:rsidRPr="002C7DEE">
        <w:rPr>
          <w:rFonts w:ascii="Times" w:hAnsi="Times" w:cstheme="majorHAnsi"/>
          <w:sz w:val="22"/>
          <w:szCs w:val="22"/>
        </w:rPr>
        <w:t>No more than a 30%</w:t>
      </w:r>
      <w:r w:rsidR="00010546" w:rsidRPr="002C7DEE">
        <w:rPr>
          <w:rFonts w:ascii="Times" w:hAnsi="Times" w:cstheme="majorHAnsi"/>
          <w:sz w:val="22"/>
          <w:szCs w:val="22"/>
        </w:rPr>
        <w:t xml:space="preserve"> in median anti-Xa levels in subcutaneous catheter and subcutaneous injections</w:t>
      </w:r>
      <w:r w:rsidR="00C707B5" w:rsidRPr="002C7DEE">
        <w:rPr>
          <w:rFonts w:ascii="Times" w:hAnsi="Times" w:cstheme="majorHAnsi"/>
          <w:sz w:val="22"/>
          <w:szCs w:val="22"/>
        </w:rPr>
        <w:t xml:space="preserve">, </w:t>
      </w:r>
      <w:r w:rsidR="00AD508E" w:rsidRPr="002C7DEE">
        <w:rPr>
          <w:rFonts w:ascii="Times" w:hAnsi="Times" w:cstheme="majorHAnsi"/>
          <w:sz w:val="22"/>
          <w:szCs w:val="22"/>
        </w:rPr>
        <w:t>or</w:t>
      </w:r>
      <w:r w:rsidRPr="002C7DEE">
        <w:rPr>
          <w:rFonts w:ascii="Times" w:hAnsi="Times" w:cstheme="majorHAnsi"/>
          <w:sz w:val="22"/>
          <w:szCs w:val="22"/>
        </w:rPr>
        <w:t xml:space="preserve"> an absolute value of 0.3</w:t>
      </w:r>
      <w:r w:rsidR="002D298D" w:rsidRPr="002C7DEE">
        <w:rPr>
          <w:rFonts w:ascii="Times" w:hAnsi="Times" w:cstheme="majorHAnsi"/>
          <w:sz w:val="22"/>
          <w:szCs w:val="22"/>
        </w:rPr>
        <w:t xml:space="preserve"> (based on expected mean anti-Xa of 0.9, and standard deviation of 0.2U/mL)</w:t>
      </w:r>
    </w:p>
    <w:p w14:paraId="2BB8EF8C" w14:textId="77777777" w:rsidR="00142D1F" w:rsidRPr="002C7DEE" w:rsidRDefault="00142D1F" w:rsidP="00075724">
      <w:pPr>
        <w:jc w:val="both"/>
        <w:rPr>
          <w:rFonts w:ascii="Times" w:hAnsi="Times" w:cstheme="majorHAnsi"/>
          <w:sz w:val="22"/>
          <w:szCs w:val="22"/>
        </w:rPr>
      </w:pPr>
    </w:p>
    <w:p w14:paraId="37F82CBD" w14:textId="2A7BFDCD" w:rsidR="00010546" w:rsidRPr="002C7DEE" w:rsidRDefault="00010546" w:rsidP="00075724">
      <w:pPr>
        <w:jc w:val="both"/>
        <w:rPr>
          <w:rFonts w:ascii="Times" w:hAnsi="Times" w:cstheme="majorHAnsi"/>
          <w:sz w:val="22"/>
          <w:szCs w:val="22"/>
        </w:rPr>
      </w:pPr>
      <w:r w:rsidRPr="002C7DEE">
        <w:rPr>
          <w:rFonts w:ascii="Times" w:hAnsi="Times" w:cstheme="majorHAnsi"/>
          <w:sz w:val="22"/>
          <w:szCs w:val="22"/>
        </w:rPr>
        <w:t>Prophylactic arm</w:t>
      </w:r>
    </w:p>
    <w:p w14:paraId="70BBF4D3" w14:textId="12C3AD6B" w:rsidR="00B8447D" w:rsidRPr="002C7DEE" w:rsidRDefault="00010546" w:rsidP="00075724">
      <w:pPr>
        <w:pStyle w:val="ListParagraph"/>
        <w:numPr>
          <w:ilvl w:val="0"/>
          <w:numId w:val="7"/>
        </w:numPr>
        <w:jc w:val="both"/>
        <w:rPr>
          <w:rFonts w:ascii="Times" w:hAnsi="Times" w:cstheme="majorHAnsi"/>
          <w:b/>
          <w:sz w:val="22"/>
          <w:szCs w:val="22"/>
        </w:rPr>
      </w:pPr>
      <w:r w:rsidRPr="002C7DEE">
        <w:rPr>
          <w:rFonts w:ascii="Times" w:hAnsi="Times" w:cstheme="majorHAnsi"/>
          <w:sz w:val="22"/>
          <w:szCs w:val="22"/>
        </w:rPr>
        <w:t>P</w:t>
      </w:r>
      <w:r w:rsidR="00142D1F" w:rsidRPr="002C7DEE">
        <w:rPr>
          <w:rFonts w:ascii="Times" w:hAnsi="Times" w:cstheme="majorHAnsi"/>
          <w:sz w:val="22"/>
          <w:szCs w:val="22"/>
        </w:rPr>
        <w:t>roportion of patients within the expected</w:t>
      </w:r>
      <w:r w:rsidR="003720D4" w:rsidRPr="002C7DEE">
        <w:rPr>
          <w:rFonts w:ascii="Times" w:hAnsi="Times" w:cstheme="majorHAnsi"/>
          <w:sz w:val="22"/>
          <w:szCs w:val="22"/>
        </w:rPr>
        <w:t xml:space="preserve"> a</w:t>
      </w:r>
      <w:r w:rsidR="002D298D" w:rsidRPr="002C7DEE">
        <w:rPr>
          <w:rFonts w:ascii="Times" w:hAnsi="Times" w:cstheme="majorHAnsi"/>
          <w:sz w:val="22"/>
          <w:szCs w:val="22"/>
        </w:rPr>
        <w:t>nti-</w:t>
      </w:r>
      <w:r w:rsidR="003720D4" w:rsidRPr="002C7DEE">
        <w:rPr>
          <w:rFonts w:ascii="Times" w:hAnsi="Times" w:cstheme="majorHAnsi"/>
          <w:sz w:val="22"/>
          <w:szCs w:val="22"/>
        </w:rPr>
        <w:t>Xa</w:t>
      </w:r>
      <w:r w:rsidR="002D298D" w:rsidRPr="002C7DEE">
        <w:rPr>
          <w:rFonts w:ascii="Times" w:hAnsi="Times" w:cstheme="majorHAnsi"/>
          <w:sz w:val="22"/>
          <w:szCs w:val="22"/>
        </w:rPr>
        <w:t xml:space="preserve"> (range 0.</w:t>
      </w:r>
      <w:r w:rsidR="00096F20">
        <w:rPr>
          <w:rFonts w:ascii="Times" w:hAnsi="Times" w:cstheme="majorHAnsi"/>
          <w:sz w:val="22"/>
          <w:szCs w:val="22"/>
        </w:rPr>
        <w:t>15</w:t>
      </w:r>
      <w:r w:rsidR="002D298D" w:rsidRPr="002C7DEE">
        <w:rPr>
          <w:rFonts w:ascii="Times" w:hAnsi="Times" w:cstheme="majorHAnsi"/>
          <w:sz w:val="22"/>
          <w:szCs w:val="22"/>
        </w:rPr>
        <w:t>-0.5U/mL)</w:t>
      </w:r>
    </w:p>
    <w:p w14:paraId="4A2D101E" w14:textId="77777777" w:rsidR="00142D1F" w:rsidRPr="002C7DEE" w:rsidRDefault="00142D1F" w:rsidP="00075724">
      <w:pPr>
        <w:jc w:val="both"/>
        <w:rPr>
          <w:rFonts w:ascii="Times" w:hAnsi="Times" w:cstheme="majorHAnsi"/>
          <w:i/>
          <w:sz w:val="22"/>
          <w:szCs w:val="22"/>
        </w:rPr>
      </w:pPr>
    </w:p>
    <w:p w14:paraId="51DF54C5" w14:textId="611E15B0" w:rsidR="00010546" w:rsidRPr="002C7DEE" w:rsidRDefault="00010546" w:rsidP="00075724">
      <w:pPr>
        <w:pStyle w:val="Heading2"/>
        <w:rPr>
          <w:rFonts w:ascii="Times" w:hAnsi="Times" w:cstheme="majorHAnsi"/>
          <w:i/>
          <w:sz w:val="22"/>
          <w:szCs w:val="22"/>
        </w:rPr>
      </w:pPr>
      <w:bookmarkStart w:id="27" w:name="_Toc166235159"/>
      <w:r w:rsidRPr="002C7DEE">
        <w:rPr>
          <w:rFonts w:ascii="Times" w:hAnsi="Times" w:cstheme="majorHAnsi"/>
          <w:i/>
          <w:sz w:val="22"/>
          <w:szCs w:val="22"/>
        </w:rPr>
        <w:t>Secondary outcomes</w:t>
      </w:r>
      <w:bookmarkEnd w:id="27"/>
    </w:p>
    <w:p w14:paraId="5A32EDCF" w14:textId="33E1E7C5" w:rsidR="00877918" w:rsidRPr="002C7DEE" w:rsidRDefault="00877918" w:rsidP="00075724">
      <w:pPr>
        <w:pStyle w:val="ListParagraph"/>
        <w:numPr>
          <w:ilvl w:val="0"/>
          <w:numId w:val="14"/>
        </w:numPr>
        <w:jc w:val="both"/>
        <w:rPr>
          <w:rFonts w:ascii="Times" w:hAnsi="Times" w:cstheme="majorHAnsi"/>
          <w:i/>
          <w:sz w:val="22"/>
          <w:szCs w:val="22"/>
        </w:rPr>
      </w:pPr>
      <w:r w:rsidRPr="002C7DEE">
        <w:rPr>
          <w:rFonts w:ascii="Times" w:hAnsi="Times" w:cstheme="majorHAnsi"/>
          <w:sz w:val="22"/>
          <w:szCs w:val="22"/>
        </w:rPr>
        <w:t>The number of patients in whom the catheter remains in for the full 7 days</w:t>
      </w:r>
    </w:p>
    <w:p w14:paraId="3E061A35" w14:textId="77777777" w:rsidR="00877918" w:rsidRPr="002C7DEE" w:rsidRDefault="00877918" w:rsidP="00075724">
      <w:pPr>
        <w:jc w:val="both"/>
        <w:rPr>
          <w:rFonts w:ascii="Times" w:hAnsi="Times" w:cstheme="majorHAnsi"/>
          <w:sz w:val="22"/>
          <w:szCs w:val="22"/>
        </w:rPr>
      </w:pPr>
    </w:p>
    <w:p w14:paraId="325C78BF" w14:textId="269BB1F0" w:rsidR="00142D1F" w:rsidRPr="002C7DEE" w:rsidRDefault="00142D1F" w:rsidP="00075724">
      <w:pPr>
        <w:jc w:val="both"/>
        <w:rPr>
          <w:rFonts w:ascii="Times" w:hAnsi="Times" w:cstheme="majorHAnsi"/>
          <w:sz w:val="22"/>
          <w:szCs w:val="22"/>
        </w:rPr>
      </w:pPr>
      <w:r w:rsidRPr="002C7DEE">
        <w:rPr>
          <w:rFonts w:ascii="Times" w:hAnsi="Times" w:cstheme="majorHAnsi"/>
          <w:sz w:val="22"/>
          <w:szCs w:val="22"/>
        </w:rPr>
        <w:t>Therapeutic arm</w:t>
      </w:r>
    </w:p>
    <w:p w14:paraId="1C75D63C" w14:textId="1DAF27F7" w:rsidR="00010546" w:rsidRPr="002C7DEE" w:rsidRDefault="00010546" w:rsidP="00075724">
      <w:pPr>
        <w:pStyle w:val="ListParagraph"/>
        <w:numPr>
          <w:ilvl w:val="0"/>
          <w:numId w:val="16"/>
        </w:numPr>
        <w:jc w:val="both"/>
        <w:rPr>
          <w:rFonts w:ascii="Times" w:hAnsi="Times" w:cstheme="majorHAnsi"/>
          <w:sz w:val="22"/>
          <w:szCs w:val="22"/>
        </w:rPr>
      </w:pPr>
      <w:r w:rsidRPr="002C7DEE">
        <w:rPr>
          <w:rFonts w:ascii="Times" w:hAnsi="Times" w:cstheme="majorHAnsi"/>
          <w:sz w:val="22"/>
          <w:szCs w:val="22"/>
        </w:rPr>
        <w:t xml:space="preserve">Proportion of peak anti-Xa levels within the expected range (0.5-1.2), </w:t>
      </w:r>
      <w:r w:rsidR="00142D1F" w:rsidRPr="002C7DEE">
        <w:rPr>
          <w:rFonts w:ascii="Times" w:hAnsi="Times" w:cstheme="majorHAnsi"/>
          <w:sz w:val="22"/>
          <w:szCs w:val="22"/>
        </w:rPr>
        <w:t>with no more than a 30% difference between the 2 administration methods</w:t>
      </w:r>
      <w:r w:rsidR="00572CA0" w:rsidRPr="002C7DEE">
        <w:rPr>
          <w:rFonts w:ascii="Times" w:hAnsi="Times" w:cstheme="majorHAnsi"/>
          <w:sz w:val="22"/>
          <w:szCs w:val="22"/>
        </w:rPr>
        <w:t xml:space="preserve"> (based on expected mean a</w:t>
      </w:r>
      <w:r w:rsidR="002D298D" w:rsidRPr="002C7DEE">
        <w:rPr>
          <w:rFonts w:ascii="Times" w:hAnsi="Times" w:cstheme="majorHAnsi"/>
          <w:sz w:val="22"/>
          <w:szCs w:val="22"/>
        </w:rPr>
        <w:t>nti-</w:t>
      </w:r>
      <w:r w:rsidR="00572CA0" w:rsidRPr="002C7DEE">
        <w:rPr>
          <w:rFonts w:ascii="Times" w:hAnsi="Times" w:cstheme="majorHAnsi"/>
          <w:sz w:val="22"/>
          <w:szCs w:val="22"/>
        </w:rPr>
        <w:t>Xa of 0.9, and standard deviation of 0.2U/mL)</w:t>
      </w:r>
    </w:p>
    <w:p w14:paraId="3009BBD5" w14:textId="4158D344" w:rsidR="00142D1F" w:rsidRPr="002C7DEE" w:rsidRDefault="00010546" w:rsidP="00075724">
      <w:pPr>
        <w:pStyle w:val="ListParagraph"/>
        <w:numPr>
          <w:ilvl w:val="0"/>
          <w:numId w:val="16"/>
        </w:numPr>
        <w:jc w:val="both"/>
        <w:rPr>
          <w:rFonts w:ascii="Times" w:hAnsi="Times" w:cstheme="majorHAnsi"/>
          <w:sz w:val="22"/>
          <w:szCs w:val="22"/>
        </w:rPr>
      </w:pPr>
      <w:r w:rsidRPr="002C7DEE">
        <w:rPr>
          <w:rFonts w:ascii="Times" w:hAnsi="Times" w:cstheme="majorHAnsi"/>
          <w:sz w:val="22"/>
          <w:szCs w:val="22"/>
        </w:rPr>
        <w:t>Assessing any evidence of accumulation in drug exposure using subcutaneous catheters</w:t>
      </w:r>
      <w:r w:rsidR="00142D1F" w:rsidRPr="002C7DEE">
        <w:rPr>
          <w:rFonts w:ascii="Times" w:hAnsi="Times" w:cstheme="majorHAnsi"/>
          <w:sz w:val="22"/>
          <w:szCs w:val="22"/>
        </w:rPr>
        <w:t xml:space="preserve">, defined as &gt;50% difference or </w:t>
      </w:r>
      <w:r w:rsidR="00142D1F" w:rsidRPr="002C7DEE">
        <w:rPr>
          <w:rFonts w:ascii="Times" w:hAnsi="Times"/>
          <w:sz w:val="20"/>
          <w:szCs w:val="20"/>
        </w:rPr>
        <w:t>≥</w:t>
      </w:r>
      <w:r w:rsidR="00142D1F" w:rsidRPr="002C7DEE">
        <w:rPr>
          <w:rFonts w:ascii="Times" w:hAnsi="Times" w:cstheme="majorHAnsi"/>
          <w:sz w:val="22"/>
          <w:szCs w:val="22"/>
        </w:rPr>
        <w:t>0.4 absolute difference in the mean peak a</w:t>
      </w:r>
      <w:r w:rsidR="002D298D" w:rsidRPr="002C7DEE">
        <w:rPr>
          <w:rFonts w:ascii="Times" w:hAnsi="Times" w:cstheme="majorHAnsi"/>
          <w:sz w:val="22"/>
          <w:szCs w:val="22"/>
        </w:rPr>
        <w:t>nti-</w:t>
      </w:r>
      <w:r w:rsidR="00142D1F" w:rsidRPr="002C7DEE">
        <w:rPr>
          <w:rFonts w:ascii="Times" w:hAnsi="Times" w:cstheme="majorHAnsi"/>
          <w:sz w:val="22"/>
          <w:szCs w:val="22"/>
        </w:rPr>
        <w:t xml:space="preserve">Xa </w:t>
      </w:r>
      <w:r w:rsidRPr="002C7DEE">
        <w:rPr>
          <w:rFonts w:ascii="Times" w:hAnsi="Times" w:cstheme="majorHAnsi"/>
          <w:sz w:val="22"/>
          <w:szCs w:val="22"/>
        </w:rPr>
        <w:t xml:space="preserve">between day 2 vs day 5 (and day 7 in those applicable) </w:t>
      </w:r>
    </w:p>
    <w:p w14:paraId="1707DDF4" w14:textId="33B735E9" w:rsidR="00142D1F" w:rsidRPr="002C7DEE" w:rsidRDefault="00010546" w:rsidP="00075724">
      <w:pPr>
        <w:pStyle w:val="ListParagraph"/>
        <w:numPr>
          <w:ilvl w:val="0"/>
          <w:numId w:val="16"/>
        </w:numPr>
        <w:jc w:val="both"/>
        <w:rPr>
          <w:rFonts w:ascii="Times" w:hAnsi="Times" w:cstheme="majorHAnsi"/>
          <w:sz w:val="22"/>
          <w:szCs w:val="22"/>
        </w:rPr>
      </w:pPr>
      <w:r w:rsidRPr="002C7DEE">
        <w:rPr>
          <w:rFonts w:ascii="Times" w:hAnsi="Times" w:cstheme="majorHAnsi"/>
          <w:sz w:val="22"/>
          <w:szCs w:val="22"/>
        </w:rPr>
        <w:t xml:space="preserve">Feasibility and acceptance of subcutaneous catheters, assessed by an in house quality of life/patient satisfaction survey based on an oncology scoring system assessing acceptability of central venous access devices (CVAD) vs subcutaneous ports </w:t>
      </w:r>
      <w:r w:rsidR="00142D1F" w:rsidRPr="002C7DEE">
        <w:rPr>
          <w:rFonts w:ascii="Times" w:hAnsi="Times" w:cstheme="majorHAnsi"/>
          <w:sz w:val="22"/>
          <w:szCs w:val="22"/>
        </w:rPr>
        <w:t xml:space="preserve">(see </w:t>
      </w:r>
      <w:r w:rsidR="002106E0" w:rsidRPr="002C7DEE">
        <w:rPr>
          <w:rFonts w:ascii="Times" w:hAnsi="Times" w:cstheme="majorHAnsi"/>
          <w:sz w:val="22"/>
          <w:szCs w:val="22"/>
        </w:rPr>
        <w:t>appendix figure</w:t>
      </w:r>
      <w:r w:rsidR="008D4C22" w:rsidRPr="002C7DEE">
        <w:rPr>
          <w:rFonts w:ascii="Times" w:hAnsi="Times" w:cstheme="majorHAnsi"/>
          <w:sz w:val="22"/>
          <w:szCs w:val="22"/>
        </w:rPr>
        <w:t>s</w:t>
      </w:r>
      <w:r w:rsidR="002106E0" w:rsidRPr="002C7DEE">
        <w:rPr>
          <w:rFonts w:ascii="Times" w:hAnsi="Times" w:cstheme="majorHAnsi"/>
          <w:sz w:val="22"/>
          <w:szCs w:val="22"/>
        </w:rPr>
        <w:t xml:space="preserve"> A</w:t>
      </w:r>
      <w:r w:rsidR="008D4C22" w:rsidRPr="002C7DEE">
        <w:rPr>
          <w:rFonts w:ascii="Times" w:hAnsi="Times" w:cstheme="majorHAnsi"/>
          <w:sz w:val="22"/>
          <w:szCs w:val="22"/>
        </w:rPr>
        <w:t xml:space="preserve"> and B</w:t>
      </w:r>
      <w:r w:rsidR="00142D1F" w:rsidRPr="002C7DEE">
        <w:rPr>
          <w:rFonts w:ascii="Times" w:hAnsi="Times" w:cstheme="majorHAnsi"/>
          <w:sz w:val="22"/>
          <w:szCs w:val="22"/>
        </w:rPr>
        <w:t xml:space="preserve">) </w:t>
      </w:r>
      <w:r w:rsidRPr="002C7DEE">
        <w:rPr>
          <w:rFonts w:ascii="Times" w:hAnsi="Times" w:cstheme="majorHAnsi"/>
          <w:sz w:val="22"/>
          <w:szCs w:val="22"/>
        </w:rPr>
        <w:fldChar w:fldCharType="begin"/>
      </w:r>
      <w:r w:rsidRPr="002C7DEE">
        <w:rPr>
          <w:rFonts w:ascii="Times" w:hAnsi="Times" w:cstheme="majorHAnsi"/>
          <w:sz w:val="22"/>
          <w:szCs w:val="22"/>
        </w:rPr>
        <w:instrText xml:space="preserve"> ADDIN EN.CITE &lt;EndNote&gt;&lt;Cite&gt;&lt;Author&gt;Johansson&lt;/Author&gt;&lt;Year&gt;2009&lt;/Year&gt;&lt;RecNum&gt;38&lt;/RecNum&gt;&lt;DisplayText&gt;[32]&lt;/DisplayText&gt;&lt;record&gt;&lt;rec-number&gt;38&lt;/rec-number&gt;&lt;foreign-keys&gt;&lt;key app="EN" db-id="detxwp9vtwv2v0e5pxf5feaxwx0dr9drsff0" timestamp="1614807197"&gt;38&lt;/key&gt;&lt;/foreign-keys&gt;&lt;ref-type name="Journal Article"&gt;17&lt;/ref-type&gt;&lt;contributors&gt;&lt;authors&gt;&lt;author&gt;Johansson, E.; Engervall, P., Björvell, H. et al&lt;/author&gt;&lt;/authors&gt;&lt;/contributors&gt;&lt;titles&gt;&lt;title&gt;Patients’ perceptions of having a central venous catheter or a totally implantable subcutaneous port system–results from a randomised study in acute leukaemia&lt;/title&gt;&lt;secondary-title&gt;Support Care Cance&lt;/secondary-title&gt;&lt;/titles&gt;&lt;periodical&gt;&lt;full-title&gt;Support Care Cance&lt;/full-title&gt;&lt;/periodical&gt;&lt;pages&gt;137-143&lt;/pages&gt;&lt;volume&gt;17&lt;/volume&gt;&lt;dates&gt;&lt;year&gt;2009&lt;/year&gt;&lt;/dates&gt;&lt;urls&gt;&lt;/urls&gt;&lt;electronic-resource-num&gt;https://doi.org/10.1007/s00520-008-0449-6&lt;/electronic-resource-num&gt;&lt;/record&gt;&lt;/Cite&gt;&lt;/EndNote&gt;</w:instrText>
      </w:r>
      <w:r w:rsidRPr="002C7DEE">
        <w:rPr>
          <w:rFonts w:ascii="Times" w:hAnsi="Times" w:cstheme="majorHAnsi"/>
          <w:sz w:val="22"/>
          <w:szCs w:val="22"/>
        </w:rPr>
        <w:fldChar w:fldCharType="separate"/>
      </w:r>
      <w:r w:rsidRPr="002C7DEE">
        <w:rPr>
          <w:rFonts w:ascii="Times" w:hAnsi="Times" w:cstheme="majorHAnsi"/>
          <w:noProof/>
          <w:sz w:val="22"/>
          <w:szCs w:val="22"/>
        </w:rPr>
        <w:t>[32]</w:t>
      </w:r>
      <w:r w:rsidRPr="002C7DEE">
        <w:rPr>
          <w:rFonts w:ascii="Times" w:hAnsi="Times" w:cstheme="majorHAnsi"/>
          <w:sz w:val="22"/>
          <w:szCs w:val="22"/>
        </w:rPr>
        <w:fldChar w:fldCharType="end"/>
      </w:r>
    </w:p>
    <w:p w14:paraId="5DADE0BB" w14:textId="66C5795F" w:rsidR="00142D1F" w:rsidRPr="002C7DEE" w:rsidRDefault="00010546" w:rsidP="00075724">
      <w:pPr>
        <w:pStyle w:val="ListParagraph"/>
        <w:numPr>
          <w:ilvl w:val="0"/>
          <w:numId w:val="16"/>
        </w:numPr>
        <w:jc w:val="both"/>
        <w:rPr>
          <w:rFonts w:ascii="Times" w:hAnsi="Times" w:cstheme="majorHAnsi"/>
          <w:sz w:val="22"/>
          <w:szCs w:val="22"/>
        </w:rPr>
      </w:pPr>
      <w:r w:rsidRPr="002C7DEE">
        <w:rPr>
          <w:rFonts w:ascii="Times" w:hAnsi="Times" w:cstheme="majorHAnsi"/>
          <w:sz w:val="22"/>
          <w:szCs w:val="22"/>
        </w:rPr>
        <w:t xml:space="preserve">Complications from the subcutaneous catheter, assessed on days 2, 5+/-1, and day 7 where applicable, by an in house adaptation of the modified PIVC (peripheral intravenous cannula) miniQ score (see </w:t>
      </w:r>
      <w:r w:rsidR="002106E0" w:rsidRPr="002C7DEE">
        <w:rPr>
          <w:rFonts w:ascii="Times" w:hAnsi="Times" w:cstheme="majorHAnsi"/>
          <w:sz w:val="22"/>
          <w:szCs w:val="22"/>
        </w:rPr>
        <w:t xml:space="preserve">appendix figure </w:t>
      </w:r>
      <w:r w:rsidR="008D4C22" w:rsidRPr="002C7DEE">
        <w:rPr>
          <w:rFonts w:ascii="Times" w:hAnsi="Times" w:cstheme="majorHAnsi"/>
          <w:sz w:val="22"/>
          <w:szCs w:val="22"/>
        </w:rPr>
        <w:t>C</w:t>
      </w:r>
      <w:r w:rsidRPr="002C7DEE">
        <w:rPr>
          <w:rFonts w:ascii="Times" w:hAnsi="Times" w:cstheme="majorHAnsi"/>
          <w:sz w:val="22"/>
          <w:szCs w:val="22"/>
        </w:rPr>
        <w:t>)</w:t>
      </w:r>
      <w:r w:rsidRPr="002C7DEE">
        <w:rPr>
          <w:rFonts w:ascii="Times" w:hAnsi="Times" w:cstheme="majorHAnsi"/>
          <w:sz w:val="22"/>
          <w:szCs w:val="22"/>
        </w:rPr>
        <w:fldChar w:fldCharType="begin"/>
      </w:r>
      <w:r w:rsidRPr="002C7DEE">
        <w:rPr>
          <w:rFonts w:ascii="Times" w:hAnsi="Times" w:cstheme="majorHAnsi"/>
          <w:sz w:val="22"/>
          <w:szCs w:val="22"/>
        </w:rPr>
        <w:instrText xml:space="preserve"> ADDIN EN.CITE &lt;EndNote&gt;&lt;Cite&gt;&lt;Author&gt;Høvik&lt;/Author&gt;&lt;Year&gt;2019&lt;/Year&gt;&lt;RecNum&gt;34&lt;/RecNum&gt;&lt;DisplayText&gt;[33]&lt;/DisplayText&gt;&lt;record&gt;&lt;rec-number&gt;34&lt;/rec-number&gt;&lt;foreign-keys&gt;&lt;key app="EN" db-id="detxwp9vtwv2v0e5pxf5feaxwx0dr9drsff0" timestamp="1614060761"&gt;34&lt;/key&gt;&lt;/foreign-keys&gt;&lt;ref-type name="Journal Article"&gt;17&lt;/ref-type&gt;&lt;contributors&gt;&lt;authors&gt;&lt;author&gt;Høvik, LH, Gjeilo, KH, Lydersen, S, Rickard, CM, Røtvold, B, Damås, JK, Solligård, E, Gustad, LT&lt;/author&gt;&lt;/authors&gt;&lt;/contributors&gt;&lt;titles&gt;&lt;title&gt;Monitoring quality of care for peripheral intravenous catheters; feasibility and reliability of the peripheral intravenous catheters mini questionnaire (PIVC-miniQ)&lt;/title&gt;&lt;secondary-title&gt;BMC Health Services Research&lt;/secondary-title&gt;&lt;/titles&gt;&lt;periodical&gt;&lt;full-title&gt;BMC Health Services Research&lt;/full-title&gt;&lt;/periodical&gt;&lt;pages&gt;636&lt;/pages&gt;&lt;volume&gt;19&lt;/volume&gt;&lt;dates&gt;&lt;year&gt;2019&lt;/year&gt;&lt;/dates&gt;&lt;urls&gt;&lt;/urls&gt;&lt;electronic-resource-num&gt;https://doi.org/10.1186/s12913-019-4497-z&lt;/electronic-resource-num&gt;&lt;/record&gt;&lt;/Cite&gt;&lt;/EndNote&gt;</w:instrText>
      </w:r>
      <w:r w:rsidRPr="002C7DEE">
        <w:rPr>
          <w:rFonts w:ascii="Times" w:hAnsi="Times" w:cstheme="majorHAnsi"/>
          <w:sz w:val="22"/>
          <w:szCs w:val="22"/>
        </w:rPr>
        <w:fldChar w:fldCharType="separate"/>
      </w:r>
      <w:r w:rsidRPr="002C7DEE">
        <w:rPr>
          <w:rFonts w:ascii="Times" w:hAnsi="Times" w:cstheme="majorHAnsi"/>
          <w:noProof/>
          <w:sz w:val="22"/>
          <w:szCs w:val="22"/>
        </w:rPr>
        <w:t>[33]</w:t>
      </w:r>
      <w:r w:rsidRPr="002C7DEE">
        <w:rPr>
          <w:rFonts w:ascii="Times" w:hAnsi="Times" w:cstheme="majorHAnsi"/>
          <w:sz w:val="22"/>
          <w:szCs w:val="22"/>
        </w:rPr>
        <w:fldChar w:fldCharType="end"/>
      </w:r>
    </w:p>
    <w:p w14:paraId="508FA8AA" w14:textId="71C47085" w:rsidR="004F3182" w:rsidRPr="002C7DEE" w:rsidRDefault="00877918" w:rsidP="00075724">
      <w:pPr>
        <w:pStyle w:val="ListParagraph"/>
        <w:numPr>
          <w:ilvl w:val="0"/>
          <w:numId w:val="16"/>
        </w:numPr>
        <w:jc w:val="both"/>
        <w:rPr>
          <w:rFonts w:ascii="Times" w:hAnsi="Times" w:cstheme="majorHAnsi"/>
          <w:sz w:val="22"/>
          <w:szCs w:val="22"/>
        </w:rPr>
      </w:pPr>
      <w:r w:rsidRPr="002C7DEE">
        <w:rPr>
          <w:rFonts w:ascii="Times" w:hAnsi="Times" w:cstheme="majorHAnsi"/>
          <w:sz w:val="22"/>
          <w:szCs w:val="22"/>
        </w:rPr>
        <w:t xml:space="preserve">Whether a single subcutaneous catheter or </w:t>
      </w:r>
      <w:r w:rsidR="00C75C93" w:rsidRPr="002C7DEE">
        <w:rPr>
          <w:rFonts w:ascii="Times" w:hAnsi="Times" w:cstheme="majorHAnsi"/>
          <w:sz w:val="22"/>
          <w:szCs w:val="22"/>
        </w:rPr>
        <w:t>2 catheters</w:t>
      </w:r>
      <w:r w:rsidRPr="002C7DEE">
        <w:rPr>
          <w:rFonts w:ascii="Times" w:hAnsi="Times" w:cstheme="majorHAnsi"/>
          <w:sz w:val="22"/>
          <w:szCs w:val="22"/>
        </w:rPr>
        <w:t xml:space="preserve"> is preferable to patients on bd </w:t>
      </w:r>
      <w:r w:rsidR="00F2545C">
        <w:rPr>
          <w:rFonts w:ascii="Times" w:hAnsi="Times" w:cstheme="majorHAnsi"/>
          <w:sz w:val="22"/>
          <w:szCs w:val="22"/>
        </w:rPr>
        <w:t>LMWH</w:t>
      </w:r>
      <w:r w:rsidR="00F2545C" w:rsidRPr="002C7DEE">
        <w:rPr>
          <w:rFonts w:ascii="Times" w:hAnsi="Times" w:cstheme="majorHAnsi"/>
          <w:sz w:val="22"/>
          <w:szCs w:val="22"/>
        </w:rPr>
        <w:t xml:space="preserve"> </w:t>
      </w:r>
      <w:r w:rsidRPr="002C7DEE">
        <w:rPr>
          <w:rFonts w:ascii="Times" w:hAnsi="Times" w:cstheme="majorHAnsi"/>
          <w:sz w:val="22"/>
          <w:szCs w:val="22"/>
        </w:rPr>
        <w:t>dosing</w:t>
      </w:r>
      <w:r w:rsidR="004F3182" w:rsidRPr="002C7DEE">
        <w:rPr>
          <w:rFonts w:ascii="Times" w:hAnsi="Times" w:cstheme="majorHAnsi"/>
          <w:sz w:val="22"/>
          <w:szCs w:val="22"/>
        </w:rPr>
        <w:t xml:space="preserve"> </w:t>
      </w:r>
    </w:p>
    <w:p w14:paraId="6D5BA873" w14:textId="77777777" w:rsidR="00142D1F" w:rsidRPr="002C7DEE" w:rsidRDefault="00142D1F" w:rsidP="00075724">
      <w:pPr>
        <w:jc w:val="both"/>
        <w:rPr>
          <w:rFonts w:ascii="Times" w:hAnsi="Times" w:cstheme="majorHAnsi"/>
          <w:sz w:val="22"/>
          <w:szCs w:val="22"/>
        </w:rPr>
      </w:pPr>
    </w:p>
    <w:p w14:paraId="46367617" w14:textId="72BD9074" w:rsidR="00142D1F" w:rsidRPr="002C7DEE" w:rsidRDefault="00142D1F" w:rsidP="00075724">
      <w:pPr>
        <w:jc w:val="both"/>
        <w:rPr>
          <w:rFonts w:ascii="Times" w:hAnsi="Times" w:cstheme="majorHAnsi"/>
          <w:sz w:val="22"/>
          <w:szCs w:val="22"/>
        </w:rPr>
      </w:pPr>
      <w:r w:rsidRPr="002C7DEE">
        <w:rPr>
          <w:rFonts w:ascii="Times" w:hAnsi="Times" w:cstheme="majorHAnsi"/>
          <w:sz w:val="22"/>
          <w:szCs w:val="22"/>
        </w:rPr>
        <w:t>Prophylactic arm</w:t>
      </w:r>
    </w:p>
    <w:p w14:paraId="6E08E57E" w14:textId="0ED6529C" w:rsidR="00142D1F" w:rsidRPr="002C7DEE" w:rsidRDefault="005207BA" w:rsidP="00075724">
      <w:pPr>
        <w:pStyle w:val="ListParagraph"/>
        <w:numPr>
          <w:ilvl w:val="0"/>
          <w:numId w:val="9"/>
        </w:numPr>
        <w:jc w:val="both"/>
        <w:rPr>
          <w:rFonts w:ascii="Times" w:hAnsi="Times" w:cstheme="majorHAnsi"/>
          <w:sz w:val="22"/>
          <w:szCs w:val="22"/>
        </w:rPr>
      </w:pPr>
      <w:r w:rsidRPr="002C7DEE">
        <w:rPr>
          <w:rFonts w:ascii="Times" w:hAnsi="Times" w:cstheme="majorHAnsi"/>
          <w:sz w:val="22"/>
          <w:szCs w:val="22"/>
        </w:rPr>
        <w:t xml:space="preserve">An absolute difference of </w:t>
      </w:r>
      <w:r w:rsidRPr="002C7DEE">
        <w:rPr>
          <w:rFonts w:ascii="Times" w:hAnsi="Times"/>
          <w:sz w:val="20"/>
          <w:szCs w:val="20"/>
        </w:rPr>
        <w:t>≤</w:t>
      </w:r>
      <w:r w:rsidR="00142D1F" w:rsidRPr="002C7DEE">
        <w:rPr>
          <w:rFonts w:ascii="Times" w:hAnsi="Times" w:cstheme="majorHAnsi"/>
          <w:sz w:val="22"/>
          <w:szCs w:val="22"/>
        </w:rPr>
        <w:t xml:space="preserve">0.15 </w:t>
      </w:r>
      <w:r w:rsidRPr="002C7DEE">
        <w:rPr>
          <w:rFonts w:ascii="Times" w:hAnsi="Times" w:cstheme="majorHAnsi"/>
          <w:sz w:val="22"/>
          <w:szCs w:val="22"/>
        </w:rPr>
        <w:t>between both methods of administration</w:t>
      </w:r>
    </w:p>
    <w:p w14:paraId="5860ACB2" w14:textId="0FCE04E7" w:rsidR="00863606" w:rsidRPr="002C7DEE" w:rsidRDefault="00863606" w:rsidP="00075724">
      <w:pPr>
        <w:jc w:val="both"/>
        <w:rPr>
          <w:rFonts w:ascii="Times" w:hAnsi="Times" w:cstheme="majorHAnsi"/>
          <w:sz w:val="22"/>
          <w:szCs w:val="22"/>
        </w:rPr>
      </w:pPr>
    </w:p>
    <w:p w14:paraId="6D9EDC65" w14:textId="77777777" w:rsidR="00863606" w:rsidRPr="002C7DEE" w:rsidRDefault="00863606" w:rsidP="00075724">
      <w:pPr>
        <w:jc w:val="both"/>
        <w:rPr>
          <w:rFonts w:ascii="Times" w:hAnsi="Times" w:cstheme="majorHAnsi"/>
          <w:sz w:val="22"/>
          <w:szCs w:val="22"/>
        </w:rPr>
      </w:pPr>
    </w:p>
    <w:p w14:paraId="2E0B7E21" w14:textId="77777777" w:rsidR="00010546" w:rsidRPr="00075724" w:rsidRDefault="00010546" w:rsidP="00075724">
      <w:pPr>
        <w:pStyle w:val="Heading1"/>
        <w:rPr>
          <w:rFonts w:ascii="Times" w:hAnsi="Times" w:cstheme="majorHAnsi"/>
          <w:b/>
          <w:sz w:val="22"/>
          <w:szCs w:val="22"/>
        </w:rPr>
      </w:pPr>
      <w:bookmarkStart w:id="28" w:name="_Toc166235160"/>
      <w:r w:rsidRPr="00075724">
        <w:rPr>
          <w:rFonts w:ascii="Times" w:hAnsi="Times" w:cstheme="majorHAnsi"/>
          <w:b/>
          <w:sz w:val="22"/>
          <w:szCs w:val="22"/>
        </w:rPr>
        <w:t>Statistical analysis</w:t>
      </w:r>
      <w:bookmarkEnd w:id="28"/>
    </w:p>
    <w:p w14:paraId="631519DB" w14:textId="77777777" w:rsidR="00765248" w:rsidRPr="00075724" w:rsidRDefault="00765248" w:rsidP="00075724"/>
    <w:p w14:paraId="238DA95B" w14:textId="1762C6B5" w:rsidR="00356738" w:rsidRPr="000D67F1" w:rsidRDefault="00356738" w:rsidP="00075724">
      <w:pPr>
        <w:jc w:val="both"/>
        <w:rPr>
          <w:rFonts w:ascii="Times" w:hAnsi="Times" w:cstheme="majorHAnsi"/>
          <w:sz w:val="22"/>
          <w:szCs w:val="22"/>
        </w:rPr>
      </w:pPr>
      <w:r w:rsidRPr="000D67F1">
        <w:rPr>
          <w:rFonts w:ascii="Times" w:hAnsi="Times" w:cstheme="majorHAnsi"/>
          <w:sz w:val="22"/>
          <w:szCs w:val="22"/>
        </w:rPr>
        <w:t xml:space="preserve">We aim to recruit 20 patients receiving therapeutic dose </w:t>
      </w:r>
      <w:r w:rsidR="00F2545C">
        <w:rPr>
          <w:rFonts w:ascii="Times" w:hAnsi="Times" w:cstheme="majorHAnsi"/>
          <w:sz w:val="22"/>
          <w:szCs w:val="22"/>
        </w:rPr>
        <w:t>LMWH</w:t>
      </w:r>
      <w:r w:rsidR="00F2545C" w:rsidRPr="002C7DEE">
        <w:rPr>
          <w:rFonts w:ascii="Times" w:hAnsi="Times" w:cstheme="majorHAnsi"/>
          <w:sz w:val="22"/>
          <w:szCs w:val="22"/>
        </w:rPr>
        <w:t xml:space="preserve"> </w:t>
      </w:r>
      <w:r w:rsidRPr="000D67F1">
        <w:rPr>
          <w:rFonts w:ascii="Times" w:hAnsi="Times" w:cstheme="majorHAnsi"/>
          <w:sz w:val="22"/>
          <w:szCs w:val="22"/>
        </w:rPr>
        <w:t xml:space="preserve">and 15 receiving prophylactic dose </w:t>
      </w:r>
      <w:r w:rsidR="00F2545C">
        <w:rPr>
          <w:rFonts w:ascii="Times" w:hAnsi="Times" w:cstheme="majorHAnsi"/>
          <w:sz w:val="22"/>
          <w:szCs w:val="22"/>
        </w:rPr>
        <w:t>LMWH</w:t>
      </w:r>
      <w:r w:rsidRPr="000D67F1">
        <w:rPr>
          <w:rFonts w:ascii="Times" w:hAnsi="Times" w:cstheme="majorHAnsi"/>
          <w:sz w:val="22"/>
          <w:szCs w:val="22"/>
        </w:rPr>
        <w:t xml:space="preserve">. Sample size calculations for the therapeutic cohort are based on a mean anti-Xa of 0.9 IU/mL (expected range 0.6-1.2 IU/mL) and standard deviation of 0.2 IU/mL (from local laboratory data), therefore to exclude a mean difference of 0.3 IU/mL between the 2 methods of administration, 15 patients are required to achieve 90% power to exclude this difference with an alpha value of 0.05. In the prophylactic cohort, we expect 70% of patients anti-Xa level with fall within a range of 0.2-0.5 IU/mL. To exclude a 50% difference in the proportion within this expected range (0.2-0.5IU/mL) with 90% power we calculate 10 patients are required again with an alpha value of 0.05. We will accept a wider margin of difference in this group as anti-Xa levels are not routinely measured and there is limited </w:t>
      </w:r>
      <w:r w:rsidRPr="000D67F1">
        <w:rPr>
          <w:rFonts w:ascii="Times" w:hAnsi="Times" w:cstheme="majorHAnsi"/>
          <w:sz w:val="22"/>
          <w:szCs w:val="22"/>
        </w:rPr>
        <w:lastRenderedPageBreak/>
        <w:t>data on what an acceptable peak anti-Xa level is in these patients. To account for incomplete data and participant dropout, we aim to recruit 20 patients to the therapeutic arm, and 15 to the prophylactic arm.</w:t>
      </w:r>
    </w:p>
    <w:p w14:paraId="2D6F2115" w14:textId="3067BAAC" w:rsidR="00010546" w:rsidRPr="000D67F1" w:rsidRDefault="00010546" w:rsidP="00075724">
      <w:pPr>
        <w:jc w:val="both"/>
        <w:rPr>
          <w:rFonts w:ascii="Times" w:hAnsi="Times" w:cstheme="majorHAnsi"/>
          <w:sz w:val="22"/>
          <w:szCs w:val="22"/>
        </w:rPr>
      </w:pPr>
    </w:p>
    <w:p w14:paraId="16711BB3" w14:textId="25C19759" w:rsidR="000B2A8C" w:rsidRPr="002C7DEE" w:rsidRDefault="000B2A8C" w:rsidP="00075724">
      <w:pPr>
        <w:jc w:val="both"/>
        <w:rPr>
          <w:rFonts w:ascii="Times" w:hAnsi="Times" w:cstheme="majorHAnsi"/>
          <w:sz w:val="22"/>
          <w:szCs w:val="22"/>
        </w:rPr>
      </w:pPr>
    </w:p>
    <w:p w14:paraId="0ED7E6FC" w14:textId="5031F2D8" w:rsidR="000B2A8C" w:rsidRPr="00075724" w:rsidRDefault="000B2A8C" w:rsidP="00075724">
      <w:pPr>
        <w:pStyle w:val="Heading1"/>
        <w:rPr>
          <w:rFonts w:ascii="Times" w:hAnsi="Times" w:cstheme="majorHAnsi"/>
          <w:b/>
          <w:sz w:val="22"/>
          <w:szCs w:val="22"/>
        </w:rPr>
      </w:pPr>
      <w:bookmarkStart w:id="29" w:name="_Toc166235161"/>
      <w:r w:rsidRPr="00075724">
        <w:rPr>
          <w:rFonts w:ascii="Times" w:hAnsi="Times" w:cstheme="majorHAnsi"/>
          <w:b/>
          <w:sz w:val="22"/>
          <w:szCs w:val="22"/>
        </w:rPr>
        <w:t>Funding</w:t>
      </w:r>
      <w:bookmarkEnd w:id="29"/>
      <w:r w:rsidRPr="00075724">
        <w:rPr>
          <w:rFonts w:ascii="Times" w:hAnsi="Times" w:cstheme="majorHAnsi"/>
          <w:b/>
          <w:sz w:val="22"/>
          <w:szCs w:val="22"/>
        </w:rPr>
        <w:t xml:space="preserve"> </w:t>
      </w:r>
    </w:p>
    <w:p w14:paraId="3B8DD886" w14:textId="77777777" w:rsidR="00765248" w:rsidRPr="00075724" w:rsidRDefault="00765248"/>
    <w:p w14:paraId="273E2F1F" w14:textId="21E71083" w:rsidR="000B2A8C" w:rsidRPr="002C7DEE" w:rsidRDefault="000B2A8C" w:rsidP="00075724">
      <w:pPr>
        <w:jc w:val="both"/>
        <w:rPr>
          <w:rFonts w:ascii="Times" w:hAnsi="Times" w:cstheme="majorHAnsi"/>
          <w:sz w:val="22"/>
          <w:szCs w:val="22"/>
        </w:rPr>
      </w:pPr>
      <w:r w:rsidRPr="002C7DEE">
        <w:rPr>
          <w:rFonts w:ascii="Times" w:hAnsi="Times" w:cstheme="majorHAnsi"/>
          <w:sz w:val="22"/>
          <w:szCs w:val="22"/>
        </w:rPr>
        <w:t xml:space="preserve">Funding has been secured through Monash Haematology (AUD$25,000) to cover the cost of the Insuflon catheters, nursing time, collection, handling and running of laboratory testing. Patients will continue on their prior dose of enoxaparin therapy which will be supplied through the pharmacy of their choosing, at the cost as per the Pharmaceutical Benefits Scheme. </w:t>
      </w:r>
    </w:p>
    <w:p w14:paraId="5FD02719" w14:textId="77777777" w:rsidR="00996EE2" w:rsidRPr="002C7DEE" w:rsidRDefault="00996EE2" w:rsidP="00075724">
      <w:pPr>
        <w:jc w:val="both"/>
        <w:rPr>
          <w:rFonts w:ascii="Times" w:hAnsi="Times" w:cstheme="majorHAnsi"/>
          <w:sz w:val="22"/>
          <w:szCs w:val="22"/>
        </w:rPr>
      </w:pPr>
    </w:p>
    <w:p w14:paraId="498E697E" w14:textId="77777777" w:rsidR="000D1F14" w:rsidRDefault="000D1F14">
      <w:pPr>
        <w:rPr>
          <w:rFonts w:ascii="Times" w:eastAsiaTheme="majorEastAsia" w:hAnsi="Times" w:cstheme="majorHAnsi"/>
          <w:color w:val="2F5496" w:themeColor="accent1" w:themeShade="BF"/>
          <w:sz w:val="22"/>
          <w:szCs w:val="22"/>
        </w:rPr>
      </w:pPr>
      <w:r>
        <w:rPr>
          <w:rFonts w:ascii="Times" w:hAnsi="Times" w:cstheme="majorHAnsi"/>
          <w:sz w:val="22"/>
          <w:szCs w:val="22"/>
        </w:rPr>
        <w:br w:type="page"/>
      </w:r>
    </w:p>
    <w:p w14:paraId="721BA7FA" w14:textId="5DCE2C82" w:rsidR="005D2060" w:rsidRPr="002C7DEE" w:rsidRDefault="005D2060" w:rsidP="000D1F14">
      <w:pPr>
        <w:pStyle w:val="Heading1"/>
        <w:rPr>
          <w:rFonts w:ascii="Times" w:hAnsi="Times" w:cstheme="majorHAnsi"/>
          <w:sz w:val="22"/>
          <w:szCs w:val="22"/>
        </w:rPr>
      </w:pPr>
      <w:bookmarkStart w:id="30" w:name="_Toc166235162"/>
      <w:r w:rsidRPr="002C7DEE">
        <w:rPr>
          <w:rFonts w:ascii="Times" w:hAnsi="Times" w:cstheme="majorHAnsi"/>
          <w:sz w:val="22"/>
          <w:szCs w:val="22"/>
        </w:rPr>
        <w:lastRenderedPageBreak/>
        <w:t>References</w:t>
      </w:r>
      <w:bookmarkEnd w:id="30"/>
    </w:p>
    <w:p w14:paraId="0A8FE0DD" w14:textId="77777777" w:rsidR="005D2060" w:rsidRPr="002C7DEE" w:rsidRDefault="005D2060" w:rsidP="00075724">
      <w:pPr>
        <w:jc w:val="both"/>
        <w:rPr>
          <w:rFonts w:ascii="Times" w:hAnsi="Times" w:cstheme="majorHAnsi"/>
          <w:sz w:val="22"/>
          <w:szCs w:val="22"/>
        </w:rPr>
      </w:pPr>
    </w:p>
    <w:p w14:paraId="23BC74FF" w14:textId="77777777" w:rsidR="00C43993" w:rsidRPr="002C7DEE" w:rsidRDefault="005D2060" w:rsidP="00075724">
      <w:pPr>
        <w:pStyle w:val="EndNoteBibliography"/>
        <w:ind w:left="720" w:hanging="720"/>
        <w:jc w:val="both"/>
        <w:rPr>
          <w:rFonts w:ascii="Times" w:hAnsi="Times" w:cstheme="majorHAnsi"/>
          <w:noProof/>
          <w:sz w:val="22"/>
          <w:szCs w:val="22"/>
        </w:rPr>
      </w:pPr>
      <w:r w:rsidRPr="002C7DEE">
        <w:rPr>
          <w:rFonts w:ascii="Times" w:hAnsi="Times" w:cstheme="majorHAnsi"/>
          <w:sz w:val="22"/>
          <w:szCs w:val="22"/>
        </w:rPr>
        <w:fldChar w:fldCharType="begin"/>
      </w:r>
      <w:r w:rsidRPr="002C7DEE">
        <w:rPr>
          <w:rFonts w:ascii="Times" w:hAnsi="Times" w:cstheme="majorHAnsi"/>
          <w:sz w:val="22"/>
          <w:szCs w:val="22"/>
        </w:rPr>
        <w:instrText xml:space="preserve"> ADDIN EN.REFLIST </w:instrText>
      </w:r>
      <w:r w:rsidRPr="002C7DEE">
        <w:rPr>
          <w:rFonts w:ascii="Times" w:hAnsi="Times" w:cstheme="majorHAnsi"/>
          <w:sz w:val="22"/>
          <w:szCs w:val="22"/>
        </w:rPr>
        <w:fldChar w:fldCharType="separate"/>
      </w:r>
      <w:r w:rsidR="00C43993" w:rsidRPr="002C7DEE">
        <w:rPr>
          <w:rFonts w:ascii="Times" w:hAnsi="Times" w:cstheme="majorHAnsi"/>
          <w:noProof/>
          <w:sz w:val="22"/>
          <w:szCs w:val="22"/>
        </w:rPr>
        <w:t>1.</w:t>
      </w:r>
      <w:r w:rsidR="00C43993" w:rsidRPr="002C7DEE">
        <w:rPr>
          <w:rFonts w:ascii="Times" w:hAnsi="Times" w:cstheme="majorHAnsi"/>
          <w:noProof/>
          <w:sz w:val="22"/>
          <w:szCs w:val="22"/>
        </w:rPr>
        <w:tab/>
        <w:t xml:space="preserve">Anderson, D.G., J.; P Brill-Edwards, C Demers, R Burrows, J Hirsh, </w:t>
      </w:r>
      <w:r w:rsidR="00C43993" w:rsidRPr="002C7DEE">
        <w:rPr>
          <w:rFonts w:ascii="Times" w:hAnsi="Times" w:cstheme="majorHAnsi"/>
          <w:i/>
          <w:noProof/>
          <w:sz w:val="22"/>
          <w:szCs w:val="22"/>
        </w:rPr>
        <w:t>The use of an indwelling teflon catheter for subcutaneous heparin administration during pregnancy: a randomized crossover study.</w:t>
      </w:r>
      <w:r w:rsidR="00C43993" w:rsidRPr="002C7DEE">
        <w:rPr>
          <w:rFonts w:ascii="Times" w:hAnsi="Times" w:cstheme="majorHAnsi"/>
          <w:noProof/>
          <w:sz w:val="22"/>
          <w:szCs w:val="22"/>
        </w:rPr>
        <w:t xml:space="preserve"> Arch Intern Med, 1993. </w:t>
      </w:r>
      <w:r w:rsidR="00C43993" w:rsidRPr="002C7DEE">
        <w:rPr>
          <w:rFonts w:ascii="Times" w:hAnsi="Times" w:cstheme="majorHAnsi"/>
          <w:b/>
          <w:noProof/>
          <w:sz w:val="22"/>
          <w:szCs w:val="22"/>
        </w:rPr>
        <w:t>153</w:t>
      </w:r>
      <w:r w:rsidR="00C43993" w:rsidRPr="002C7DEE">
        <w:rPr>
          <w:rFonts w:ascii="Times" w:hAnsi="Times" w:cstheme="majorHAnsi"/>
          <w:noProof/>
          <w:sz w:val="22"/>
          <w:szCs w:val="22"/>
        </w:rPr>
        <w:t>: p. 841-844.</w:t>
      </w:r>
    </w:p>
    <w:p w14:paraId="57EDD3E3"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w:t>
      </w:r>
      <w:r w:rsidRPr="002C7DEE">
        <w:rPr>
          <w:rFonts w:ascii="Times" w:hAnsi="Times" w:cstheme="majorHAnsi"/>
          <w:noProof/>
          <w:sz w:val="22"/>
          <w:szCs w:val="22"/>
        </w:rPr>
        <w:tab/>
        <w:t xml:space="preserve">Marquez, R.P.P., P Fajuri, P Zuniga, </w:t>
      </w:r>
      <w:r w:rsidRPr="002C7DEE">
        <w:rPr>
          <w:rFonts w:ascii="Times" w:hAnsi="Times" w:cstheme="majorHAnsi"/>
          <w:i/>
          <w:noProof/>
          <w:sz w:val="22"/>
          <w:szCs w:val="22"/>
        </w:rPr>
        <w:t>Subcutaneous catheter for the administration of low molecular weight heparin in pediatrics.</w:t>
      </w:r>
      <w:r w:rsidRPr="002C7DEE">
        <w:rPr>
          <w:rFonts w:ascii="Times" w:hAnsi="Times" w:cstheme="majorHAnsi"/>
          <w:noProof/>
          <w:sz w:val="22"/>
          <w:szCs w:val="22"/>
        </w:rPr>
        <w:t xml:space="preserve"> Chilean Journal of Pediatrics, 2014. </w:t>
      </w:r>
      <w:r w:rsidRPr="002C7DEE">
        <w:rPr>
          <w:rFonts w:ascii="Times" w:hAnsi="Times" w:cstheme="majorHAnsi"/>
          <w:b/>
          <w:noProof/>
          <w:sz w:val="22"/>
          <w:szCs w:val="22"/>
        </w:rPr>
        <w:t>85</w:t>
      </w:r>
      <w:r w:rsidRPr="002C7DEE">
        <w:rPr>
          <w:rFonts w:ascii="Times" w:hAnsi="Times" w:cstheme="majorHAnsi"/>
          <w:noProof/>
          <w:sz w:val="22"/>
          <w:szCs w:val="22"/>
        </w:rPr>
        <w:t>(1).</w:t>
      </w:r>
    </w:p>
    <w:p w14:paraId="2CD80E3F"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3.</w:t>
      </w:r>
      <w:r w:rsidRPr="002C7DEE">
        <w:rPr>
          <w:rFonts w:ascii="Times" w:hAnsi="Times" w:cstheme="majorHAnsi"/>
          <w:noProof/>
          <w:sz w:val="22"/>
          <w:szCs w:val="22"/>
        </w:rPr>
        <w:tab/>
        <w:t xml:space="preserve">Menaka Pai, J.D. </w:t>
      </w:r>
      <w:r w:rsidRPr="002C7DEE">
        <w:rPr>
          <w:rFonts w:ascii="Times" w:hAnsi="Times" w:cstheme="majorHAnsi"/>
          <w:i/>
          <w:noProof/>
          <w:sz w:val="22"/>
          <w:szCs w:val="22"/>
        </w:rPr>
        <w:t>Prevention of venous thromboembolic disease in acutely ill hospitalized medical adults</w:t>
      </w:r>
      <w:r w:rsidRPr="002C7DEE">
        <w:rPr>
          <w:rFonts w:ascii="Times" w:hAnsi="Times" w:cstheme="majorHAnsi"/>
          <w:noProof/>
          <w:sz w:val="22"/>
          <w:szCs w:val="22"/>
        </w:rPr>
        <w:t>. 2020  [cited 2021 Feb].</w:t>
      </w:r>
    </w:p>
    <w:p w14:paraId="6B5ECF6E" w14:textId="7DAB0BC5"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4.</w:t>
      </w:r>
      <w:r w:rsidRPr="002C7DEE">
        <w:rPr>
          <w:rFonts w:ascii="Times" w:hAnsi="Times" w:cstheme="majorHAnsi"/>
          <w:noProof/>
          <w:sz w:val="22"/>
          <w:szCs w:val="22"/>
        </w:rPr>
        <w:tab/>
        <w:t xml:space="preserve">WHO. </w:t>
      </w:r>
      <w:r w:rsidRPr="002C7DEE">
        <w:rPr>
          <w:rFonts w:ascii="Times" w:hAnsi="Times" w:cstheme="majorHAnsi"/>
          <w:i/>
          <w:noProof/>
          <w:sz w:val="22"/>
          <w:szCs w:val="22"/>
        </w:rPr>
        <w:t>Addendum 1. Low molecular weight heparins for the treament of Venous Thromboembolism</w:t>
      </w:r>
      <w:r w:rsidRPr="002C7DEE">
        <w:rPr>
          <w:rFonts w:ascii="Times" w:hAnsi="Times" w:cstheme="majorHAnsi"/>
          <w:noProof/>
          <w:sz w:val="22"/>
          <w:szCs w:val="22"/>
        </w:rPr>
        <w:t xml:space="preserve">.  [cited 2021 Feb]; Available from: </w:t>
      </w:r>
      <w:hyperlink r:id="rId15" w:history="1">
        <w:r w:rsidRPr="002C7DEE">
          <w:rPr>
            <w:rStyle w:val="Hyperlink"/>
            <w:rFonts w:ascii="Times" w:hAnsi="Times" w:cstheme="majorHAnsi"/>
            <w:noProof/>
            <w:sz w:val="22"/>
            <w:szCs w:val="22"/>
          </w:rPr>
          <w:t>www.who.int/selection_medicines/committees/expert/20/applications/Addendum1_LMWH.pdf</w:t>
        </w:r>
      </w:hyperlink>
      <w:r w:rsidRPr="002C7DEE">
        <w:rPr>
          <w:rFonts w:ascii="Times" w:hAnsi="Times" w:cstheme="majorHAnsi"/>
          <w:noProof/>
          <w:sz w:val="22"/>
          <w:szCs w:val="22"/>
        </w:rPr>
        <w:t>.</w:t>
      </w:r>
    </w:p>
    <w:p w14:paraId="68F3C395"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5.</w:t>
      </w:r>
      <w:r w:rsidRPr="002C7DEE">
        <w:rPr>
          <w:rFonts w:ascii="Times" w:hAnsi="Times" w:cstheme="majorHAnsi"/>
          <w:noProof/>
          <w:sz w:val="22"/>
          <w:szCs w:val="22"/>
        </w:rPr>
        <w:tab/>
      </w:r>
      <w:r w:rsidRPr="002C7DEE">
        <w:rPr>
          <w:rFonts w:ascii="Times" w:hAnsi="Times" w:cstheme="majorHAnsi"/>
          <w:i/>
          <w:noProof/>
          <w:sz w:val="22"/>
          <w:szCs w:val="22"/>
        </w:rPr>
        <w:t>The burden of venous thromboembolism in Australia</w:t>
      </w:r>
      <w:r w:rsidRPr="002C7DEE">
        <w:rPr>
          <w:rFonts w:ascii="Times" w:hAnsi="Times" w:cstheme="majorHAnsi"/>
          <w:noProof/>
          <w:sz w:val="22"/>
          <w:szCs w:val="22"/>
        </w:rPr>
        <w:t xml:space="preserve">, in </w:t>
      </w:r>
      <w:r w:rsidRPr="002C7DEE">
        <w:rPr>
          <w:rFonts w:ascii="Times" w:hAnsi="Times" w:cstheme="majorHAnsi"/>
          <w:i/>
          <w:noProof/>
          <w:sz w:val="22"/>
          <w:szCs w:val="22"/>
        </w:rPr>
        <w:t>Report for the Australian and New Zealand Working Party on the Management and Prevention of Venous Thromboembolis</w:t>
      </w:r>
      <w:r w:rsidRPr="002C7DEE">
        <w:rPr>
          <w:rFonts w:ascii="Times" w:hAnsi="Times" w:cstheme="majorHAnsi"/>
          <w:noProof/>
          <w:sz w:val="22"/>
          <w:szCs w:val="22"/>
        </w:rPr>
        <w:t>, A. Economics, Editor. 2008.</w:t>
      </w:r>
    </w:p>
    <w:p w14:paraId="1A00CEF5"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6.</w:t>
      </w:r>
      <w:r w:rsidRPr="002C7DEE">
        <w:rPr>
          <w:rFonts w:ascii="Times" w:hAnsi="Times" w:cstheme="majorHAnsi"/>
          <w:noProof/>
          <w:sz w:val="22"/>
          <w:szCs w:val="22"/>
        </w:rPr>
        <w:tab/>
        <w:t xml:space="preserve">RCOG, </w:t>
      </w:r>
      <w:r w:rsidRPr="002C7DEE">
        <w:rPr>
          <w:rFonts w:ascii="Times" w:hAnsi="Times" w:cstheme="majorHAnsi"/>
          <w:i/>
          <w:noProof/>
          <w:sz w:val="22"/>
          <w:szCs w:val="22"/>
        </w:rPr>
        <w:t>Reducing the Risk of Venous Thromboembolism during Pregnancy and the Pueperium.</w:t>
      </w:r>
      <w:r w:rsidRPr="002C7DEE">
        <w:rPr>
          <w:rFonts w:ascii="Times" w:hAnsi="Times" w:cstheme="majorHAnsi"/>
          <w:noProof/>
          <w:sz w:val="22"/>
          <w:szCs w:val="22"/>
        </w:rPr>
        <w:t xml:space="preserve"> Green-top Guideline, 2015. </w:t>
      </w:r>
      <w:r w:rsidRPr="002C7DEE">
        <w:rPr>
          <w:rFonts w:ascii="Times" w:hAnsi="Times" w:cstheme="majorHAnsi"/>
          <w:b/>
          <w:noProof/>
          <w:sz w:val="22"/>
          <w:szCs w:val="22"/>
        </w:rPr>
        <w:t>37a</w:t>
      </w:r>
      <w:r w:rsidRPr="002C7DEE">
        <w:rPr>
          <w:rFonts w:ascii="Times" w:hAnsi="Times" w:cstheme="majorHAnsi"/>
          <w:noProof/>
          <w:sz w:val="22"/>
          <w:szCs w:val="22"/>
        </w:rPr>
        <w:t>(April 2015).</w:t>
      </w:r>
    </w:p>
    <w:p w14:paraId="0ADEEE4F" w14:textId="25EF8931"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7.</w:t>
      </w:r>
      <w:r w:rsidRPr="002C7DEE">
        <w:rPr>
          <w:rFonts w:ascii="Times" w:hAnsi="Times" w:cstheme="majorHAnsi"/>
          <w:noProof/>
          <w:sz w:val="22"/>
          <w:szCs w:val="22"/>
        </w:rPr>
        <w:tab/>
        <w:t xml:space="preserve">NICE. </w:t>
      </w:r>
      <w:r w:rsidRPr="002C7DEE">
        <w:rPr>
          <w:rFonts w:ascii="Times" w:hAnsi="Times" w:cstheme="majorHAnsi"/>
          <w:i/>
          <w:noProof/>
          <w:sz w:val="22"/>
          <w:szCs w:val="22"/>
        </w:rPr>
        <w:t>Venous thromboembolic diseases: diagnosis, management and thrombophilia testing</w:t>
      </w:r>
      <w:r w:rsidRPr="002C7DEE">
        <w:rPr>
          <w:rFonts w:ascii="Times" w:hAnsi="Times" w:cstheme="majorHAnsi"/>
          <w:noProof/>
          <w:sz w:val="22"/>
          <w:szCs w:val="22"/>
        </w:rPr>
        <w:t xml:space="preserve">. NG158 2020  [cited 2021 Feb]; Available from: </w:t>
      </w:r>
      <w:hyperlink r:id="rId16" w:history="1">
        <w:r w:rsidRPr="002C7DEE">
          <w:rPr>
            <w:rStyle w:val="Hyperlink"/>
            <w:rFonts w:ascii="Times" w:hAnsi="Times" w:cstheme="majorHAnsi"/>
            <w:noProof/>
            <w:sz w:val="22"/>
            <w:szCs w:val="22"/>
          </w:rPr>
          <w:t>www.nice.org.uk/guidance/ng158</w:t>
        </w:r>
      </w:hyperlink>
      <w:r w:rsidRPr="002C7DEE">
        <w:rPr>
          <w:rFonts w:ascii="Times" w:hAnsi="Times" w:cstheme="majorHAnsi"/>
          <w:noProof/>
          <w:sz w:val="22"/>
          <w:szCs w:val="22"/>
        </w:rPr>
        <w:t>.</w:t>
      </w:r>
    </w:p>
    <w:p w14:paraId="18F31FAC"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8.</w:t>
      </w:r>
      <w:r w:rsidRPr="002C7DEE">
        <w:rPr>
          <w:rFonts w:ascii="Times" w:hAnsi="Times" w:cstheme="majorHAnsi"/>
          <w:noProof/>
          <w:sz w:val="22"/>
          <w:szCs w:val="22"/>
        </w:rPr>
        <w:tab/>
        <w:t xml:space="preserve">Lindqvist, P.K.B., M Hellgren, </w:t>
      </w:r>
      <w:r w:rsidRPr="002C7DEE">
        <w:rPr>
          <w:rFonts w:ascii="Times" w:hAnsi="Times" w:cstheme="majorHAnsi"/>
          <w:i/>
          <w:noProof/>
          <w:sz w:val="22"/>
          <w:szCs w:val="22"/>
        </w:rPr>
        <w:t>Swedish Society of Obstetrics and Gynecology (SFOG) Working Group on Hemostatic Disorders (Hem-ARG). Efficacy of obstetric thromboprophylaxis and long-tern risk of recurrence of venous thromboembolism.</w:t>
      </w:r>
      <w:r w:rsidRPr="002C7DEE">
        <w:rPr>
          <w:rFonts w:ascii="Times" w:hAnsi="Times" w:cstheme="majorHAnsi"/>
          <w:noProof/>
          <w:sz w:val="22"/>
          <w:szCs w:val="22"/>
        </w:rPr>
        <w:t xml:space="preserve"> Acta Obstst Gynecol Scand, 2011. </w:t>
      </w:r>
      <w:r w:rsidRPr="002C7DEE">
        <w:rPr>
          <w:rFonts w:ascii="Times" w:hAnsi="Times" w:cstheme="majorHAnsi"/>
          <w:b/>
          <w:noProof/>
          <w:sz w:val="22"/>
          <w:szCs w:val="22"/>
        </w:rPr>
        <w:t>90</w:t>
      </w:r>
      <w:r w:rsidRPr="002C7DEE">
        <w:rPr>
          <w:rFonts w:ascii="Times" w:hAnsi="Times" w:cstheme="majorHAnsi"/>
          <w:noProof/>
          <w:sz w:val="22"/>
          <w:szCs w:val="22"/>
        </w:rPr>
        <w:t>: p. 648-653.</w:t>
      </w:r>
    </w:p>
    <w:p w14:paraId="6460B59B"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9.</w:t>
      </w:r>
      <w:r w:rsidRPr="002C7DEE">
        <w:rPr>
          <w:rFonts w:ascii="Times" w:hAnsi="Times" w:cstheme="majorHAnsi"/>
          <w:noProof/>
          <w:sz w:val="22"/>
          <w:szCs w:val="22"/>
        </w:rPr>
        <w:tab/>
        <w:t xml:space="preserve">Clive Kearon, E.A., Joseph Omelas, Allen Blaivas, David Jiminez, Henri Bounameaux, et al., </w:t>
      </w:r>
      <w:r w:rsidRPr="002C7DEE">
        <w:rPr>
          <w:rFonts w:ascii="Times" w:hAnsi="Times" w:cstheme="majorHAnsi"/>
          <w:i/>
          <w:noProof/>
          <w:sz w:val="22"/>
          <w:szCs w:val="22"/>
        </w:rPr>
        <w:t>Antithrombotic Therapy for VTE Disease: CHEST Guideline and Expert Panel Report.</w:t>
      </w:r>
      <w:r w:rsidRPr="002C7DEE">
        <w:rPr>
          <w:rFonts w:ascii="Times" w:hAnsi="Times" w:cstheme="majorHAnsi"/>
          <w:noProof/>
          <w:sz w:val="22"/>
          <w:szCs w:val="22"/>
        </w:rPr>
        <w:t xml:space="preserve"> CHEST, 2016. </w:t>
      </w:r>
      <w:r w:rsidRPr="002C7DEE">
        <w:rPr>
          <w:rFonts w:ascii="Times" w:hAnsi="Times" w:cstheme="majorHAnsi"/>
          <w:b/>
          <w:noProof/>
          <w:sz w:val="22"/>
          <w:szCs w:val="22"/>
        </w:rPr>
        <w:t>149</w:t>
      </w:r>
      <w:r w:rsidRPr="002C7DEE">
        <w:rPr>
          <w:rFonts w:ascii="Times" w:hAnsi="Times" w:cstheme="majorHAnsi"/>
          <w:noProof/>
          <w:sz w:val="22"/>
          <w:szCs w:val="22"/>
        </w:rPr>
        <w:t>(2): p. 315.</w:t>
      </w:r>
    </w:p>
    <w:p w14:paraId="117A4690"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10.</w:t>
      </w:r>
      <w:r w:rsidRPr="002C7DEE">
        <w:rPr>
          <w:rFonts w:ascii="Times" w:hAnsi="Times" w:cstheme="majorHAnsi"/>
          <w:noProof/>
          <w:sz w:val="22"/>
          <w:szCs w:val="22"/>
        </w:rPr>
        <w:tab/>
        <w:t xml:space="preserve">Gordon Guyatt, E.A., Mark Crowther, Holger Schunemann, David Gutterman, Sandra Lewis, </w:t>
      </w:r>
      <w:r w:rsidRPr="002C7DEE">
        <w:rPr>
          <w:rFonts w:ascii="Times" w:hAnsi="Times" w:cstheme="majorHAnsi"/>
          <w:i/>
          <w:noProof/>
          <w:sz w:val="22"/>
          <w:szCs w:val="22"/>
        </w:rPr>
        <w:t>Introduction to the Ninth Edition: Antithrombotic Therapy and Prevention of Thrombosis, 9th ed: American College of Chest Physicians Evidence-Based Clinical Practice Guidelines.</w:t>
      </w:r>
      <w:r w:rsidRPr="002C7DEE">
        <w:rPr>
          <w:rFonts w:ascii="Times" w:hAnsi="Times" w:cstheme="majorHAnsi"/>
          <w:noProof/>
          <w:sz w:val="22"/>
          <w:szCs w:val="22"/>
        </w:rPr>
        <w:t xml:space="preserve"> CHEST, 2012. </w:t>
      </w:r>
      <w:r w:rsidRPr="002C7DEE">
        <w:rPr>
          <w:rFonts w:ascii="Times" w:hAnsi="Times" w:cstheme="majorHAnsi"/>
          <w:b/>
          <w:noProof/>
          <w:sz w:val="22"/>
          <w:szCs w:val="22"/>
        </w:rPr>
        <w:t>141</w:t>
      </w:r>
      <w:r w:rsidRPr="002C7DEE">
        <w:rPr>
          <w:rFonts w:ascii="Times" w:hAnsi="Times" w:cstheme="majorHAnsi"/>
          <w:noProof/>
          <w:sz w:val="22"/>
          <w:szCs w:val="22"/>
        </w:rPr>
        <w:t>(2): p. 48S.</w:t>
      </w:r>
    </w:p>
    <w:p w14:paraId="45F496C3"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11.</w:t>
      </w:r>
      <w:r w:rsidRPr="002C7DEE">
        <w:rPr>
          <w:rFonts w:ascii="Times" w:hAnsi="Times" w:cstheme="majorHAnsi"/>
          <w:noProof/>
          <w:sz w:val="22"/>
          <w:szCs w:val="22"/>
        </w:rPr>
        <w:tab/>
        <w:t xml:space="preserve">Bates SM.; Middeldorp S, R.M., James AH, Greer I. , </w:t>
      </w:r>
      <w:r w:rsidRPr="002C7DEE">
        <w:rPr>
          <w:rFonts w:ascii="Times" w:hAnsi="Times" w:cstheme="majorHAnsi"/>
          <w:i/>
          <w:noProof/>
          <w:sz w:val="22"/>
          <w:szCs w:val="22"/>
        </w:rPr>
        <w:t>Guidance for the treatment and prevention of obstetric-associated venous thromboembolism.</w:t>
      </w:r>
      <w:r w:rsidRPr="002C7DEE">
        <w:rPr>
          <w:rFonts w:ascii="Times" w:hAnsi="Times" w:cstheme="majorHAnsi"/>
          <w:noProof/>
          <w:sz w:val="22"/>
          <w:szCs w:val="22"/>
        </w:rPr>
        <w:t xml:space="preserve"> Thromb Thrombolysis, 2016. </w:t>
      </w:r>
      <w:r w:rsidRPr="002C7DEE">
        <w:rPr>
          <w:rFonts w:ascii="Times" w:hAnsi="Times" w:cstheme="majorHAnsi"/>
          <w:b/>
          <w:noProof/>
          <w:sz w:val="22"/>
          <w:szCs w:val="22"/>
        </w:rPr>
        <w:t>41</w:t>
      </w:r>
      <w:r w:rsidRPr="002C7DEE">
        <w:rPr>
          <w:rFonts w:ascii="Times" w:hAnsi="Times" w:cstheme="majorHAnsi"/>
          <w:noProof/>
          <w:sz w:val="22"/>
          <w:szCs w:val="22"/>
        </w:rPr>
        <w:t>(1): p. 92-128.</w:t>
      </w:r>
    </w:p>
    <w:p w14:paraId="3056684E" w14:textId="11B64113"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12.</w:t>
      </w:r>
      <w:r w:rsidRPr="002C7DEE">
        <w:rPr>
          <w:rFonts w:ascii="Times" w:hAnsi="Times" w:cstheme="majorHAnsi"/>
          <w:noProof/>
          <w:sz w:val="22"/>
          <w:szCs w:val="22"/>
        </w:rPr>
        <w:tab/>
        <w:t xml:space="preserve">eTG. </w:t>
      </w:r>
      <w:r w:rsidRPr="002C7DEE">
        <w:rPr>
          <w:rFonts w:ascii="Times" w:hAnsi="Times" w:cstheme="majorHAnsi"/>
          <w:i/>
          <w:noProof/>
          <w:sz w:val="22"/>
          <w:szCs w:val="22"/>
        </w:rPr>
        <w:t>Venous thromboemboliem: prophylaxis</w:t>
      </w:r>
      <w:r w:rsidRPr="002C7DEE">
        <w:rPr>
          <w:rFonts w:ascii="Times" w:hAnsi="Times" w:cstheme="majorHAnsi"/>
          <w:noProof/>
          <w:sz w:val="22"/>
          <w:szCs w:val="22"/>
        </w:rPr>
        <w:t xml:space="preserve">. 2020  [cited 2021 Feb]; Available from: </w:t>
      </w:r>
      <w:hyperlink r:id="rId17" w:anchor="toc_d1e767" w:history="1">
        <w:r w:rsidRPr="002C7DEE">
          <w:rPr>
            <w:rStyle w:val="Hyperlink"/>
            <w:rFonts w:ascii="Times" w:hAnsi="Times" w:cstheme="majorHAnsi"/>
            <w:noProof/>
            <w:sz w:val="22"/>
            <w:szCs w:val="22"/>
          </w:rPr>
          <w:t>https://tglcdp.tg.org.au.acs.hcn.com.au/viewTopic?topicfile=venous-thromboembolism-prevention&amp;guidelinesName=Cardiovascular#toc_d1e767</w:t>
        </w:r>
      </w:hyperlink>
      <w:r w:rsidRPr="002C7DEE">
        <w:rPr>
          <w:rFonts w:ascii="Times" w:hAnsi="Times" w:cstheme="majorHAnsi"/>
          <w:noProof/>
          <w:sz w:val="22"/>
          <w:szCs w:val="22"/>
        </w:rPr>
        <w:t>.</w:t>
      </w:r>
    </w:p>
    <w:p w14:paraId="547A2E48"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13.</w:t>
      </w:r>
      <w:r w:rsidRPr="002C7DEE">
        <w:rPr>
          <w:rFonts w:ascii="Times" w:hAnsi="Times" w:cstheme="majorHAnsi"/>
          <w:noProof/>
          <w:sz w:val="22"/>
          <w:szCs w:val="22"/>
        </w:rPr>
        <w:tab/>
        <w:t xml:space="preserve">McGarry, L.S., M; Thompson, D, </w:t>
      </w:r>
      <w:r w:rsidRPr="002C7DEE">
        <w:rPr>
          <w:rFonts w:ascii="Times" w:hAnsi="Times" w:cstheme="majorHAnsi"/>
          <w:i/>
          <w:noProof/>
          <w:sz w:val="22"/>
          <w:szCs w:val="22"/>
        </w:rPr>
        <w:t>Outcomes of thromboprophylaxis with enoxaparin vs. unfractionated heparin in medical inpatients.</w:t>
      </w:r>
      <w:r w:rsidRPr="002C7DEE">
        <w:rPr>
          <w:rFonts w:ascii="Times" w:hAnsi="Times" w:cstheme="majorHAnsi"/>
          <w:noProof/>
          <w:sz w:val="22"/>
          <w:szCs w:val="22"/>
        </w:rPr>
        <w:t xml:space="preserve"> Thrombosis Journal, 2006. </w:t>
      </w:r>
      <w:r w:rsidRPr="002C7DEE">
        <w:rPr>
          <w:rFonts w:ascii="Times" w:hAnsi="Times" w:cstheme="majorHAnsi"/>
          <w:b/>
          <w:noProof/>
          <w:sz w:val="22"/>
          <w:szCs w:val="22"/>
        </w:rPr>
        <w:t>4</w:t>
      </w:r>
      <w:r w:rsidRPr="002C7DEE">
        <w:rPr>
          <w:rFonts w:ascii="Times" w:hAnsi="Times" w:cstheme="majorHAnsi"/>
          <w:noProof/>
          <w:sz w:val="22"/>
          <w:szCs w:val="22"/>
        </w:rPr>
        <w:t>(17).</w:t>
      </w:r>
    </w:p>
    <w:p w14:paraId="3A936307"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14.</w:t>
      </w:r>
      <w:r w:rsidRPr="002C7DEE">
        <w:rPr>
          <w:rFonts w:ascii="Times" w:hAnsi="Times" w:cstheme="majorHAnsi"/>
          <w:noProof/>
          <w:sz w:val="22"/>
          <w:szCs w:val="22"/>
        </w:rPr>
        <w:tab/>
        <w:t xml:space="preserve">Harenberg, J.K.B., Martin U, Dempfle CE, Zimmermann R, Kubler W, Heene DL, </w:t>
      </w:r>
      <w:r w:rsidRPr="002C7DEE">
        <w:rPr>
          <w:rFonts w:ascii="Times" w:hAnsi="Times" w:cstheme="majorHAnsi"/>
          <w:i/>
          <w:noProof/>
          <w:sz w:val="22"/>
          <w:szCs w:val="22"/>
        </w:rPr>
        <w:t>Randomized controlled study of heparin and low-molecular weight heparin for prevention of deep-vein thrombosis in medical patients.</w:t>
      </w:r>
      <w:r w:rsidRPr="002C7DEE">
        <w:rPr>
          <w:rFonts w:ascii="Times" w:hAnsi="Times" w:cstheme="majorHAnsi"/>
          <w:noProof/>
          <w:sz w:val="22"/>
          <w:szCs w:val="22"/>
        </w:rPr>
        <w:t xml:space="preserve"> Thrombosis Research, 1990. </w:t>
      </w:r>
      <w:r w:rsidRPr="002C7DEE">
        <w:rPr>
          <w:rFonts w:ascii="Times" w:hAnsi="Times" w:cstheme="majorHAnsi"/>
          <w:b/>
          <w:noProof/>
          <w:sz w:val="22"/>
          <w:szCs w:val="22"/>
        </w:rPr>
        <w:t>59</w:t>
      </w:r>
      <w:r w:rsidRPr="002C7DEE">
        <w:rPr>
          <w:rFonts w:ascii="Times" w:hAnsi="Times" w:cstheme="majorHAnsi"/>
          <w:noProof/>
          <w:sz w:val="22"/>
          <w:szCs w:val="22"/>
        </w:rPr>
        <w:t>: p. 639-650.</w:t>
      </w:r>
    </w:p>
    <w:p w14:paraId="57F1DCE5"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15.</w:t>
      </w:r>
      <w:r w:rsidRPr="002C7DEE">
        <w:rPr>
          <w:rFonts w:ascii="Times" w:hAnsi="Times" w:cstheme="majorHAnsi"/>
          <w:noProof/>
          <w:sz w:val="22"/>
          <w:szCs w:val="22"/>
        </w:rPr>
        <w:tab/>
        <w:t>Kleber, F.W.C., Vogel G, et al., for the THE</w:t>
      </w:r>
      <w:r w:rsidRPr="002C7DEE">
        <w:rPr>
          <w:rFonts w:ascii="Cambria Math" w:hAnsi="Cambria Math" w:cs="Cambria Math"/>
          <w:noProof/>
          <w:sz w:val="22"/>
          <w:szCs w:val="22"/>
        </w:rPr>
        <w:t>‐</w:t>
      </w:r>
      <w:r w:rsidRPr="002C7DEE">
        <w:rPr>
          <w:rFonts w:ascii="Times" w:hAnsi="Times" w:cstheme="majorHAnsi"/>
          <w:noProof/>
          <w:sz w:val="22"/>
          <w:szCs w:val="22"/>
        </w:rPr>
        <w:t xml:space="preserve">PRINCE Study Group, </w:t>
      </w:r>
      <w:r w:rsidRPr="002C7DEE">
        <w:rPr>
          <w:rFonts w:ascii="Times" w:hAnsi="Times" w:cstheme="majorHAnsi"/>
          <w:i/>
          <w:noProof/>
          <w:sz w:val="22"/>
          <w:szCs w:val="22"/>
        </w:rPr>
        <w:t>Randomized comparison of enoxaparin with unfractionated heparin for the prevention of venous thromboembolism in medical patients with heart failure or severe respiratory disease.</w:t>
      </w:r>
      <w:r w:rsidRPr="002C7DEE">
        <w:rPr>
          <w:rFonts w:ascii="Times" w:hAnsi="Times" w:cstheme="majorHAnsi"/>
          <w:noProof/>
          <w:sz w:val="22"/>
          <w:szCs w:val="22"/>
        </w:rPr>
        <w:t xml:space="preserve"> Am Heart J, 2003. </w:t>
      </w:r>
      <w:r w:rsidRPr="002C7DEE">
        <w:rPr>
          <w:rFonts w:ascii="Times" w:hAnsi="Times" w:cstheme="majorHAnsi"/>
          <w:b/>
          <w:noProof/>
          <w:sz w:val="22"/>
          <w:szCs w:val="22"/>
        </w:rPr>
        <w:t>145</w:t>
      </w:r>
      <w:r w:rsidRPr="002C7DEE">
        <w:rPr>
          <w:rFonts w:ascii="Times" w:hAnsi="Times" w:cstheme="majorHAnsi"/>
          <w:noProof/>
          <w:sz w:val="22"/>
          <w:szCs w:val="22"/>
        </w:rPr>
        <w:t>(4): p. 614-621.</w:t>
      </w:r>
    </w:p>
    <w:p w14:paraId="1F43E983" w14:textId="1D30CEE2"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16.</w:t>
      </w:r>
      <w:r w:rsidRPr="002C7DEE">
        <w:rPr>
          <w:rFonts w:ascii="Times" w:hAnsi="Times" w:cstheme="majorHAnsi"/>
          <w:noProof/>
          <w:sz w:val="22"/>
          <w:szCs w:val="22"/>
        </w:rPr>
        <w:tab/>
        <w:t xml:space="preserve">eTG. </w:t>
      </w:r>
      <w:r w:rsidRPr="002C7DEE">
        <w:rPr>
          <w:rFonts w:ascii="Times" w:hAnsi="Times" w:cstheme="majorHAnsi"/>
          <w:i/>
          <w:noProof/>
          <w:sz w:val="22"/>
          <w:szCs w:val="22"/>
        </w:rPr>
        <w:t>Anticoagulant therapy: Overview of parenteral anticoagulants</w:t>
      </w:r>
      <w:r w:rsidRPr="002C7DEE">
        <w:rPr>
          <w:rFonts w:ascii="Times" w:hAnsi="Times" w:cstheme="majorHAnsi"/>
          <w:noProof/>
          <w:sz w:val="22"/>
          <w:szCs w:val="22"/>
        </w:rPr>
        <w:t xml:space="preserve">. eTG Complete, Cardiovascular 2020  [cited 2021 Feb]; Available from: </w:t>
      </w:r>
      <w:hyperlink r:id="rId18" w:anchor="toc_d1e449" w:history="1">
        <w:r w:rsidRPr="002C7DEE">
          <w:rPr>
            <w:rStyle w:val="Hyperlink"/>
            <w:rFonts w:ascii="Times" w:hAnsi="Times" w:cstheme="majorHAnsi"/>
            <w:noProof/>
            <w:sz w:val="22"/>
            <w:szCs w:val="22"/>
          </w:rPr>
          <w:t>https://tglcdp.tg.org.au.acs.hcn.com.au/viewTopic?topicfile=anticoagulant-therapy&amp;guidelineName=Cardiovascular#toc_d1e449</w:t>
        </w:r>
      </w:hyperlink>
      <w:r w:rsidRPr="002C7DEE">
        <w:rPr>
          <w:rFonts w:ascii="Times" w:hAnsi="Times" w:cstheme="majorHAnsi"/>
          <w:noProof/>
          <w:sz w:val="22"/>
          <w:szCs w:val="22"/>
        </w:rPr>
        <w:t>.</w:t>
      </w:r>
    </w:p>
    <w:p w14:paraId="4A3BBEE8" w14:textId="77777777" w:rsidR="00C43993" w:rsidRPr="002C7DEE" w:rsidRDefault="00C43993" w:rsidP="00075724">
      <w:pPr>
        <w:pStyle w:val="EndNoteBibliography"/>
        <w:ind w:left="720" w:hanging="720"/>
        <w:jc w:val="both"/>
        <w:rPr>
          <w:rFonts w:ascii="Times" w:hAnsi="Times" w:cstheme="majorHAnsi"/>
          <w:i/>
          <w:noProof/>
          <w:sz w:val="22"/>
          <w:szCs w:val="22"/>
        </w:rPr>
      </w:pPr>
      <w:r w:rsidRPr="002C7DEE">
        <w:rPr>
          <w:rFonts w:ascii="Times" w:hAnsi="Times" w:cstheme="majorHAnsi"/>
          <w:noProof/>
          <w:sz w:val="22"/>
          <w:szCs w:val="22"/>
        </w:rPr>
        <w:t>17.</w:t>
      </w:r>
      <w:r w:rsidRPr="002C7DEE">
        <w:rPr>
          <w:rFonts w:ascii="Times" w:hAnsi="Times" w:cstheme="majorHAnsi"/>
          <w:noProof/>
          <w:sz w:val="22"/>
          <w:szCs w:val="22"/>
        </w:rPr>
        <w:tab/>
        <w:t xml:space="preserve">Edith A Nutescu; Sarah A Spinler, A.W., and William E Dager, </w:t>
      </w:r>
      <w:r w:rsidRPr="002C7DEE">
        <w:rPr>
          <w:rFonts w:ascii="Times" w:hAnsi="Times" w:cstheme="majorHAnsi"/>
          <w:i/>
          <w:noProof/>
          <w:sz w:val="22"/>
          <w:szCs w:val="22"/>
        </w:rPr>
        <w:t>Low-Molecular-Weight Heparins in Renal Impairment and Obesity: Available</w:t>
      </w:r>
    </w:p>
    <w:p w14:paraId="1DDC82FE" w14:textId="77777777" w:rsidR="00C43993" w:rsidRPr="002C7DEE" w:rsidRDefault="00C43993" w:rsidP="00075724">
      <w:pPr>
        <w:pStyle w:val="EndNoteBibliography"/>
        <w:jc w:val="both"/>
        <w:rPr>
          <w:rFonts w:ascii="Times" w:hAnsi="Times" w:cstheme="majorHAnsi"/>
          <w:i/>
          <w:noProof/>
          <w:sz w:val="22"/>
          <w:szCs w:val="22"/>
        </w:rPr>
      </w:pPr>
      <w:r w:rsidRPr="002C7DEE">
        <w:rPr>
          <w:rFonts w:ascii="Times" w:hAnsi="Times" w:cstheme="majorHAnsi"/>
          <w:i/>
          <w:noProof/>
          <w:sz w:val="22"/>
          <w:szCs w:val="22"/>
        </w:rPr>
        <w:t>Evidence and Clinical Practice Recommendations Across Medical and Surgical</w:t>
      </w:r>
    </w:p>
    <w:p w14:paraId="444C0208"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i/>
          <w:noProof/>
          <w:sz w:val="22"/>
          <w:szCs w:val="22"/>
        </w:rPr>
        <w:t>Settings.</w:t>
      </w:r>
      <w:r w:rsidRPr="002C7DEE">
        <w:rPr>
          <w:rFonts w:ascii="Times" w:hAnsi="Times" w:cstheme="majorHAnsi"/>
          <w:noProof/>
          <w:sz w:val="22"/>
          <w:szCs w:val="22"/>
        </w:rPr>
        <w:t xml:space="preserve"> Annals of Pharmacotherapy, 2009. </w:t>
      </w:r>
      <w:r w:rsidRPr="002C7DEE">
        <w:rPr>
          <w:rFonts w:ascii="Times" w:hAnsi="Times" w:cstheme="majorHAnsi"/>
          <w:b/>
          <w:noProof/>
          <w:sz w:val="22"/>
          <w:szCs w:val="22"/>
        </w:rPr>
        <w:t>1043</w:t>
      </w:r>
      <w:r w:rsidRPr="002C7DEE">
        <w:rPr>
          <w:rFonts w:ascii="Times" w:hAnsi="Times" w:cstheme="majorHAnsi"/>
          <w:noProof/>
          <w:sz w:val="22"/>
          <w:szCs w:val="22"/>
        </w:rPr>
        <w:t>: p. 1064-1083.</w:t>
      </w:r>
    </w:p>
    <w:p w14:paraId="1FCA6C2A"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lastRenderedPageBreak/>
        <w:t>18.</w:t>
      </w:r>
      <w:r w:rsidRPr="002C7DEE">
        <w:rPr>
          <w:rFonts w:ascii="Times" w:hAnsi="Times" w:cstheme="majorHAnsi"/>
          <w:noProof/>
          <w:sz w:val="22"/>
          <w:szCs w:val="22"/>
        </w:rPr>
        <w:tab/>
        <w:t xml:space="preserve">W, L., </w:t>
      </w:r>
      <w:r w:rsidRPr="002C7DEE">
        <w:rPr>
          <w:rFonts w:ascii="Times" w:hAnsi="Times" w:cstheme="majorHAnsi"/>
          <w:i/>
          <w:noProof/>
          <w:sz w:val="22"/>
          <w:szCs w:val="22"/>
        </w:rPr>
        <w:t>Using low molecular weight heparin in special patient populations.</w:t>
      </w:r>
      <w:r w:rsidRPr="002C7DEE">
        <w:rPr>
          <w:rFonts w:ascii="Times" w:hAnsi="Times" w:cstheme="majorHAnsi"/>
          <w:noProof/>
          <w:sz w:val="22"/>
          <w:szCs w:val="22"/>
        </w:rPr>
        <w:t xml:space="preserve"> J Thromb Thrombolysis, 2010. </w:t>
      </w:r>
      <w:r w:rsidRPr="002C7DEE">
        <w:rPr>
          <w:rFonts w:ascii="Times" w:hAnsi="Times" w:cstheme="majorHAnsi"/>
          <w:b/>
          <w:noProof/>
          <w:sz w:val="22"/>
          <w:szCs w:val="22"/>
        </w:rPr>
        <w:t>29</w:t>
      </w:r>
      <w:r w:rsidRPr="002C7DEE">
        <w:rPr>
          <w:rFonts w:ascii="Times" w:hAnsi="Times" w:cstheme="majorHAnsi"/>
          <w:noProof/>
          <w:sz w:val="22"/>
          <w:szCs w:val="22"/>
        </w:rPr>
        <w:t>: p. 233-240.</w:t>
      </w:r>
    </w:p>
    <w:p w14:paraId="40D5344B"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19.</w:t>
      </w:r>
      <w:r w:rsidRPr="002C7DEE">
        <w:rPr>
          <w:rFonts w:ascii="Times" w:hAnsi="Times" w:cstheme="majorHAnsi"/>
          <w:noProof/>
          <w:sz w:val="22"/>
          <w:szCs w:val="22"/>
        </w:rPr>
        <w:tab/>
        <w:t xml:space="preserve">Barras, M., </w:t>
      </w:r>
      <w:r w:rsidRPr="002C7DEE">
        <w:rPr>
          <w:rFonts w:ascii="Times" w:hAnsi="Times" w:cstheme="majorHAnsi"/>
          <w:i/>
          <w:noProof/>
          <w:sz w:val="22"/>
          <w:szCs w:val="22"/>
        </w:rPr>
        <w:t>Anti-Xa assays.</w:t>
      </w:r>
      <w:r w:rsidRPr="002C7DEE">
        <w:rPr>
          <w:rFonts w:ascii="Times" w:hAnsi="Times" w:cstheme="majorHAnsi"/>
          <w:noProof/>
          <w:sz w:val="22"/>
          <w:szCs w:val="22"/>
        </w:rPr>
        <w:t xml:space="preserve"> Australian Prescriber, 2013. </w:t>
      </w:r>
      <w:r w:rsidRPr="002C7DEE">
        <w:rPr>
          <w:rFonts w:ascii="Times" w:hAnsi="Times" w:cstheme="majorHAnsi"/>
          <w:b/>
          <w:noProof/>
          <w:sz w:val="22"/>
          <w:szCs w:val="22"/>
        </w:rPr>
        <w:t>36</w:t>
      </w:r>
      <w:r w:rsidRPr="002C7DEE">
        <w:rPr>
          <w:rFonts w:ascii="Times" w:hAnsi="Times" w:cstheme="majorHAnsi"/>
          <w:noProof/>
          <w:sz w:val="22"/>
          <w:szCs w:val="22"/>
        </w:rPr>
        <w:t>: p. 4.</w:t>
      </w:r>
    </w:p>
    <w:p w14:paraId="21044CAB"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20.</w:t>
      </w:r>
      <w:r w:rsidRPr="002C7DEE">
        <w:rPr>
          <w:rFonts w:ascii="Times" w:hAnsi="Times" w:cstheme="majorHAnsi"/>
          <w:noProof/>
          <w:sz w:val="22"/>
          <w:szCs w:val="22"/>
        </w:rPr>
        <w:tab/>
        <w:t xml:space="preserve">Wei, M.W., S, </w:t>
      </w:r>
      <w:r w:rsidRPr="002C7DEE">
        <w:rPr>
          <w:rFonts w:ascii="Times" w:hAnsi="Times" w:cstheme="majorHAnsi"/>
          <w:i/>
          <w:noProof/>
          <w:sz w:val="22"/>
          <w:szCs w:val="22"/>
        </w:rPr>
        <w:t>The Anti-Factor Xa Range For Low Molecular Weight Heparin Thromboprophylaxis.</w:t>
      </w:r>
      <w:r w:rsidRPr="002C7DEE">
        <w:rPr>
          <w:rFonts w:ascii="Times" w:hAnsi="Times" w:cstheme="majorHAnsi"/>
          <w:noProof/>
          <w:sz w:val="22"/>
          <w:szCs w:val="22"/>
        </w:rPr>
        <w:t xml:space="preserve"> Hematol Rep, 2015. </w:t>
      </w:r>
      <w:r w:rsidRPr="002C7DEE">
        <w:rPr>
          <w:rFonts w:ascii="Times" w:hAnsi="Times" w:cstheme="majorHAnsi"/>
          <w:b/>
          <w:noProof/>
          <w:sz w:val="22"/>
          <w:szCs w:val="22"/>
        </w:rPr>
        <w:t>7</w:t>
      </w:r>
      <w:r w:rsidRPr="002C7DEE">
        <w:rPr>
          <w:rFonts w:ascii="Times" w:hAnsi="Times" w:cstheme="majorHAnsi"/>
          <w:noProof/>
          <w:sz w:val="22"/>
          <w:szCs w:val="22"/>
        </w:rPr>
        <w:t>(4): p. 5844.</w:t>
      </w:r>
    </w:p>
    <w:p w14:paraId="5D9A25A8"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21.</w:t>
      </w:r>
      <w:r w:rsidRPr="002C7DEE">
        <w:rPr>
          <w:rFonts w:ascii="Times" w:hAnsi="Times" w:cstheme="majorHAnsi"/>
          <w:noProof/>
          <w:sz w:val="22"/>
          <w:szCs w:val="22"/>
        </w:rPr>
        <w:tab/>
        <w:t xml:space="preserve">Kylee H. Maclachlan; Hannah P. Stevens, H.A.T., Sanjeev D. Chunilal, </w:t>
      </w:r>
      <w:r w:rsidRPr="002C7DEE">
        <w:rPr>
          <w:rFonts w:ascii="Times" w:hAnsi="Times" w:cstheme="majorHAnsi"/>
          <w:i/>
          <w:noProof/>
          <w:sz w:val="22"/>
          <w:szCs w:val="22"/>
        </w:rPr>
        <w:t>Weight-Based Enoxaparin for Venous Thromboembolism in Obesity Gives Similar Anti-Xa Levels to Patients &lt;100 kg, with No Increase in Major Bleeding.</w:t>
      </w:r>
      <w:r w:rsidRPr="002C7DEE">
        <w:rPr>
          <w:rFonts w:ascii="Times" w:hAnsi="Times" w:cstheme="majorHAnsi"/>
          <w:noProof/>
          <w:sz w:val="22"/>
          <w:szCs w:val="22"/>
        </w:rPr>
        <w:t xml:space="preserve"> Semin Thromb Hemost, 2019. </w:t>
      </w:r>
      <w:r w:rsidRPr="002C7DEE">
        <w:rPr>
          <w:rFonts w:ascii="Times" w:hAnsi="Times" w:cstheme="majorHAnsi"/>
          <w:b/>
          <w:noProof/>
          <w:sz w:val="22"/>
          <w:szCs w:val="22"/>
        </w:rPr>
        <w:t>45</w:t>
      </w:r>
      <w:r w:rsidRPr="002C7DEE">
        <w:rPr>
          <w:rFonts w:ascii="Times" w:hAnsi="Times" w:cstheme="majorHAnsi"/>
          <w:noProof/>
          <w:sz w:val="22"/>
          <w:szCs w:val="22"/>
        </w:rPr>
        <w:t>: p. 94-99.</w:t>
      </w:r>
    </w:p>
    <w:p w14:paraId="3F45FA40"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22.</w:t>
      </w:r>
      <w:r w:rsidRPr="002C7DEE">
        <w:rPr>
          <w:rFonts w:ascii="Times" w:hAnsi="Times" w:cstheme="majorHAnsi"/>
          <w:noProof/>
          <w:sz w:val="22"/>
          <w:szCs w:val="22"/>
        </w:rPr>
        <w:tab/>
      </w:r>
      <w:r w:rsidRPr="002C7DEE">
        <w:rPr>
          <w:rFonts w:ascii="Times" w:hAnsi="Times" w:cstheme="majorHAnsi"/>
          <w:i/>
          <w:noProof/>
          <w:sz w:val="22"/>
          <w:szCs w:val="22"/>
        </w:rPr>
        <w:t>The effect of subcutaneous injection duration on patients receiving low-molecular-weight heparin: Evidence from a systematic review.</w:t>
      </w:r>
      <w:r w:rsidRPr="002C7DEE">
        <w:rPr>
          <w:rFonts w:ascii="Times" w:hAnsi="Times" w:cstheme="majorHAnsi"/>
          <w:noProof/>
          <w:sz w:val="22"/>
          <w:szCs w:val="22"/>
        </w:rPr>
        <w:t xml:space="preserve"> International Journal of Nursing Sciences, 2016.</w:t>
      </w:r>
    </w:p>
    <w:p w14:paraId="1BEA0C40"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23.</w:t>
      </w:r>
      <w:r w:rsidRPr="002C7DEE">
        <w:rPr>
          <w:rFonts w:ascii="Times" w:hAnsi="Times" w:cstheme="majorHAnsi"/>
          <w:noProof/>
          <w:sz w:val="22"/>
          <w:szCs w:val="22"/>
        </w:rPr>
        <w:tab/>
        <w:t xml:space="preserve">Dadaeen Azar, B.M., Bazi Parviz, Ostovar Afshin, Raeisi Alireza, Dobaradaran Sina, </w:t>
      </w:r>
      <w:r w:rsidRPr="002C7DEE">
        <w:rPr>
          <w:rFonts w:ascii="Times" w:hAnsi="Times" w:cstheme="majorHAnsi"/>
          <w:i/>
          <w:noProof/>
          <w:sz w:val="22"/>
          <w:szCs w:val="22"/>
        </w:rPr>
        <w:t>The effect of duration of subcutaneous injection on the extent of bruising and pain intensity at injection sites among patients receiving enoxaparin sodium: a randomized self-controlled clinical trial.</w:t>
      </w:r>
      <w:r w:rsidRPr="002C7DEE">
        <w:rPr>
          <w:rFonts w:ascii="Times" w:hAnsi="Times" w:cstheme="majorHAnsi"/>
          <w:noProof/>
          <w:sz w:val="22"/>
          <w:szCs w:val="22"/>
        </w:rPr>
        <w:t xml:space="preserve"> International Cardiovascular Research Journal, 2015. </w:t>
      </w:r>
      <w:r w:rsidRPr="002C7DEE">
        <w:rPr>
          <w:rFonts w:ascii="Times" w:hAnsi="Times" w:cstheme="majorHAnsi"/>
          <w:b/>
          <w:noProof/>
          <w:sz w:val="22"/>
          <w:szCs w:val="22"/>
        </w:rPr>
        <w:t>9</w:t>
      </w:r>
      <w:r w:rsidRPr="002C7DEE">
        <w:rPr>
          <w:rFonts w:ascii="Times" w:hAnsi="Times" w:cstheme="majorHAnsi"/>
          <w:noProof/>
          <w:sz w:val="22"/>
          <w:szCs w:val="22"/>
        </w:rPr>
        <w:t>(2): p. 77-82.</w:t>
      </w:r>
    </w:p>
    <w:p w14:paraId="3D008DF2"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24.</w:t>
      </w:r>
      <w:r w:rsidRPr="002C7DEE">
        <w:rPr>
          <w:rFonts w:ascii="Times" w:hAnsi="Times" w:cstheme="majorHAnsi"/>
          <w:noProof/>
          <w:sz w:val="22"/>
          <w:szCs w:val="22"/>
        </w:rPr>
        <w:tab/>
        <w:t xml:space="preserve">M. Mohammady; L Janani, S.A., </w:t>
      </w:r>
      <w:r w:rsidRPr="002C7DEE">
        <w:rPr>
          <w:rFonts w:ascii="Times" w:hAnsi="Times" w:cstheme="majorHAnsi"/>
          <w:i/>
          <w:noProof/>
          <w:sz w:val="22"/>
          <w:szCs w:val="22"/>
        </w:rPr>
        <w:t>Does the speed of injection make a difference in the amount of pain and bruising in people receiving heparin injections?</w:t>
      </w:r>
      <w:r w:rsidRPr="002C7DEE">
        <w:rPr>
          <w:rFonts w:ascii="Times" w:hAnsi="Times" w:cstheme="majorHAnsi"/>
          <w:noProof/>
          <w:sz w:val="22"/>
          <w:szCs w:val="22"/>
        </w:rPr>
        <w:t xml:space="preserve"> Cochrane review, 2017.</w:t>
      </w:r>
    </w:p>
    <w:p w14:paraId="75D206D7"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25.</w:t>
      </w:r>
      <w:r w:rsidRPr="002C7DEE">
        <w:rPr>
          <w:rFonts w:ascii="Times" w:hAnsi="Times" w:cstheme="majorHAnsi"/>
          <w:noProof/>
          <w:sz w:val="22"/>
          <w:szCs w:val="22"/>
        </w:rPr>
        <w:tab/>
        <w:t xml:space="preserve">Broadhurst D, C.M., Sriram D, Gray B. </w:t>
      </w:r>
      <w:r w:rsidRPr="002C7DEE">
        <w:rPr>
          <w:rFonts w:ascii="Times" w:hAnsi="Times" w:cstheme="majorHAnsi"/>
          <w:i/>
          <w:noProof/>
          <w:sz w:val="22"/>
          <w:szCs w:val="22"/>
        </w:rPr>
        <w:t>Subcutaneous hydration and medications infusions (effectiveness, safety, acceptability): A systematic review of systematic reviews</w:t>
      </w:r>
      <w:r w:rsidRPr="002C7DEE">
        <w:rPr>
          <w:rFonts w:ascii="Times" w:hAnsi="Times" w:cstheme="majorHAnsi"/>
          <w:noProof/>
          <w:sz w:val="22"/>
          <w:szCs w:val="22"/>
        </w:rPr>
        <w:t xml:space="preserve">. PLoS One, 2020. </w:t>
      </w:r>
      <w:r w:rsidRPr="002C7DEE">
        <w:rPr>
          <w:rFonts w:ascii="Times" w:hAnsi="Times" w:cstheme="majorHAnsi"/>
          <w:b/>
          <w:noProof/>
          <w:sz w:val="22"/>
          <w:szCs w:val="22"/>
        </w:rPr>
        <w:t>15</w:t>
      </w:r>
      <w:r w:rsidRPr="002C7DEE">
        <w:rPr>
          <w:rFonts w:ascii="Times" w:hAnsi="Times" w:cstheme="majorHAnsi"/>
          <w:noProof/>
          <w:sz w:val="22"/>
          <w:szCs w:val="22"/>
        </w:rPr>
        <w:t>,  DOI: doi:10.1371/journal.pone.0237572.</w:t>
      </w:r>
    </w:p>
    <w:p w14:paraId="43503C0B"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26.</w:t>
      </w:r>
      <w:r w:rsidRPr="002C7DEE">
        <w:rPr>
          <w:rFonts w:ascii="Times" w:hAnsi="Times" w:cstheme="majorHAnsi"/>
          <w:noProof/>
          <w:sz w:val="22"/>
          <w:szCs w:val="22"/>
        </w:rPr>
        <w:tab/>
        <w:t xml:space="preserve">J Blatny, V.F., </w:t>
      </w:r>
      <w:r w:rsidRPr="002C7DEE">
        <w:rPr>
          <w:rFonts w:ascii="Times" w:hAnsi="Times" w:cstheme="majorHAnsi"/>
          <w:i/>
          <w:noProof/>
          <w:sz w:val="22"/>
          <w:szCs w:val="22"/>
        </w:rPr>
        <w:t>Treatment of deep vein thrombosis with continuous intravenous infusion of LMWH in children - an alternative to subcutaneous application when needed.</w:t>
      </w:r>
      <w:r w:rsidRPr="002C7DEE">
        <w:rPr>
          <w:rFonts w:ascii="Times" w:hAnsi="Times" w:cstheme="majorHAnsi"/>
          <w:noProof/>
          <w:sz w:val="22"/>
          <w:szCs w:val="22"/>
        </w:rPr>
        <w:t xml:space="preserve"> Vnitr Lek., 2009. </w:t>
      </w:r>
      <w:r w:rsidRPr="002C7DEE">
        <w:rPr>
          <w:rFonts w:ascii="Times" w:hAnsi="Times" w:cstheme="majorHAnsi"/>
          <w:b/>
          <w:noProof/>
          <w:sz w:val="22"/>
          <w:szCs w:val="22"/>
        </w:rPr>
        <w:t>55</w:t>
      </w:r>
      <w:r w:rsidRPr="002C7DEE">
        <w:rPr>
          <w:rFonts w:ascii="Times" w:hAnsi="Times" w:cstheme="majorHAnsi"/>
          <w:noProof/>
          <w:sz w:val="22"/>
          <w:szCs w:val="22"/>
        </w:rPr>
        <w:t>(3): p. 227-232.</w:t>
      </w:r>
    </w:p>
    <w:p w14:paraId="2372218E" w14:textId="462463D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27.</w:t>
      </w:r>
      <w:r w:rsidRPr="002C7DEE">
        <w:rPr>
          <w:rFonts w:ascii="Times" w:hAnsi="Times" w:cstheme="majorHAnsi"/>
          <w:noProof/>
          <w:sz w:val="22"/>
          <w:szCs w:val="22"/>
        </w:rPr>
        <w:tab/>
        <w:t xml:space="preserve">RCH. </w:t>
      </w:r>
      <w:r w:rsidRPr="002C7DEE">
        <w:rPr>
          <w:rFonts w:ascii="Times" w:hAnsi="Times" w:cstheme="majorHAnsi"/>
          <w:i/>
          <w:noProof/>
          <w:sz w:val="22"/>
          <w:szCs w:val="22"/>
        </w:rPr>
        <w:t>Clinical Guidelines: Subcutaneous catheter devices management of insuflon and BD safTIntima devices</w:t>
      </w:r>
      <w:r w:rsidRPr="002C7DEE">
        <w:rPr>
          <w:rFonts w:ascii="Times" w:hAnsi="Times" w:cstheme="majorHAnsi"/>
          <w:noProof/>
          <w:sz w:val="22"/>
          <w:szCs w:val="22"/>
        </w:rPr>
        <w:t xml:space="preserve">. 2014  [cited 2021 Feb]; Available from: </w:t>
      </w:r>
      <w:hyperlink r:id="rId19" w:history="1">
        <w:r w:rsidRPr="002C7DEE">
          <w:rPr>
            <w:rStyle w:val="Hyperlink"/>
            <w:rFonts w:ascii="Times" w:hAnsi="Times" w:cstheme="majorHAnsi"/>
            <w:noProof/>
            <w:sz w:val="22"/>
            <w:szCs w:val="22"/>
          </w:rPr>
          <w:t>www.rch.org.au/rchcpg/hospital_clinical_guideline_index/Subcutaneous_catheter_devices_management_of_insuflon_and_BD_safTIntima_devices/</w:t>
        </w:r>
      </w:hyperlink>
      <w:r w:rsidRPr="002C7DEE">
        <w:rPr>
          <w:rFonts w:ascii="Times" w:hAnsi="Times" w:cstheme="majorHAnsi"/>
          <w:noProof/>
          <w:sz w:val="22"/>
          <w:szCs w:val="22"/>
        </w:rPr>
        <w:t>.</w:t>
      </w:r>
    </w:p>
    <w:p w14:paraId="5B0370B6" w14:textId="781AF972"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28.</w:t>
      </w:r>
      <w:r w:rsidRPr="002C7DEE">
        <w:rPr>
          <w:rFonts w:ascii="Times" w:hAnsi="Times" w:cstheme="majorHAnsi"/>
          <w:noProof/>
          <w:sz w:val="22"/>
          <w:szCs w:val="22"/>
        </w:rPr>
        <w:tab/>
        <w:t xml:space="preserve">RCH. </w:t>
      </w:r>
      <w:r w:rsidRPr="002C7DEE">
        <w:rPr>
          <w:rFonts w:ascii="Times" w:hAnsi="Times" w:cstheme="majorHAnsi"/>
          <w:i/>
          <w:noProof/>
          <w:sz w:val="22"/>
          <w:szCs w:val="22"/>
        </w:rPr>
        <w:t>Clexane Guidelines for Clinicians Low Molecular Weight Heparin</w:t>
      </w:r>
      <w:r w:rsidRPr="002C7DEE">
        <w:rPr>
          <w:rFonts w:ascii="Times" w:hAnsi="Times" w:cstheme="majorHAnsi"/>
          <w:noProof/>
          <w:sz w:val="22"/>
          <w:szCs w:val="22"/>
        </w:rPr>
        <w:t>. Clinical Guidelines 2014  [cited 2021 Feb 2021]; Available from: ttps://</w:t>
      </w:r>
      <w:hyperlink r:id="rId20" w:history="1">
        <w:r w:rsidRPr="002C7DEE">
          <w:rPr>
            <w:rStyle w:val="Hyperlink"/>
            <w:rFonts w:ascii="Times" w:hAnsi="Times" w:cstheme="majorHAnsi"/>
            <w:noProof/>
            <w:sz w:val="22"/>
            <w:szCs w:val="22"/>
          </w:rPr>
          <w:t>www.rch.org.au/haematology/anticoagulaton_service/clexane-guidelines/</w:t>
        </w:r>
      </w:hyperlink>
      <w:r w:rsidRPr="002C7DEE">
        <w:rPr>
          <w:rFonts w:ascii="Times" w:hAnsi="Times" w:cstheme="majorHAnsi"/>
          <w:noProof/>
          <w:sz w:val="22"/>
          <w:szCs w:val="22"/>
        </w:rPr>
        <w:t>.</w:t>
      </w:r>
    </w:p>
    <w:p w14:paraId="7D8DD27D"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29.</w:t>
      </w:r>
      <w:r w:rsidRPr="002C7DEE">
        <w:rPr>
          <w:rFonts w:ascii="Times" w:hAnsi="Times" w:cstheme="majorHAnsi"/>
          <w:noProof/>
          <w:sz w:val="22"/>
          <w:szCs w:val="22"/>
        </w:rPr>
        <w:tab/>
        <w:t xml:space="preserve">Tamara Meeker, T.E., </w:t>
      </w:r>
      <w:r w:rsidRPr="002C7DEE">
        <w:rPr>
          <w:rFonts w:ascii="Times" w:hAnsi="Times" w:cstheme="majorHAnsi"/>
          <w:i/>
          <w:noProof/>
          <w:sz w:val="22"/>
          <w:szCs w:val="22"/>
        </w:rPr>
        <w:t>The Use of Enoxaparin and Insuflon Catheter to Direct Treatment of CVL Thrombosis.</w:t>
      </w:r>
      <w:r w:rsidRPr="002C7DEE">
        <w:rPr>
          <w:rFonts w:ascii="Times" w:hAnsi="Times" w:cstheme="majorHAnsi"/>
          <w:noProof/>
          <w:sz w:val="22"/>
          <w:szCs w:val="22"/>
        </w:rPr>
        <w:t xml:space="preserve"> Newborn and Infant Nursing Reviews, 2013. </w:t>
      </w:r>
      <w:r w:rsidRPr="002C7DEE">
        <w:rPr>
          <w:rFonts w:ascii="Times" w:hAnsi="Times" w:cstheme="majorHAnsi"/>
          <w:b/>
          <w:noProof/>
          <w:sz w:val="22"/>
          <w:szCs w:val="22"/>
        </w:rPr>
        <w:t>14</w:t>
      </w:r>
      <w:r w:rsidRPr="002C7DEE">
        <w:rPr>
          <w:rFonts w:ascii="Times" w:hAnsi="Times" w:cstheme="majorHAnsi"/>
          <w:noProof/>
          <w:sz w:val="22"/>
          <w:szCs w:val="22"/>
        </w:rPr>
        <w:t>(1).</w:t>
      </w:r>
    </w:p>
    <w:p w14:paraId="211C63EB"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30.</w:t>
      </w:r>
      <w:r w:rsidRPr="002C7DEE">
        <w:rPr>
          <w:rFonts w:ascii="Times" w:hAnsi="Times" w:cstheme="majorHAnsi"/>
          <w:noProof/>
          <w:sz w:val="22"/>
          <w:szCs w:val="22"/>
        </w:rPr>
        <w:tab/>
        <w:t xml:space="preserve">Moll, S., </w:t>
      </w:r>
      <w:r w:rsidRPr="002C7DEE">
        <w:rPr>
          <w:rFonts w:ascii="Times" w:hAnsi="Times" w:cstheme="majorHAnsi"/>
          <w:i/>
          <w:noProof/>
          <w:sz w:val="22"/>
          <w:szCs w:val="22"/>
        </w:rPr>
        <w:t>Once weekly subcutaneous ports for the administration of anticoagulants</w:t>
      </w:r>
      <w:r w:rsidRPr="002C7DEE">
        <w:rPr>
          <w:rFonts w:ascii="Times" w:hAnsi="Times" w:cstheme="majorHAnsi"/>
          <w:noProof/>
          <w:sz w:val="22"/>
          <w:szCs w:val="22"/>
        </w:rPr>
        <w:t xml:space="preserve">, in </w:t>
      </w:r>
      <w:r w:rsidRPr="002C7DEE">
        <w:rPr>
          <w:rFonts w:ascii="Times" w:hAnsi="Times" w:cstheme="majorHAnsi"/>
          <w:i/>
          <w:noProof/>
          <w:sz w:val="22"/>
          <w:szCs w:val="22"/>
        </w:rPr>
        <w:t>US National Library of Medicine</w:t>
      </w:r>
      <w:r w:rsidRPr="002C7DEE">
        <w:rPr>
          <w:rFonts w:ascii="Times" w:hAnsi="Times" w:cstheme="majorHAnsi"/>
          <w:noProof/>
          <w:sz w:val="22"/>
          <w:szCs w:val="22"/>
        </w:rPr>
        <w:t>, NIH, Editor. 2017: ClinicalTrials.gov.</w:t>
      </w:r>
    </w:p>
    <w:p w14:paraId="1299CD0C" w14:textId="77EAAD66"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31.</w:t>
      </w:r>
      <w:r w:rsidRPr="002C7DEE">
        <w:rPr>
          <w:rFonts w:ascii="Times" w:hAnsi="Times" w:cstheme="majorHAnsi"/>
          <w:noProof/>
          <w:sz w:val="22"/>
          <w:szCs w:val="22"/>
        </w:rPr>
        <w:tab/>
        <w:t xml:space="preserve">MIMS. </w:t>
      </w:r>
      <w:r w:rsidRPr="002C7DEE">
        <w:rPr>
          <w:rFonts w:ascii="Times" w:hAnsi="Times" w:cstheme="majorHAnsi"/>
          <w:i/>
          <w:noProof/>
          <w:sz w:val="22"/>
          <w:szCs w:val="22"/>
        </w:rPr>
        <w:t>Clexane and Clexane Forte</w:t>
      </w:r>
      <w:r w:rsidRPr="002C7DEE">
        <w:rPr>
          <w:rFonts w:ascii="Times" w:hAnsi="Times" w:cstheme="majorHAnsi"/>
          <w:noProof/>
          <w:sz w:val="22"/>
          <w:szCs w:val="22"/>
        </w:rPr>
        <w:t xml:space="preserve">. 2021  [cited 2021 Feb]; Available from: </w:t>
      </w:r>
      <w:hyperlink r:id="rId21" w:history="1">
        <w:r w:rsidRPr="002C7DEE">
          <w:rPr>
            <w:rStyle w:val="Hyperlink"/>
            <w:rFonts w:ascii="Times" w:hAnsi="Times" w:cstheme="majorHAnsi"/>
            <w:noProof/>
            <w:sz w:val="22"/>
            <w:szCs w:val="22"/>
          </w:rPr>
          <w:t>www.mimsonline.com.au.acs.hcn.com.au/Search/FullPI.aspx?ModuleName=ProductInfo&amp;searchKeyword=enoxaparin</w:t>
        </w:r>
      </w:hyperlink>
      <w:r w:rsidRPr="002C7DEE">
        <w:rPr>
          <w:rFonts w:ascii="Times" w:hAnsi="Times" w:cstheme="majorHAnsi"/>
          <w:noProof/>
          <w:sz w:val="22"/>
          <w:szCs w:val="22"/>
        </w:rPr>
        <w:t>.</w:t>
      </w:r>
    </w:p>
    <w:p w14:paraId="12393EA8" w14:textId="77777777"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32.</w:t>
      </w:r>
      <w:r w:rsidRPr="002C7DEE">
        <w:rPr>
          <w:rFonts w:ascii="Times" w:hAnsi="Times" w:cstheme="majorHAnsi"/>
          <w:noProof/>
          <w:sz w:val="22"/>
          <w:szCs w:val="22"/>
        </w:rPr>
        <w:tab/>
        <w:t xml:space="preserve">Johansson, E.E., P., Björvell, H. et al, </w:t>
      </w:r>
      <w:r w:rsidRPr="002C7DEE">
        <w:rPr>
          <w:rFonts w:ascii="Times" w:hAnsi="Times" w:cstheme="majorHAnsi"/>
          <w:i/>
          <w:noProof/>
          <w:sz w:val="22"/>
          <w:szCs w:val="22"/>
        </w:rPr>
        <w:t>Patients’ perceptions of having a central venous catheter or a totally implantable subcutaneous port system–results from a randomised study in acute leukaemia.</w:t>
      </w:r>
      <w:r w:rsidRPr="002C7DEE">
        <w:rPr>
          <w:rFonts w:ascii="Times" w:hAnsi="Times" w:cstheme="majorHAnsi"/>
          <w:noProof/>
          <w:sz w:val="22"/>
          <w:szCs w:val="22"/>
        </w:rPr>
        <w:t xml:space="preserve"> Support Care Cance, 2009. </w:t>
      </w:r>
      <w:r w:rsidRPr="002C7DEE">
        <w:rPr>
          <w:rFonts w:ascii="Times" w:hAnsi="Times" w:cstheme="majorHAnsi"/>
          <w:b/>
          <w:noProof/>
          <w:sz w:val="22"/>
          <w:szCs w:val="22"/>
        </w:rPr>
        <w:t>17</w:t>
      </w:r>
      <w:r w:rsidRPr="002C7DEE">
        <w:rPr>
          <w:rFonts w:ascii="Times" w:hAnsi="Times" w:cstheme="majorHAnsi"/>
          <w:noProof/>
          <w:sz w:val="22"/>
          <w:szCs w:val="22"/>
        </w:rPr>
        <w:t>: p. 137-143.</w:t>
      </w:r>
    </w:p>
    <w:p w14:paraId="3E6FC0A5" w14:textId="01091D22" w:rsidR="00C43993" w:rsidRPr="002C7DEE" w:rsidRDefault="00C43993"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33.</w:t>
      </w:r>
      <w:r w:rsidRPr="002C7DEE">
        <w:rPr>
          <w:rFonts w:ascii="Times" w:hAnsi="Times" w:cstheme="majorHAnsi"/>
          <w:noProof/>
          <w:sz w:val="22"/>
          <w:szCs w:val="22"/>
        </w:rPr>
        <w:tab/>
        <w:t xml:space="preserve">Høvik, L., Gjeilo, KH, Lydersen, S, Rickard, CM, Røtvold, B, Damås, JK, Solligård, E, Gustad, LT, </w:t>
      </w:r>
      <w:r w:rsidRPr="002C7DEE">
        <w:rPr>
          <w:rFonts w:ascii="Times" w:hAnsi="Times" w:cstheme="majorHAnsi"/>
          <w:i/>
          <w:noProof/>
          <w:sz w:val="22"/>
          <w:szCs w:val="22"/>
        </w:rPr>
        <w:t>Monitoring quality of care for peripheral intravenous catheters; feasibility and reliability of the peripheral intravenous catheters mini questionnaire (PIVC-miniQ).</w:t>
      </w:r>
      <w:r w:rsidRPr="002C7DEE">
        <w:rPr>
          <w:rFonts w:ascii="Times" w:hAnsi="Times" w:cstheme="majorHAnsi"/>
          <w:noProof/>
          <w:sz w:val="22"/>
          <w:szCs w:val="22"/>
        </w:rPr>
        <w:t xml:space="preserve"> BMC Health Services Research, 2019. </w:t>
      </w:r>
      <w:r w:rsidRPr="002C7DEE">
        <w:rPr>
          <w:rFonts w:ascii="Times" w:hAnsi="Times" w:cstheme="majorHAnsi"/>
          <w:b/>
          <w:noProof/>
          <w:sz w:val="22"/>
          <w:szCs w:val="22"/>
        </w:rPr>
        <w:t>19</w:t>
      </w:r>
      <w:r w:rsidRPr="002C7DEE">
        <w:rPr>
          <w:rFonts w:ascii="Times" w:hAnsi="Times" w:cstheme="majorHAnsi"/>
          <w:noProof/>
          <w:sz w:val="22"/>
          <w:szCs w:val="22"/>
        </w:rPr>
        <w:t>: p. 636.</w:t>
      </w:r>
    </w:p>
    <w:p w14:paraId="55AF4F6E" w14:textId="2C0FCDA1" w:rsidR="00605D20" w:rsidRPr="002C7DEE" w:rsidRDefault="00605D20" w:rsidP="00075724">
      <w:pPr>
        <w:pStyle w:val="EndNoteBibliography"/>
        <w:ind w:left="720" w:hanging="720"/>
        <w:jc w:val="both"/>
        <w:rPr>
          <w:rFonts w:ascii="Times" w:hAnsi="Times" w:cstheme="majorHAnsi"/>
          <w:noProof/>
          <w:sz w:val="22"/>
          <w:szCs w:val="22"/>
        </w:rPr>
      </w:pPr>
      <w:r w:rsidRPr="002C7DEE">
        <w:rPr>
          <w:rFonts w:ascii="Times" w:hAnsi="Times" w:cstheme="majorHAnsi"/>
          <w:noProof/>
          <w:sz w:val="22"/>
          <w:szCs w:val="22"/>
        </w:rPr>
        <w:t xml:space="preserve">34. </w:t>
      </w:r>
      <w:r w:rsidRPr="002C7DEE">
        <w:rPr>
          <w:rFonts w:ascii="Times" w:hAnsi="Times" w:cstheme="majorHAnsi"/>
          <w:noProof/>
          <w:sz w:val="22"/>
          <w:szCs w:val="22"/>
        </w:rPr>
        <w:tab/>
        <w:t xml:space="preserve">UpToDate, enoxapain (including biosimilars): Drug information. </w:t>
      </w:r>
    </w:p>
    <w:p w14:paraId="636DCFC2" w14:textId="69A6C8BC" w:rsidR="00CD617C" w:rsidRPr="002C7DEE" w:rsidRDefault="005D2060" w:rsidP="00075724">
      <w:pPr>
        <w:jc w:val="both"/>
        <w:rPr>
          <w:rFonts w:ascii="Times" w:hAnsi="Times" w:cstheme="majorHAnsi"/>
          <w:sz w:val="22"/>
          <w:szCs w:val="22"/>
        </w:rPr>
      </w:pPr>
      <w:r w:rsidRPr="002C7DEE">
        <w:rPr>
          <w:rFonts w:ascii="Times" w:hAnsi="Times" w:cstheme="majorHAnsi"/>
          <w:sz w:val="22"/>
          <w:szCs w:val="22"/>
        </w:rPr>
        <w:fldChar w:fldCharType="end"/>
      </w:r>
    </w:p>
    <w:p w14:paraId="14B12BE5" w14:textId="6BEDB9C5" w:rsidR="00863D33" w:rsidRPr="002C7DEE" w:rsidRDefault="00863D33" w:rsidP="00075724">
      <w:pPr>
        <w:jc w:val="both"/>
        <w:rPr>
          <w:rFonts w:ascii="Times" w:hAnsi="Times" w:cstheme="majorHAnsi"/>
          <w:sz w:val="22"/>
          <w:szCs w:val="22"/>
        </w:rPr>
      </w:pPr>
    </w:p>
    <w:p w14:paraId="19FCA2A5" w14:textId="0C8595B9" w:rsidR="00132EF4" w:rsidRPr="002C7DEE" w:rsidRDefault="00132EF4" w:rsidP="00075724">
      <w:pPr>
        <w:jc w:val="both"/>
        <w:rPr>
          <w:rFonts w:ascii="Times" w:hAnsi="Times" w:cstheme="majorHAnsi"/>
          <w:sz w:val="22"/>
          <w:szCs w:val="22"/>
        </w:rPr>
      </w:pPr>
      <w:r w:rsidRPr="002C7DEE">
        <w:rPr>
          <w:rFonts w:ascii="Times" w:hAnsi="Times" w:cstheme="majorHAnsi"/>
          <w:sz w:val="22"/>
          <w:szCs w:val="22"/>
        </w:rPr>
        <w:br w:type="page"/>
      </w:r>
    </w:p>
    <w:p w14:paraId="7BCD86C9" w14:textId="7D8B7BDE" w:rsidR="00863D33" w:rsidRPr="002C7DEE" w:rsidRDefault="00132EF4" w:rsidP="000D1F14">
      <w:pPr>
        <w:pStyle w:val="Heading1"/>
        <w:rPr>
          <w:rFonts w:ascii="Times" w:hAnsi="Times" w:cstheme="majorHAnsi"/>
          <w:sz w:val="22"/>
          <w:szCs w:val="22"/>
        </w:rPr>
      </w:pPr>
      <w:bookmarkStart w:id="31" w:name="_Toc166235163"/>
      <w:r w:rsidRPr="002C7DEE">
        <w:rPr>
          <w:rFonts w:ascii="Times" w:hAnsi="Times" w:cstheme="majorHAnsi"/>
          <w:sz w:val="22"/>
          <w:szCs w:val="22"/>
        </w:rPr>
        <w:lastRenderedPageBreak/>
        <w:t>Appendi</w:t>
      </w:r>
      <w:r w:rsidR="000A40CC" w:rsidRPr="002C7DEE">
        <w:rPr>
          <w:rFonts w:ascii="Times" w:hAnsi="Times" w:cstheme="majorHAnsi"/>
          <w:sz w:val="22"/>
          <w:szCs w:val="22"/>
        </w:rPr>
        <w:t>ces</w:t>
      </w:r>
      <w:bookmarkEnd w:id="31"/>
    </w:p>
    <w:p w14:paraId="149D53A6" w14:textId="35F27A68" w:rsidR="00132EF4" w:rsidRPr="002C7DEE" w:rsidRDefault="00132EF4" w:rsidP="00075724">
      <w:pPr>
        <w:jc w:val="both"/>
        <w:rPr>
          <w:rFonts w:ascii="Times" w:hAnsi="Times" w:cstheme="majorHAnsi"/>
          <w:sz w:val="22"/>
          <w:szCs w:val="22"/>
        </w:rPr>
      </w:pPr>
    </w:p>
    <w:p w14:paraId="324EB9C1" w14:textId="04B31B23" w:rsidR="00837849" w:rsidRPr="002C7DEE" w:rsidRDefault="000D1F14" w:rsidP="00075724">
      <w:pPr>
        <w:jc w:val="both"/>
        <w:rPr>
          <w:rFonts w:ascii="Times" w:hAnsi="Times" w:cstheme="majorHAnsi"/>
          <w:sz w:val="22"/>
          <w:szCs w:val="22"/>
        </w:rPr>
      </w:pPr>
      <w:r>
        <w:rPr>
          <w:rFonts w:ascii="Times" w:hAnsi="Times" w:cstheme="majorHAnsi"/>
          <w:sz w:val="22"/>
          <w:szCs w:val="22"/>
        </w:rPr>
        <w:t>Summary of relevant time points</w:t>
      </w:r>
    </w:p>
    <w:tbl>
      <w:tblPr>
        <w:tblStyle w:val="TableGrid"/>
        <w:tblW w:w="9207" w:type="dxa"/>
        <w:tblLook w:val="04A0" w:firstRow="1" w:lastRow="0" w:firstColumn="1" w:lastColumn="0" w:noHBand="0" w:noVBand="1"/>
      </w:tblPr>
      <w:tblGrid>
        <w:gridCol w:w="2547"/>
        <w:gridCol w:w="6660"/>
      </w:tblGrid>
      <w:tr w:rsidR="00837849" w:rsidRPr="00904585" w14:paraId="6C23F450" w14:textId="77777777" w:rsidTr="00837849">
        <w:trPr>
          <w:trHeight w:val="292"/>
        </w:trPr>
        <w:tc>
          <w:tcPr>
            <w:tcW w:w="2547" w:type="dxa"/>
          </w:tcPr>
          <w:p w14:paraId="66F3144B" w14:textId="4187AEB3"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Time point</w:t>
            </w:r>
          </w:p>
        </w:tc>
        <w:tc>
          <w:tcPr>
            <w:tcW w:w="6660" w:type="dxa"/>
          </w:tcPr>
          <w:p w14:paraId="165E7038" w14:textId="77777777" w:rsidR="00837849" w:rsidRPr="002C7DEE" w:rsidRDefault="00837849" w:rsidP="00075724">
            <w:pPr>
              <w:jc w:val="both"/>
              <w:rPr>
                <w:rFonts w:ascii="Times" w:hAnsi="Times" w:cstheme="majorHAnsi"/>
                <w:sz w:val="22"/>
                <w:szCs w:val="22"/>
              </w:rPr>
            </w:pPr>
          </w:p>
        </w:tc>
      </w:tr>
      <w:tr w:rsidR="00837849" w:rsidRPr="00904585" w14:paraId="7789D9C5" w14:textId="77777777" w:rsidTr="00837849">
        <w:trPr>
          <w:trHeight w:val="865"/>
        </w:trPr>
        <w:tc>
          <w:tcPr>
            <w:tcW w:w="2547" w:type="dxa"/>
          </w:tcPr>
          <w:p w14:paraId="50FED830" w14:textId="79F23F87"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Referral for consideration</w:t>
            </w:r>
          </w:p>
        </w:tc>
        <w:tc>
          <w:tcPr>
            <w:tcW w:w="6660" w:type="dxa"/>
          </w:tcPr>
          <w:p w14:paraId="5BB87BA2" w14:textId="3227C607"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Informing clinicians through outpatient clinics at Monash Health and privately, including obstetric clinics</w:t>
            </w:r>
          </w:p>
        </w:tc>
      </w:tr>
      <w:tr w:rsidR="00837849" w:rsidRPr="00904585" w14:paraId="50E24CBB" w14:textId="77777777" w:rsidTr="00837849">
        <w:trPr>
          <w:trHeight w:val="865"/>
        </w:trPr>
        <w:tc>
          <w:tcPr>
            <w:tcW w:w="2547" w:type="dxa"/>
          </w:tcPr>
          <w:p w14:paraId="3A608C36" w14:textId="571AEAFE"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 xml:space="preserve">Initial review </w:t>
            </w:r>
          </w:p>
        </w:tc>
        <w:tc>
          <w:tcPr>
            <w:tcW w:w="6660" w:type="dxa"/>
          </w:tcPr>
          <w:p w14:paraId="26751F43" w14:textId="0E5F8057"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Chart review to screen for eligibility. Primary clinician to broach topic with patient and supply PICF.</w:t>
            </w:r>
          </w:p>
          <w:p w14:paraId="00CB51C4" w14:textId="2879D2D0"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Check that patient has script, standard of care blood tests within 4 weeks (FBE, UEC).</w:t>
            </w:r>
          </w:p>
          <w:p w14:paraId="24EFC3DE" w14:textId="1C8751F2"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Arrange for formal review in MHTP.</w:t>
            </w:r>
          </w:p>
        </w:tc>
      </w:tr>
      <w:tr w:rsidR="00837849" w:rsidRPr="00904585" w14:paraId="0D9614E7" w14:textId="77777777" w:rsidTr="00837849">
        <w:trPr>
          <w:trHeight w:val="280"/>
        </w:trPr>
        <w:tc>
          <w:tcPr>
            <w:tcW w:w="2547" w:type="dxa"/>
          </w:tcPr>
          <w:p w14:paraId="14A68CEF" w14:textId="1CD5633D"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Screening review MHTP</w:t>
            </w:r>
          </w:p>
        </w:tc>
        <w:tc>
          <w:tcPr>
            <w:tcW w:w="6660" w:type="dxa"/>
          </w:tcPr>
          <w:p w14:paraId="260575AF" w14:textId="77777777"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30 minute medical review in person (or telehealth/telephone if unable to attend in person).</w:t>
            </w:r>
          </w:p>
          <w:p w14:paraId="4932E419" w14:textId="7E821749"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 xml:space="preserve">Ensure patient has script and SOC bloods as above – to be arranged if not. </w:t>
            </w:r>
          </w:p>
          <w:p w14:paraId="31F15ADC" w14:textId="436DD9A8"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 xml:space="preserve">Assess suitability and stability on </w:t>
            </w:r>
            <w:r w:rsidR="00D70309">
              <w:rPr>
                <w:rFonts w:ascii="Times" w:hAnsi="Times" w:cstheme="majorHAnsi"/>
                <w:sz w:val="22"/>
                <w:szCs w:val="22"/>
              </w:rPr>
              <w:t>LMWH</w:t>
            </w:r>
            <w:r w:rsidRPr="002C7DEE">
              <w:rPr>
                <w:rFonts w:ascii="Times" w:hAnsi="Times" w:cstheme="majorHAnsi"/>
                <w:sz w:val="22"/>
                <w:szCs w:val="22"/>
              </w:rPr>
              <w:t xml:space="preserve">, including any need for aXa level testing. </w:t>
            </w:r>
          </w:p>
          <w:p w14:paraId="3A2CDE35" w14:textId="6843DBF1"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 xml:space="preserve">Change </w:t>
            </w:r>
            <w:r w:rsidR="00D70309">
              <w:rPr>
                <w:rFonts w:ascii="Times" w:hAnsi="Times" w:cstheme="majorHAnsi"/>
                <w:sz w:val="22"/>
                <w:szCs w:val="22"/>
              </w:rPr>
              <w:t>LMWH</w:t>
            </w:r>
            <w:r w:rsidR="00D70309" w:rsidRPr="002C7DEE">
              <w:rPr>
                <w:rFonts w:ascii="Times" w:hAnsi="Times" w:cstheme="majorHAnsi"/>
                <w:sz w:val="22"/>
                <w:szCs w:val="22"/>
              </w:rPr>
              <w:t xml:space="preserve"> </w:t>
            </w:r>
            <w:r w:rsidRPr="002C7DEE">
              <w:rPr>
                <w:rFonts w:ascii="Times" w:hAnsi="Times" w:cstheme="majorHAnsi"/>
                <w:sz w:val="22"/>
                <w:szCs w:val="22"/>
              </w:rPr>
              <w:t>dosing time to 8am to facilitate peak aXa testing (bring forward 12hrs for following dose then change to 8am ongoing).</w:t>
            </w:r>
          </w:p>
          <w:p w14:paraId="77D86193" w14:textId="24A4E26A"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Supply PICF and field any questions.</w:t>
            </w:r>
          </w:p>
          <w:p w14:paraId="54796EFC" w14:textId="05B610F7"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Baseline height and weight.</w:t>
            </w:r>
          </w:p>
        </w:tc>
      </w:tr>
      <w:tr w:rsidR="00837849" w:rsidRPr="00904585" w14:paraId="29D01E0A" w14:textId="77777777" w:rsidTr="00837849">
        <w:trPr>
          <w:trHeight w:val="292"/>
        </w:trPr>
        <w:tc>
          <w:tcPr>
            <w:tcW w:w="2547" w:type="dxa"/>
          </w:tcPr>
          <w:p w14:paraId="51ACACD8" w14:textId="6A98EB0F"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Consent and D1 of treatment</w:t>
            </w:r>
          </w:p>
        </w:tc>
        <w:tc>
          <w:tcPr>
            <w:tcW w:w="6660" w:type="dxa"/>
          </w:tcPr>
          <w:p w14:paraId="3C3D1640" w14:textId="648EB7C6"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30 minute doctor review.</w:t>
            </w:r>
          </w:p>
          <w:p w14:paraId="686FCCE2" w14:textId="18AF1E83" w:rsidR="00837849" w:rsidRPr="002C7DEE" w:rsidRDefault="00837849" w:rsidP="00075724">
            <w:pPr>
              <w:jc w:val="both"/>
              <w:rPr>
                <w:rFonts w:ascii="Times" w:hAnsi="Times" w:cstheme="majorHAnsi"/>
                <w:sz w:val="22"/>
                <w:szCs w:val="22"/>
              </w:rPr>
            </w:pPr>
            <w:r w:rsidRPr="002C7DEE">
              <w:rPr>
                <w:rFonts w:ascii="Times" w:hAnsi="Times" w:cstheme="majorHAnsi"/>
                <w:sz w:val="22"/>
                <w:szCs w:val="22"/>
              </w:rPr>
              <w:t xml:space="preserve">30 minute nursing review for training on administration via subcut catheter, insertion of catheter and </w:t>
            </w:r>
            <w:r w:rsidR="0018285A" w:rsidRPr="002C7DEE">
              <w:rPr>
                <w:rFonts w:ascii="Times" w:hAnsi="Times" w:cstheme="majorHAnsi"/>
                <w:sz w:val="22"/>
                <w:szCs w:val="22"/>
              </w:rPr>
              <w:t xml:space="preserve">first dose. </w:t>
            </w:r>
          </w:p>
        </w:tc>
      </w:tr>
      <w:tr w:rsidR="00837849" w:rsidRPr="00904585" w14:paraId="74DD06C5" w14:textId="77777777" w:rsidTr="00837849">
        <w:trPr>
          <w:trHeight w:val="292"/>
        </w:trPr>
        <w:tc>
          <w:tcPr>
            <w:tcW w:w="2547" w:type="dxa"/>
          </w:tcPr>
          <w:p w14:paraId="301D3BA7" w14:textId="0C429867" w:rsidR="00837849" w:rsidRPr="002C7DEE" w:rsidRDefault="0018285A" w:rsidP="00075724">
            <w:pPr>
              <w:jc w:val="both"/>
              <w:rPr>
                <w:rFonts w:ascii="Times" w:hAnsi="Times" w:cstheme="majorHAnsi"/>
                <w:sz w:val="22"/>
                <w:szCs w:val="22"/>
              </w:rPr>
            </w:pPr>
            <w:r w:rsidRPr="002C7DEE">
              <w:rPr>
                <w:rFonts w:ascii="Times" w:hAnsi="Times" w:cstheme="majorHAnsi"/>
                <w:sz w:val="22"/>
                <w:szCs w:val="22"/>
              </w:rPr>
              <w:t>Day 2</w:t>
            </w:r>
          </w:p>
        </w:tc>
        <w:tc>
          <w:tcPr>
            <w:tcW w:w="6660" w:type="dxa"/>
          </w:tcPr>
          <w:p w14:paraId="130FA7FE" w14:textId="77777777" w:rsidR="00837849" w:rsidRPr="002C7DEE" w:rsidRDefault="0018285A" w:rsidP="00075724">
            <w:pPr>
              <w:jc w:val="both"/>
              <w:rPr>
                <w:rFonts w:ascii="Times" w:hAnsi="Times" w:cstheme="majorHAnsi"/>
                <w:sz w:val="22"/>
                <w:szCs w:val="22"/>
              </w:rPr>
            </w:pPr>
            <w:r w:rsidRPr="002C7DEE">
              <w:rPr>
                <w:rFonts w:ascii="Times" w:hAnsi="Times" w:cstheme="majorHAnsi"/>
                <w:sz w:val="22"/>
                <w:szCs w:val="22"/>
              </w:rPr>
              <w:t xml:space="preserve">30 minutes nursing time </w:t>
            </w:r>
          </w:p>
          <w:p w14:paraId="1076C534" w14:textId="0F93DABE"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Peak aXa level collected in CTC (12pm +/- 1hour for 8am dose)</w:t>
            </w:r>
          </w:p>
          <w:p w14:paraId="6C863D39" w14:textId="07C07642"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Assessment of catheter site (figure C)</w:t>
            </w:r>
          </w:p>
        </w:tc>
      </w:tr>
      <w:tr w:rsidR="0018285A" w:rsidRPr="00904585" w14:paraId="78755AA6" w14:textId="77777777" w:rsidTr="00837849">
        <w:trPr>
          <w:trHeight w:val="292"/>
        </w:trPr>
        <w:tc>
          <w:tcPr>
            <w:tcW w:w="2547" w:type="dxa"/>
          </w:tcPr>
          <w:p w14:paraId="1B5C2F18" w14:textId="158C10C2"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Day 3</w:t>
            </w:r>
          </w:p>
        </w:tc>
        <w:tc>
          <w:tcPr>
            <w:tcW w:w="6660" w:type="dxa"/>
          </w:tcPr>
          <w:p w14:paraId="3A876D35" w14:textId="77AE5440"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Phone call to patient to ensure they are tolerating the catheter (doctor)</w:t>
            </w:r>
          </w:p>
        </w:tc>
      </w:tr>
      <w:tr w:rsidR="00837849" w:rsidRPr="00904585" w14:paraId="7B21AF15" w14:textId="77777777" w:rsidTr="00837849">
        <w:trPr>
          <w:trHeight w:val="280"/>
        </w:trPr>
        <w:tc>
          <w:tcPr>
            <w:tcW w:w="2547" w:type="dxa"/>
          </w:tcPr>
          <w:p w14:paraId="5E59A77B" w14:textId="56915F78" w:rsidR="00837849" w:rsidRPr="002C7DEE" w:rsidRDefault="0018285A" w:rsidP="00075724">
            <w:pPr>
              <w:jc w:val="both"/>
              <w:rPr>
                <w:rFonts w:ascii="Times" w:hAnsi="Times" w:cstheme="majorHAnsi"/>
                <w:sz w:val="22"/>
                <w:szCs w:val="22"/>
              </w:rPr>
            </w:pPr>
            <w:r w:rsidRPr="002C7DEE">
              <w:rPr>
                <w:rFonts w:ascii="Times" w:hAnsi="Times" w:cstheme="majorHAnsi"/>
                <w:sz w:val="22"/>
                <w:szCs w:val="22"/>
              </w:rPr>
              <w:t>Day 5</w:t>
            </w:r>
          </w:p>
        </w:tc>
        <w:tc>
          <w:tcPr>
            <w:tcW w:w="6660" w:type="dxa"/>
          </w:tcPr>
          <w:p w14:paraId="33F6CDA8" w14:textId="77777777" w:rsidR="00837849" w:rsidRPr="002C7DEE" w:rsidRDefault="0018285A" w:rsidP="00075724">
            <w:pPr>
              <w:jc w:val="both"/>
              <w:rPr>
                <w:rFonts w:ascii="Times" w:hAnsi="Times" w:cstheme="majorHAnsi"/>
                <w:sz w:val="22"/>
                <w:szCs w:val="22"/>
              </w:rPr>
            </w:pPr>
            <w:r w:rsidRPr="002C7DEE">
              <w:rPr>
                <w:rFonts w:ascii="Times" w:hAnsi="Times" w:cstheme="majorHAnsi"/>
                <w:sz w:val="22"/>
                <w:szCs w:val="22"/>
              </w:rPr>
              <w:t>15 minute doctor review</w:t>
            </w:r>
          </w:p>
          <w:p w14:paraId="0FAEE6D8" w14:textId="77777777"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30 minute nursing review</w:t>
            </w:r>
          </w:p>
          <w:p w14:paraId="440F7536" w14:textId="3AF8AD94"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Peak aXa level collected in CTC (12pm +/- 1hour for 8am dose)</w:t>
            </w:r>
          </w:p>
          <w:p w14:paraId="7127E9D1" w14:textId="1B1D2619"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Assessment of catheter site (figure C)</w:t>
            </w:r>
          </w:p>
          <w:p w14:paraId="307AF386" w14:textId="335AAD98"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Daily impact of subcutaneous catheter survey supplied (Figure A),  to be collected on day 7</w:t>
            </w:r>
          </w:p>
        </w:tc>
      </w:tr>
      <w:tr w:rsidR="00837849" w:rsidRPr="00904585" w14:paraId="0BE26A6E" w14:textId="77777777" w:rsidTr="00837849">
        <w:trPr>
          <w:trHeight w:val="292"/>
        </w:trPr>
        <w:tc>
          <w:tcPr>
            <w:tcW w:w="2547" w:type="dxa"/>
          </w:tcPr>
          <w:p w14:paraId="5646AD4B" w14:textId="0769C7FF" w:rsidR="00837849" w:rsidRPr="002C7DEE" w:rsidRDefault="0018285A" w:rsidP="00075724">
            <w:pPr>
              <w:jc w:val="both"/>
              <w:rPr>
                <w:rFonts w:ascii="Times" w:hAnsi="Times" w:cstheme="majorHAnsi"/>
                <w:sz w:val="22"/>
                <w:szCs w:val="22"/>
              </w:rPr>
            </w:pPr>
            <w:r w:rsidRPr="002C7DEE">
              <w:rPr>
                <w:rFonts w:ascii="Times" w:hAnsi="Times" w:cstheme="majorHAnsi"/>
                <w:sz w:val="22"/>
                <w:szCs w:val="22"/>
              </w:rPr>
              <w:t>Day 7</w:t>
            </w:r>
          </w:p>
        </w:tc>
        <w:tc>
          <w:tcPr>
            <w:tcW w:w="6660" w:type="dxa"/>
          </w:tcPr>
          <w:p w14:paraId="0784602D" w14:textId="77777777" w:rsidR="00837849" w:rsidRPr="002C7DEE" w:rsidRDefault="0018285A" w:rsidP="00075724">
            <w:pPr>
              <w:jc w:val="both"/>
              <w:rPr>
                <w:rFonts w:ascii="Times" w:hAnsi="Times" w:cstheme="majorHAnsi"/>
                <w:sz w:val="22"/>
                <w:szCs w:val="22"/>
              </w:rPr>
            </w:pPr>
            <w:r w:rsidRPr="002C7DEE">
              <w:rPr>
                <w:rFonts w:ascii="Times" w:hAnsi="Times" w:cstheme="majorHAnsi"/>
                <w:sz w:val="22"/>
                <w:szCs w:val="22"/>
              </w:rPr>
              <w:t>30 minute doctor review</w:t>
            </w:r>
          </w:p>
          <w:p w14:paraId="0C95E38D" w14:textId="77777777"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30 minute nursing review</w:t>
            </w:r>
          </w:p>
          <w:p w14:paraId="2EFD9BF2" w14:textId="15B4662E"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Peak aXa level collected in CTC (12pm +/- 1hour for 8am dose)</w:t>
            </w:r>
          </w:p>
          <w:p w14:paraId="44C0C282" w14:textId="7716C889"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Removal of catheter and assessment of catheter site (figure C)</w:t>
            </w:r>
          </w:p>
          <w:p w14:paraId="7072E90A" w14:textId="7A624B00"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Collect patient questionnaire (figure A)</w:t>
            </w:r>
          </w:p>
        </w:tc>
      </w:tr>
      <w:tr w:rsidR="0018285A" w:rsidRPr="00904585" w14:paraId="0A85A702" w14:textId="77777777" w:rsidTr="00837849">
        <w:trPr>
          <w:trHeight w:val="292"/>
        </w:trPr>
        <w:tc>
          <w:tcPr>
            <w:tcW w:w="2547" w:type="dxa"/>
          </w:tcPr>
          <w:p w14:paraId="3A880A95" w14:textId="185E0F48"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Washout period, restart at D1</w:t>
            </w:r>
          </w:p>
        </w:tc>
        <w:tc>
          <w:tcPr>
            <w:tcW w:w="6660" w:type="dxa"/>
          </w:tcPr>
          <w:p w14:paraId="100AD478" w14:textId="1FF369C2"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All patients to revert to subcutaneous injections for a minimum of 5 days</w:t>
            </w:r>
          </w:p>
        </w:tc>
      </w:tr>
      <w:tr w:rsidR="0018285A" w:rsidRPr="00904585" w14:paraId="0A8FE0BC" w14:textId="77777777" w:rsidTr="00837849">
        <w:trPr>
          <w:trHeight w:val="292"/>
        </w:trPr>
        <w:tc>
          <w:tcPr>
            <w:tcW w:w="2547" w:type="dxa"/>
          </w:tcPr>
          <w:p w14:paraId="5B875A4E" w14:textId="32A9CE37"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Day 7</w:t>
            </w:r>
          </w:p>
        </w:tc>
        <w:tc>
          <w:tcPr>
            <w:tcW w:w="6660" w:type="dxa"/>
          </w:tcPr>
          <w:p w14:paraId="0B2B3D8F" w14:textId="77777777"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30 minute nursing review</w:t>
            </w:r>
          </w:p>
          <w:p w14:paraId="1C470A3E" w14:textId="77777777"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Peak aXa level collected in CTC (12pm +/- 1hour for 8am dose)</w:t>
            </w:r>
          </w:p>
          <w:p w14:paraId="72A04BFB" w14:textId="1850D8E4"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Assess site of previous catheter (figure </w:t>
            </w:r>
            <w:r w:rsidR="00CB07E7" w:rsidRPr="002C7DEE">
              <w:rPr>
                <w:rFonts w:ascii="Times" w:hAnsi="Times" w:cstheme="majorHAnsi"/>
                <w:sz w:val="22"/>
                <w:szCs w:val="22"/>
              </w:rPr>
              <w:t>D</w:t>
            </w:r>
            <w:r w:rsidRPr="002C7DEE">
              <w:rPr>
                <w:rFonts w:ascii="Times" w:hAnsi="Times" w:cstheme="majorHAnsi"/>
                <w:sz w:val="22"/>
                <w:szCs w:val="22"/>
              </w:rPr>
              <w:t>)</w:t>
            </w:r>
          </w:p>
        </w:tc>
      </w:tr>
      <w:tr w:rsidR="0018285A" w:rsidRPr="00904585" w14:paraId="2679B09A" w14:textId="77777777" w:rsidTr="00837849">
        <w:trPr>
          <w:trHeight w:val="292"/>
        </w:trPr>
        <w:tc>
          <w:tcPr>
            <w:tcW w:w="2547" w:type="dxa"/>
          </w:tcPr>
          <w:p w14:paraId="6653772F" w14:textId="5F82A8FE"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Day 10</w:t>
            </w:r>
          </w:p>
        </w:tc>
        <w:tc>
          <w:tcPr>
            <w:tcW w:w="6660" w:type="dxa"/>
          </w:tcPr>
          <w:p w14:paraId="0B9E01EB" w14:textId="77777777"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30 minute doctor review</w:t>
            </w:r>
          </w:p>
          <w:p w14:paraId="2EFEF07D" w14:textId="77777777"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15 minute nursing review</w:t>
            </w:r>
          </w:p>
          <w:p w14:paraId="47C21C60" w14:textId="77777777"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Peak aXa level collected in CTC (12pm +/- 1hour for 8am dose)</w:t>
            </w:r>
          </w:p>
          <w:p w14:paraId="2B102C21" w14:textId="274A427A" w:rsidR="0018285A" w:rsidRPr="002C7DEE" w:rsidRDefault="0018285A" w:rsidP="00075724">
            <w:pPr>
              <w:pStyle w:val="ListParagraph"/>
              <w:numPr>
                <w:ilvl w:val="0"/>
                <w:numId w:val="1"/>
              </w:numPr>
              <w:jc w:val="both"/>
              <w:rPr>
                <w:rFonts w:ascii="Times" w:hAnsi="Times" w:cstheme="majorHAnsi"/>
                <w:sz w:val="22"/>
                <w:szCs w:val="22"/>
              </w:rPr>
            </w:pPr>
            <w:r w:rsidRPr="002C7DEE">
              <w:rPr>
                <w:rFonts w:ascii="Times" w:hAnsi="Times" w:cstheme="majorHAnsi"/>
                <w:sz w:val="22"/>
                <w:szCs w:val="22"/>
              </w:rPr>
              <w:t xml:space="preserve">Patient acceptance questionnaire completed (figure </w:t>
            </w:r>
            <w:r w:rsidR="00CB07E7" w:rsidRPr="002C7DEE">
              <w:rPr>
                <w:rFonts w:ascii="Times" w:hAnsi="Times" w:cstheme="majorHAnsi"/>
                <w:sz w:val="22"/>
                <w:szCs w:val="22"/>
              </w:rPr>
              <w:t>E</w:t>
            </w:r>
            <w:r w:rsidRPr="002C7DEE">
              <w:rPr>
                <w:rFonts w:ascii="Times" w:hAnsi="Times" w:cstheme="majorHAnsi"/>
                <w:sz w:val="22"/>
                <w:szCs w:val="22"/>
              </w:rPr>
              <w:t>)</w:t>
            </w:r>
          </w:p>
        </w:tc>
      </w:tr>
      <w:tr w:rsidR="0018285A" w:rsidRPr="00904585" w14:paraId="651C9F46" w14:textId="77777777" w:rsidTr="00837849">
        <w:trPr>
          <w:trHeight w:val="292"/>
        </w:trPr>
        <w:tc>
          <w:tcPr>
            <w:tcW w:w="2547" w:type="dxa"/>
          </w:tcPr>
          <w:p w14:paraId="5FFEA3E2" w14:textId="2108AD3A"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Day 30</w:t>
            </w:r>
          </w:p>
        </w:tc>
        <w:tc>
          <w:tcPr>
            <w:tcW w:w="6660" w:type="dxa"/>
          </w:tcPr>
          <w:p w14:paraId="46E1F263" w14:textId="7C2F2928"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Phone call to assess for any bleeding or progressive thrombosis</w:t>
            </w:r>
          </w:p>
        </w:tc>
      </w:tr>
      <w:tr w:rsidR="0018285A" w:rsidRPr="00904585" w14:paraId="2FB55BD5" w14:textId="77777777" w:rsidTr="00837849">
        <w:trPr>
          <w:trHeight w:val="292"/>
        </w:trPr>
        <w:tc>
          <w:tcPr>
            <w:tcW w:w="2547" w:type="dxa"/>
          </w:tcPr>
          <w:p w14:paraId="778A6A4C" w14:textId="5B36C1C3"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Day 60</w:t>
            </w:r>
          </w:p>
        </w:tc>
        <w:tc>
          <w:tcPr>
            <w:tcW w:w="6660" w:type="dxa"/>
          </w:tcPr>
          <w:p w14:paraId="141CCB71" w14:textId="2C37B33C"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Phone call to assess for any bleeding or progressive thrombosis</w:t>
            </w:r>
          </w:p>
        </w:tc>
      </w:tr>
      <w:tr w:rsidR="0018285A" w:rsidRPr="00904585" w14:paraId="4E4C8618" w14:textId="77777777" w:rsidTr="00837849">
        <w:trPr>
          <w:trHeight w:val="292"/>
        </w:trPr>
        <w:tc>
          <w:tcPr>
            <w:tcW w:w="2547" w:type="dxa"/>
          </w:tcPr>
          <w:p w14:paraId="3486CBD4" w14:textId="03CC46A5" w:rsidR="0018285A" w:rsidRPr="002C7DEE" w:rsidRDefault="0018285A" w:rsidP="00075724">
            <w:pPr>
              <w:jc w:val="both"/>
              <w:rPr>
                <w:rFonts w:ascii="Times" w:hAnsi="Times" w:cstheme="majorHAnsi"/>
                <w:sz w:val="22"/>
                <w:szCs w:val="22"/>
              </w:rPr>
            </w:pPr>
            <w:r w:rsidRPr="002C7DEE">
              <w:rPr>
                <w:rFonts w:ascii="Times" w:hAnsi="Times" w:cstheme="majorHAnsi"/>
                <w:sz w:val="22"/>
                <w:szCs w:val="22"/>
              </w:rPr>
              <w:t>Day 90</w:t>
            </w:r>
          </w:p>
        </w:tc>
        <w:tc>
          <w:tcPr>
            <w:tcW w:w="6660" w:type="dxa"/>
          </w:tcPr>
          <w:p w14:paraId="32464EDF" w14:textId="6FE3D1D2" w:rsidR="0018285A" w:rsidRPr="002C7DEE" w:rsidRDefault="0018285A" w:rsidP="00075724">
            <w:pPr>
              <w:jc w:val="both"/>
              <w:rPr>
                <w:rFonts w:ascii="Times" w:hAnsi="Times" w:cstheme="majorHAnsi"/>
                <w:b/>
                <w:sz w:val="22"/>
                <w:szCs w:val="22"/>
              </w:rPr>
            </w:pPr>
            <w:r w:rsidRPr="002C7DEE">
              <w:rPr>
                <w:rFonts w:ascii="Times" w:hAnsi="Times" w:cstheme="majorHAnsi"/>
                <w:sz w:val="22"/>
                <w:szCs w:val="22"/>
              </w:rPr>
              <w:t>Phone call to assess for any bleeding or progressive thrombosis</w:t>
            </w:r>
          </w:p>
        </w:tc>
      </w:tr>
    </w:tbl>
    <w:p w14:paraId="505C8732" w14:textId="08BB566B" w:rsidR="00837849" w:rsidRPr="002C7DEE" w:rsidRDefault="00837849" w:rsidP="00075724">
      <w:pPr>
        <w:jc w:val="both"/>
        <w:rPr>
          <w:rFonts w:ascii="Times" w:hAnsi="Times" w:cstheme="majorHAnsi"/>
          <w:sz w:val="22"/>
          <w:szCs w:val="22"/>
        </w:rPr>
      </w:pPr>
    </w:p>
    <w:p w14:paraId="15EF04C4" w14:textId="77777777" w:rsidR="00837849" w:rsidRPr="002C7DEE" w:rsidRDefault="00837849" w:rsidP="00075724">
      <w:pPr>
        <w:jc w:val="both"/>
        <w:rPr>
          <w:rFonts w:ascii="Times" w:hAnsi="Times" w:cstheme="majorHAnsi"/>
          <w:sz w:val="22"/>
          <w:szCs w:val="22"/>
        </w:rPr>
      </w:pPr>
    </w:p>
    <w:p w14:paraId="41493FF9" w14:textId="77777777" w:rsidR="00BD76F2" w:rsidRPr="002C7DEE" w:rsidRDefault="00BD76F2" w:rsidP="00075724">
      <w:pPr>
        <w:jc w:val="both"/>
        <w:rPr>
          <w:rFonts w:ascii="Times" w:hAnsi="Times" w:cstheme="majorHAnsi"/>
          <w:sz w:val="22"/>
          <w:szCs w:val="22"/>
        </w:rPr>
      </w:pPr>
    </w:p>
    <w:p w14:paraId="2547ED88" w14:textId="77777777" w:rsidR="000A40CC" w:rsidRPr="002C7DEE" w:rsidRDefault="000A40CC" w:rsidP="00075724">
      <w:pPr>
        <w:jc w:val="both"/>
        <w:rPr>
          <w:rFonts w:ascii="Times" w:hAnsi="Times" w:cstheme="majorHAnsi"/>
          <w:sz w:val="22"/>
          <w:szCs w:val="22"/>
        </w:rPr>
      </w:pPr>
    </w:p>
    <w:p w14:paraId="671E0D5D" w14:textId="1220EE2B" w:rsidR="0018285A" w:rsidRPr="002C7DEE" w:rsidRDefault="0018285A" w:rsidP="000D1F14">
      <w:pPr>
        <w:pStyle w:val="Heading2"/>
        <w:rPr>
          <w:rFonts w:ascii="Times" w:hAnsi="Times" w:cstheme="majorHAnsi"/>
          <w:sz w:val="22"/>
          <w:szCs w:val="22"/>
        </w:rPr>
      </w:pPr>
      <w:bookmarkStart w:id="32" w:name="_Toc166235164"/>
      <w:r w:rsidRPr="002C7DEE">
        <w:rPr>
          <w:rFonts w:ascii="Times" w:hAnsi="Times" w:cstheme="majorHAnsi"/>
          <w:sz w:val="22"/>
          <w:szCs w:val="22"/>
        </w:rPr>
        <w:t xml:space="preserve">Figure A. Daily life impact of subcutaneous catheters </w:t>
      </w:r>
      <w:r w:rsidR="00105020" w:rsidRPr="002C7DEE">
        <w:rPr>
          <w:rFonts w:ascii="Times" w:hAnsi="Times" w:cstheme="majorHAnsi"/>
          <w:sz w:val="22"/>
          <w:szCs w:val="22"/>
        </w:rPr>
        <w:t>(participants to complete)</w:t>
      </w:r>
      <w:bookmarkEnd w:id="32"/>
    </w:p>
    <w:tbl>
      <w:tblPr>
        <w:tblStyle w:val="TableGrid"/>
        <w:tblW w:w="9326" w:type="dxa"/>
        <w:tblLayout w:type="fixed"/>
        <w:tblLook w:val="04A0" w:firstRow="1" w:lastRow="0" w:firstColumn="1" w:lastColumn="0" w:noHBand="0" w:noVBand="1"/>
      </w:tblPr>
      <w:tblGrid>
        <w:gridCol w:w="3217"/>
        <w:gridCol w:w="1018"/>
        <w:gridCol w:w="1018"/>
        <w:gridCol w:w="1018"/>
        <w:gridCol w:w="1018"/>
        <w:gridCol w:w="1018"/>
        <w:gridCol w:w="1019"/>
      </w:tblGrid>
      <w:tr w:rsidR="0018285A" w:rsidRPr="00904585" w14:paraId="6C60E9F5" w14:textId="77777777" w:rsidTr="0018285A">
        <w:trPr>
          <w:trHeight w:val="726"/>
        </w:trPr>
        <w:tc>
          <w:tcPr>
            <w:tcW w:w="3217" w:type="dxa"/>
          </w:tcPr>
          <w:p w14:paraId="06F3A71E"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How much does the subcutaneous catheter impact on a scale of 1-5, 1 being not at all and 5 being significantly</w:t>
            </w:r>
          </w:p>
          <w:p w14:paraId="4C5EE6D1" w14:textId="77777777" w:rsidR="0018285A" w:rsidRPr="002C7DEE" w:rsidRDefault="0018285A" w:rsidP="00075724">
            <w:pPr>
              <w:jc w:val="both"/>
              <w:rPr>
                <w:rFonts w:ascii="Times" w:hAnsi="Times" w:cstheme="majorHAnsi"/>
                <w:sz w:val="18"/>
                <w:szCs w:val="18"/>
              </w:rPr>
            </w:pPr>
          </w:p>
        </w:tc>
        <w:tc>
          <w:tcPr>
            <w:tcW w:w="1018" w:type="dxa"/>
          </w:tcPr>
          <w:p w14:paraId="6FC9AD40"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1</w:t>
            </w:r>
          </w:p>
        </w:tc>
        <w:tc>
          <w:tcPr>
            <w:tcW w:w="1018" w:type="dxa"/>
          </w:tcPr>
          <w:p w14:paraId="27085B79"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2</w:t>
            </w:r>
          </w:p>
        </w:tc>
        <w:tc>
          <w:tcPr>
            <w:tcW w:w="1018" w:type="dxa"/>
          </w:tcPr>
          <w:p w14:paraId="06AA081A"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3</w:t>
            </w:r>
          </w:p>
        </w:tc>
        <w:tc>
          <w:tcPr>
            <w:tcW w:w="1018" w:type="dxa"/>
          </w:tcPr>
          <w:p w14:paraId="44058A70"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4</w:t>
            </w:r>
          </w:p>
        </w:tc>
        <w:tc>
          <w:tcPr>
            <w:tcW w:w="1018" w:type="dxa"/>
          </w:tcPr>
          <w:p w14:paraId="239CBEFC"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5</w:t>
            </w:r>
          </w:p>
        </w:tc>
        <w:tc>
          <w:tcPr>
            <w:tcW w:w="1019" w:type="dxa"/>
          </w:tcPr>
          <w:p w14:paraId="4F578A49"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Unsure</w:t>
            </w:r>
          </w:p>
        </w:tc>
      </w:tr>
      <w:tr w:rsidR="0018285A" w:rsidRPr="00904585" w14:paraId="18F5D111" w14:textId="77777777" w:rsidTr="0018285A">
        <w:trPr>
          <w:trHeight w:val="173"/>
        </w:trPr>
        <w:tc>
          <w:tcPr>
            <w:tcW w:w="3217" w:type="dxa"/>
          </w:tcPr>
          <w:p w14:paraId="5CFC5B3B"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Showering</w:t>
            </w:r>
          </w:p>
        </w:tc>
        <w:tc>
          <w:tcPr>
            <w:tcW w:w="1018" w:type="dxa"/>
          </w:tcPr>
          <w:p w14:paraId="5844D0C1" w14:textId="77777777" w:rsidR="0018285A" w:rsidRPr="002C7DEE" w:rsidRDefault="0018285A" w:rsidP="00075724">
            <w:pPr>
              <w:jc w:val="both"/>
              <w:rPr>
                <w:rFonts w:ascii="Times" w:hAnsi="Times" w:cstheme="majorHAnsi"/>
                <w:sz w:val="18"/>
                <w:szCs w:val="18"/>
              </w:rPr>
            </w:pPr>
          </w:p>
        </w:tc>
        <w:tc>
          <w:tcPr>
            <w:tcW w:w="1018" w:type="dxa"/>
          </w:tcPr>
          <w:p w14:paraId="630972A6" w14:textId="77777777" w:rsidR="0018285A" w:rsidRPr="002C7DEE" w:rsidRDefault="0018285A" w:rsidP="00075724">
            <w:pPr>
              <w:jc w:val="both"/>
              <w:rPr>
                <w:rFonts w:ascii="Times" w:hAnsi="Times" w:cstheme="majorHAnsi"/>
                <w:sz w:val="18"/>
                <w:szCs w:val="18"/>
              </w:rPr>
            </w:pPr>
          </w:p>
        </w:tc>
        <w:tc>
          <w:tcPr>
            <w:tcW w:w="1018" w:type="dxa"/>
          </w:tcPr>
          <w:p w14:paraId="7C8031C7" w14:textId="77777777" w:rsidR="0018285A" w:rsidRPr="002C7DEE" w:rsidRDefault="0018285A" w:rsidP="00075724">
            <w:pPr>
              <w:jc w:val="both"/>
              <w:rPr>
                <w:rFonts w:ascii="Times" w:hAnsi="Times" w:cstheme="majorHAnsi"/>
                <w:sz w:val="18"/>
                <w:szCs w:val="18"/>
              </w:rPr>
            </w:pPr>
          </w:p>
        </w:tc>
        <w:tc>
          <w:tcPr>
            <w:tcW w:w="1018" w:type="dxa"/>
          </w:tcPr>
          <w:p w14:paraId="5D029993" w14:textId="77777777" w:rsidR="0018285A" w:rsidRPr="002C7DEE" w:rsidRDefault="0018285A" w:rsidP="00075724">
            <w:pPr>
              <w:jc w:val="both"/>
              <w:rPr>
                <w:rFonts w:ascii="Times" w:hAnsi="Times" w:cstheme="majorHAnsi"/>
                <w:sz w:val="18"/>
                <w:szCs w:val="18"/>
              </w:rPr>
            </w:pPr>
          </w:p>
        </w:tc>
        <w:tc>
          <w:tcPr>
            <w:tcW w:w="1018" w:type="dxa"/>
          </w:tcPr>
          <w:p w14:paraId="47CA8706" w14:textId="77777777" w:rsidR="0018285A" w:rsidRPr="002C7DEE" w:rsidRDefault="0018285A" w:rsidP="00075724">
            <w:pPr>
              <w:jc w:val="both"/>
              <w:rPr>
                <w:rFonts w:ascii="Times" w:hAnsi="Times" w:cstheme="majorHAnsi"/>
                <w:sz w:val="18"/>
                <w:szCs w:val="18"/>
              </w:rPr>
            </w:pPr>
          </w:p>
        </w:tc>
        <w:tc>
          <w:tcPr>
            <w:tcW w:w="1019" w:type="dxa"/>
          </w:tcPr>
          <w:p w14:paraId="3FAADD3A" w14:textId="77777777" w:rsidR="0018285A" w:rsidRPr="002C7DEE" w:rsidRDefault="0018285A" w:rsidP="00075724">
            <w:pPr>
              <w:jc w:val="both"/>
              <w:rPr>
                <w:rFonts w:ascii="Times" w:hAnsi="Times" w:cstheme="majorHAnsi"/>
                <w:sz w:val="18"/>
                <w:szCs w:val="18"/>
              </w:rPr>
            </w:pPr>
          </w:p>
        </w:tc>
      </w:tr>
      <w:tr w:rsidR="0018285A" w:rsidRPr="00904585" w14:paraId="53F4D5D8" w14:textId="77777777" w:rsidTr="0018285A">
        <w:trPr>
          <w:trHeight w:val="183"/>
        </w:trPr>
        <w:tc>
          <w:tcPr>
            <w:tcW w:w="3217" w:type="dxa"/>
          </w:tcPr>
          <w:p w14:paraId="2962283C"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Sleeping</w:t>
            </w:r>
          </w:p>
        </w:tc>
        <w:tc>
          <w:tcPr>
            <w:tcW w:w="1018" w:type="dxa"/>
          </w:tcPr>
          <w:p w14:paraId="35AE3BF9" w14:textId="77777777" w:rsidR="0018285A" w:rsidRPr="002C7DEE" w:rsidRDefault="0018285A" w:rsidP="00075724">
            <w:pPr>
              <w:jc w:val="both"/>
              <w:rPr>
                <w:rFonts w:ascii="Times" w:hAnsi="Times" w:cstheme="majorHAnsi"/>
                <w:sz w:val="18"/>
                <w:szCs w:val="18"/>
              </w:rPr>
            </w:pPr>
          </w:p>
        </w:tc>
        <w:tc>
          <w:tcPr>
            <w:tcW w:w="1018" w:type="dxa"/>
          </w:tcPr>
          <w:p w14:paraId="783F7F71" w14:textId="77777777" w:rsidR="0018285A" w:rsidRPr="002C7DEE" w:rsidRDefault="0018285A" w:rsidP="00075724">
            <w:pPr>
              <w:jc w:val="both"/>
              <w:rPr>
                <w:rFonts w:ascii="Times" w:hAnsi="Times" w:cstheme="majorHAnsi"/>
                <w:sz w:val="18"/>
                <w:szCs w:val="18"/>
              </w:rPr>
            </w:pPr>
          </w:p>
        </w:tc>
        <w:tc>
          <w:tcPr>
            <w:tcW w:w="1018" w:type="dxa"/>
          </w:tcPr>
          <w:p w14:paraId="370916E6" w14:textId="77777777" w:rsidR="0018285A" w:rsidRPr="002C7DEE" w:rsidRDefault="0018285A" w:rsidP="00075724">
            <w:pPr>
              <w:jc w:val="both"/>
              <w:rPr>
                <w:rFonts w:ascii="Times" w:hAnsi="Times" w:cstheme="majorHAnsi"/>
                <w:sz w:val="18"/>
                <w:szCs w:val="18"/>
              </w:rPr>
            </w:pPr>
          </w:p>
        </w:tc>
        <w:tc>
          <w:tcPr>
            <w:tcW w:w="1018" w:type="dxa"/>
          </w:tcPr>
          <w:p w14:paraId="72C05157" w14:textId="77777777" w:rsidR="0018285A" w:rsidRPr="002C7DEE" w:rsidRDefault="0018285A" w:rsidP="00075724">
            <w:pPr>
              <w:jc w:val="both"/>
              <w:rPr>
                <w:rFonts w:ascii="Times" w:hAnsi="Times" w:cstheme="majorHAnsi"/>
                <w:sz w:val="18"/>
                <w:szCs w:val="18"/>
              </w:rPr>
            </w:pPr>
          </w:p>
        </w:tc>
        <w:tc>
          <w:tcPr>
            <w:tcW w:w="1018" w:type="dxa"/>
          </w:tcPr>
          <w:p w14:paraId="56FD6400" w14:textId="77777777" w:rsidR="0018285A" w:rsidRPr="002C7DEE" w:rsidRDefault="0018285A" w:rsidP="00075724">
            <w:pPr>
              <w:jc w:val="both"/>
              <w:rPr>
                <w:rFonts w:ascii="Times" w:hAnsi="Times" w:cstheme="majorHAnsi"/>
                <w:sz w:val="18"/>
                <w:szCs w:val="18"/>
              </w:rPr>
            </w:pPr>
          </w:p>
        </w:tc>
        <w:tc>
          <w:tcPr>
            <w:tcW w:w="1019" w:type="dxa"/>
          </w:tcPr>
          <w:p w14:paraId="51F23555" w14:textId="77777777" w:rsidR="0018285A" w:rsidRPr="002C7DEE" w:rsidRDefault="0018285A" w:rsidP="00075724">
            <w:pPr>
              <w:jc w:val="both"/>
              <w:rPr>
                <w:rFonts w:ascii="Times" w:hAnsi="Times" w:cstheme="majorHAnsi"/>
                <w:sz w:val="18"/>
                <w:szCs w:val="18"/>
              </w:rPr>
            </w:pPr>
          </w:p>
        </w:tc>
      </w:tr>
      <w:tr w:rsidR="0018285A" w:rsidRPr="00904585" w14:paraId="36EF3E46" w14:textId="77777777" w:rsidTr="0018285A">
        <w:trPr>
          <w:trHeight w:val="173"/>
        </w:trPr>
        <w:tc>
          <w:tcPr>
            <w:tcW w:w="3217" w:type="dxa"/>
          </w:tcPr>
          <w:p w14:paraId="72BCA2BF"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Dressing</w:t>
            </w:r>
          </w:p>
        </w:tc>
        <w:tc>
          <w:tcPr>
            <w:tcW w:w="1018" w:type="dxa"/>
          </w:tcPr>
          <w:p w14:paraId="49BC6D13" w14:textId="77777777" w:rsidR="0018285A" w:rsidRPr="002C7DEE" w:rsidRDefault="0018285A" w:rsidP="00075724">
            <w:pPr>
              <w:jc w:val="both"/>
              <w:rPr>
                <w:rFonts w:ascii="Times" w:hAnsi="Times" w:cstheme="majorHAnsi"/>
                <w:sz w:val="18"/>
                <w:szCs w:val="18"/>
              </w:rPr>
            </w:pPr>
          </w:p>
        </w:tc>
        <w:tc>
          <w:tcPr>
            <w:tcW w:w="1018" w:type="dxa"/>
          </w:tcPr>
          <w:p w14:paraId="5CB15D20" w14:textId="77777777" w:rsidR="0018285A" w:rsidRPr="002C7DEE" w:rsidRDefault="0018285A" w:rsidP="00075724">
            <w:pPr>
              <w:jc w:val="both"/>
              <w:rPr>
                <w:rFonts w:ascii="Times" w:hAnsi="Times" w:cstheme="majorHAnsi"/>
                <w:sz w:val="18"/>
                <w:szCs w:val="18"/>
              </w:rPr>
            </w:pPr>
          </w:p>
        </w:tc>
        <w:tc>
          <w:tcPr>
            <w:tcW w:w="1018" w:type="dxa"/>
          </w:tcPr>
          <w:p w14:paraId="1B4E6BB2" w14:textId="77777777" w:rsidR="0018285A" w:rsidRPr="002C7DEE" w:rsidRDefault="0018285A" w:rsidP="00075724">
            <w:pPr>
              <w:jc w:val="both"/>
              <w:rPr>
                <w:rFonts w:ascii="Times" w:hAnsi="Times" w:cstheme="majorHAnsi"/>
                <w:sz w:val="18"/>
                <w:szCs w:val="18"/>
              </w:rPr>
            </w:pPr>
          </w:p>
        </w:tc>
        <w:tc>
          <w:tcPr>
            <w:tcW w:w="1018" w:type="dxa"/>
          </w:tcPr>
          <w:p w14:paraId="2A8641B0" w14:textId="77777777" w:rsidR="0018285A" w:rsidRPr="002C7DEE" w:rsidRDefault="0018285A" w:rsidP="00075724">
            <w:pPr>
              <w:jc w:val="both"/>
              <w:rPr>
                <w:rFonts w:ascii="Times" w:hAnsi="Times" w:cstheme="majorHAnsi"/>
                <w:sz w:val="18"/>
                <w:szCs w:val="18"/>
              </w:rPr>
            </w:pPr>
          </w:p>
        </w:tc>
        <w:tc>
          <w:tcPr>
            <w:tcW w:w="1018" w:type="dxa"/>
          </w:tcPr>
          <w:p w14:paraId="7B92D559" w14:textId="77777777" w:rsidR="0018285A" w:rsidRPr="002C7DEE" w:rsidRDefault="0018285A" w:rsidP="00075724">
            <w:pPr>
              <w:jc w:val="both"/>
              <w:rPr>
                <w:rFonts w:ascii="Times" w:hAnsi="Times" w:cstheme="majorHAnsi"/>
                <w:sz w:val="18"/>
                <w:szCs w:val="18"/>
              </w:rPr>
            </w:pPr>
          </w:p>
        </w:tc>
        <w:tc>
          <w:tcPr>
            <w:tcW w:w="1019" w:type="dxa"/>
          </w:tcPr>
          <w:p w14:paraId="4B0FC46C" w14:textId="77777777" w:rsidR="0018285A" w:rsidRPr="002C7DEE" w:rsidRDefault="0018285A" w:rsidP="00075724">
            <w:pPr>
              <w:jc w:val="both"/>
              <w:rPr>
                <w:rFonts w:ascii="Times" w:hAnsi="Times" w:cstheme="majorHAnsi"/>
                <w:sz w:val="18"/>
                <w:szCs w:val="18"/>
              </w:rPr>
            </w:pPr>
          </w:p>
        </w:tc>
      </w:tr>
      <w:tr w:rsidR="0018285A" w:rsidRPr="00904585" w14:paraId="64719223" w14:textId="77777777" w:rsidTr="0018285A">
        <w:trPr>
          <w:trHeight w:val="183"/>
        </w:trPr>
        <w:tc>
          <w:tcPr>
            <w:tcW w:w="3217" w:type="dxa"/>
          </w:tcPr>
          <w:p w14:paraId="1334D182"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Exercise</w:t>
            </w:r>
          </w:p>
        </w:tc>
        <w:tc>
          <w:tcPr>
            <w:tcW w:w="1018" w:type="dxa"/>
          </w:tcPr>
          <w:p w14:paraId="6C56260A" w14:textId="77777777" w:rsidR="0018285A" w:rsidRPr="002C7DEE" w:rsidRDefault="0018285A" w:rsidP="00075724">
            <w:pPr>
              <w:jc w:val="both"/>
              <w:rPr>
                <w:rFonts w:ascii="Times" w:hAnsi="Times" w:cstheme="majorHAnsi"/>
                <w:sz w:val="18"/>
                <w:szCs w:val="18"/>
              </w:rPr>
            </w:pPr>
          </w:p>
        </w:tc>
        <w:tc>
          <w:tcPr>
            <w:tcW w:w="1018" w:type="dxa"/>
          </w:tcPr>
          <w:p w14:paraId="3FFE4837" w14:textId="77777777" w:rsidR="0018285A" w:rsidRPr="002C7DEE" w:rsidRDefault="0018285A" w:rsidP="00075724">
            <w:pPr>
              <w:jc w:val="both"/>
              <w:rPr>
                <w:rFonts w:ascii="Times" w:hAnsi="Times" w:cstheme="majorHAnsi"/>
                <w:sz w:val="18"/>
                <w:szCs w:val="18"/>
              </w:rPr>
            </w:pPr>
          </w:p>
        </w:tc>
        <w:tc>
          <w:tcPr>
            <w:tcW w:w="1018" w:type="dxa"/>
          </w:tcPr>
          <w:p w14:paraId="1925461E" w14:textId="77777777" w:rsidR="0018285A" w:rsidRPr="002C7DEE" w:rsidRDefault="0018285A" w:rsidP="00075724">
            <w:pPr>
              <w:jc w:val="both"/>
              <w:rPr>
                <w:rFonts w:ascii="Times" w:hAnsi="Times" w:cstheme="majorHAnsi"/>
                <w:sz w:val="18"/>
                <w:szCs w:val="18"/>
              </w:rPr>
            </w:pPr>
          </w:p>
        </w:tc>
        <w:tc>
          <w:tcPr>
            <w:tcW w:w="1018" w:type="dxa"/>
          </w:tcPr>
          <w:p w14:paraId="45FFA219" w14:textId="77777777" w:rsidR="0018285A" w:rsidRPr="002C7DEE" w:rsidRDefault="0018285A" w:rsidP="00075724">
            <w:pPr>
              <w:jc w:val="both"/>
              <w:rPr>
                <w:rFonts w:ascii="Times" w:hAnsi="Times" w:cstheme="majorHAnsi"/>
                <w:sz w:val="18"/>
                <w:szCs w:val="18"/>
              </w:rPr>
            </w:pPr>
          </w:p>
        </w:tc>
        <w:tc>
          <w:tcPr>
            <w:tcW w:w="1018" w:type="dxa"/>
          </w:tcPr>
          <w:p w14:paraId="7AFA7192" w14:textId="77777777" w:rsidR="0018285A" w:rsidRPr="002C7DEE" w:rsidRDefault="0018285A" w:rsidP="00075724">
            <w:pPr>
              <w:jc w:val="both"/>
              <w:rPr>
                <w:rFonts w:ascii="Times" w:hAnsi="Times" w:cstheme="majorHAnsi"/>
                <w:sz w:val="18"/>
                <w:szCs w:val="18"/>
              </w:rPr>
            </w:pPr>
          </w:p>
        </w:tc>
        <w:tc>
          <w:tcPr>
            <w:tcW w:w="1019" w:type="dxa"/>
          </w:tcPr>
          <w:p w14:paraId="74E3DBBB" w14:textId="77777777" w:rsidR="0018285A" w:rsidRPr="002C7DEE" w:rsidRDefault="0018285A" w:rsidP="00075724">
            <w:pPr>
              <w:jc w:val="both"/>
              <w:rPr>
                <w:rFonts w:ascii="Times" w:hAnsi="Times" w:cstheme="majorHAnsi"/>
                <w:sz w:val="18"/>
                <w:szCs w:val="18"/>
              </w:rPr>
            </w:pPr>
          </w:p>
        </w:tc>
      </w:tr>
      <w:tr w:rsidR="0018285A" w:rsidRPr="00904585" w14:paraId="51435EB1" w14:textId="77777777" w:rsidTr="0018285A">
        <w:trPr>
          <w:trHeight w:val="173"/>
        </w:trPr>
        <w:tc>
          <w:tcPr>
            <w:tcW w:w="3217" w:type="dxa"/>
          </w:tcPr>
          <w:p w14:paraId="740036A2" w14:textId="77777777" w:rsidR="0018285A" w:rsidRPr="002C7DEE" w:rsidRDefault="0018285A" w:rsidP="00075724">
            <w:pPr>
              <w:jc w:val="both"/>
              <w:rPr>
                <w:rFonts w:ascii="Times" w:hAnsi="Times" w:cstheme="majorHAnsi"/>
                <w:sz w:val="18"/>
                <w:szCs w:val="18"/>
              </w:rPr>
            </w:pPr>
            <w:r w:rsidRPr="002C7DEE">
              <w:rPr>
                <w:rFonts w:ascii="Times" w:hAnsi="Times" w:cstheme="majorHAnsi"/>
                <w:sz w:val="18"/>
                <w:szCs w:val="18"/>
              </w:rPr>
              <w:t>Daily activity overall</w:t>
            </w:r>
          </w:p>
        </w:tc>
        <w:tc>
          <w:tcPr>
            <w:tcW w:w="1018" w:type="dxa"/>
          </w:tcPr>
          <w:p w14:paraId="473CD099" w14:textId="77777777" w:rsidR="0018285A" w:rsidRPr="002C7DEE" w:rsidRDefault="0018285A" w:rsidP="00075724">
            <w:pPr>
              <w:jc w:val="both"/>
              <w:rPr>
                <w:rFonts w:ascii="Times" w:hAnsi="Times" w:cstheme="majorHAnsi"/>
                <w:sz w:val="18"/>
                <w:szCs w:val="18"/>
              </w:rPr>
            </w:pPr>
          </w:p>
        </w:tc>
        <w:tc>
          <w:tcPr>
            <w:tcW w:w="1018" w:type="dxa"/>
          </w:tcPr>
          <w:p w14:paraId="031B5F38" w14:textId="77777777" w:rsidR="0018285A" w:rsidRPr="002C7DEE" w:rsidRDefault="0018285A" w:rsidP="00075724">
            <w:pPr>
              <w:jc w:val="both"/>
              <w:rPr>
                <w:rFonts w:ascii="Times" w:hAnsi="Times" w:cstheme="majorHAnsi"/>
                <w:sz w:val="18"/>
                <w:szCs w:val="18"/>
              </w:rPr>
            </w:pPr>
          </w:p>
        </w:tc>
        <w:tc>
          <w:tcPr>
            <w:tcW w:w="1018" w:type="dxa"/>
          </w:tcPr>
          <w:p w14:paraId="4C208E75" w14:textId="77777777" w:rsidR="0018285A" w:rsidRPr="002C7DEE" w:rsidRDefault="0018285A" w:rsidP="00075724">
            <w:pPr>
              <w:jc w:val="both"/>
              <w:rPr>
                <w:rFonts w:ascii="Times" w:hAnsi="Times" w:cstheme="majorHAnsi"/>
                <w:sz w:val="18"/>
                <w:szCs w:val="18"/>
              </w:rPr>
            </w:pPr>
          </w:p>
        </w:tc>
        <w:tc>
          <w:tcPr>
            <w:tcW w:w="1018" w:type="dxa"/>
          </w:tcPr>
          <w:p w14:paraId="1805F14E" w14:textId="77777777" w:rsidR="0018285A" w:rsidRPr="002C7DEE" w:rsidRDefault="0018285A" w:rsidP="00075724">
            <w:pPr>
              <w:jc w:val="both"/>
              <w:rPr>
                <w:rFonts w:ascii="Times" w:hAnsi="Times" w:cstheme="majorHAnsi"/>
                <w:sz w:val="18"/>
                <w:szCs w:val="18"/>
              </w:rPr>
            </w:pPr>
          </w:p>
        </w:tc>
        <w:tc>
          <w:tcPr>
            <w:tcW w:w="1018" w:type="dxa"/>
          </w:tcPr>
          <w:p w14:paraId="3706FCCD" w14:textId="77777777" w:rsidR="0018285A" w:rsidRPr="002C7DEE" w:rsidRDefault="0018285A" w:rsidP="00075724">
            <w:pPr>
              <w:jc w:val="both"/>
              <w:rPr>
                <w:rFonts w:ascii="Times" w:hAnsi="Times" w:cstheme="majorHAnsi"/>
                <w:sz w:val="18"/>
                <w:szCs w:val="18"/>
              </w:rPr>
            </w:pPr>
          </w:p>
        </w:tc>
        <w:tc>
          <w:tcPr>
            <w:tcW w:w="1019" w:type="dxa"/>
          </w:tcPr>
          <w:p w14:paraId="221D188B" w14:textId="77777777" w:rsidR="0018285A" w:rsidRPr="002C7DEE" w:rsidRDefault="0018285A" w:rsidP="00075724">
            <w:pPr>
              <w:jc w:val="both"/>
              <w:rPr>
                <w:rFonts w:ascii="Times" w:hAnsi="Times" w:cstheme="majorHAnsi"/>
                <w:sz w:val="18"/>
                <w:szCs w:val="18"/>
              </w:rPr>
            </w:pPr>
          </w:p>
        </w:tc>
      </w:tr>
    </w:tbl>
    <w:p w14:paraId="779148B2" w14:textId="77777777" w:rsidR="000D1F14" w:rsidRDefault="000D1F14" w:rsidP="00075724">
      <w:pPr>
        <w:jc w:val="both"/>
        <w:rPr>
          <w:rFonts w:ascii="Times" w:hAnsi="Times" w:cstheme="majorHAnsi"/>
          <w:sz w:val="22"/>
          <w:szCs w:val="22"/>
        </w:rPr>
      </w:pPr>
    </w:p>
    <w:p w14:paraId="44C59977" w14:textId="61E8E7D4" w:rsidR="00CB07E7" w:rsidRPr="002C7DEE" w:rsidRDefault="00CB07E7" w:rsidP="00075724">
      <w:pPr>
        <w:jc w:val="both"/>
        <w:rPr>
          <w:rFonts w:ascii="Times" w:hAnsi="Times" w:cstheme="majorHAnsi"/>
          <w:sz w:val="22"/>
          <w:szCs w:val="22"/>
        </w:rPr>
      </w:pPr>
      <w:r w:rsidRPr="002C7DEE">
        <w:rPr>
          <w:rFonts w:ascii="Times" w:hAnsi="Times" w:cstheme="majorHAnsi"/>
          <w:sz w:val="22"/>
          <w:szCs w:val="22"/>
        </w:rPr>
        <w:t>Visual analogue scale can be used if required (10 on VAS equates to 5 on numerical scale)</w:t>
      </w:r>
    </w:p>
    <w:p w14:paraId="3F1292FF" w14:textId="1B9EDC49" w:rsidR="00CB07E7" w:rsidRPr="002C7DEE" w:rsidRDefault="00CB07E7" w:rsidP="00075724">
      <w:pPr>
        <w:jc w:val="both"/>
        <w:rPr>
          <w:rFonts w:ascii="Times" w:hAnsi="Times" w:cstheme="majorHAnsi"/>
          <w:sz w:val="22"/>
          <w:szCs w:val="22"/>
        </w:rPr>
      </w:pPr>
    </w:p>
    <w:p w14:paraId="14730708" w14:textId="77777777" w:rsidR="000D1F14" w:rsidRDefault="000D1F14" w:rsidP="000D1F14">
      <w:pPr>
        <w:pStyle w:val="Heading2"/>
        <w:rPr>
          <w:rFonts w:ascii="Times" w:hAnsi="Times" w:cstheme="majorHAnsi"/>
          <w:sz w:val="22"/>
          <w:szCs w:val="22"/>
        </w:rPr>
      </w:pPr>
      <w:bookmarkStart w:id="33" w:name="_Toc166235165"/>
      <w:r w:rsidRPr="002C7DEE">
        <w:rPr>
          <w:rFonts w:ascii="Times" w:hAnsi="Times" w:cstheme="majorHAnsi"/>
          <w:sz w:val="22"/>
          <w:szCs w:val="22"/>
        </w:rPr>
        <w:t>Visual analogue score for insertion of catheter</w:t>
      </w:r>
      <w:bookmarkEnd w:id="33"/>
      <w:r w:rsidRPr="002C7DEE">
        <w:rPr>
          <w:rFonts w:ascii="Times" w:hAnsi="Times" w:cstheme="majorHAnsi"/>
          <w:sz w:val="22"/>
          <w:szCs w:val="22"/>
        </w:rPr>
        <w:t xml:space="preserve"> </w:t>
      </w:r>
    </w:p>
    <w:p w14:paraId="1BE18551" w14:textId="77777777" w:rsidR="000D1F14" w:rsidRPr="002C7DEE" w:rsidRDefault="000D1F14" w:rsidP="000D1F14">
      <w:pPr>
        <w:jc w:val="both"/>
        <w:rPr>
          <w:rFonts w:ascii="Times" w:hAnsi="Times" w:cstheme="majorHAnsi"/>
          <w:sz w:val="22"/>
          <w:szCs w:val="22"/>
        </w:rPr>
      </w:pPr>
      <w:r w:rsidRPr="002C7DEE">
        <w:rPr>
          <w:rFonts w:ascii="Times" w:hAnsi="Times" w:cstheme="majorHAnsi"/>
          <w:noProof/>
          <w:sz w:val="22"/>
          <w:szCs w:val="22"/>
          <w:lang w:eastAsia="en-AU"/>
        </w:rPr>
        <w:drawing>
          <wp:inline distT="0" distB="0" distL="0" distR="0" wp14:anchorId="35C42BE0" wp14:editId="41D3F3BC">
            <wp:extent cx="257810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78100" cy="1028700"/>
                    </a:xfrm>
                    <a:prstGeom prst="rect">
                      <a:avLst/>
                    </a:prstGeom>
                  </pic:spPr>
                </pic:pic>
              </a:graphicData>
            </a:graphic>
          </wp:inline>
        </w:drawing>
      </w:r>
    </w:p>
    <w:p w14:paraId="7E69338C" w14:textId="6D749A81" w:rsidR="0018285A" w:rsidRPr="002C7DEE" w:rsidRDefault="0018285A" w:rsidP="00075724">
      <w:pPr>
        <w:jc w:val="both"/>
        <w:rPr>
          <w:rFonts w:ascii="Times" w:hAnsi="Times" w:cstheme="majorHAnsi"/>
          <w:sz w:val="22"/>
          <w:szCs w:val="22"/>
        </w:rPr>
      </w:pPr>
    </w:p>
    <w:p w14:paraId="2D584B57" w14:textId="77777777" w:rsidR="00CB07E7" w:rsidRPr="002C7DEE" w:rsidRDefault="00CB07E7" w:rsidP="00075724">
      <w:pPr>
        <w:jc w:val="both"/>
        <w:rPr>
          <w:rFonts w:ascii="Times" w:hAnsi="Times" w:cstheme="majorHAnsi"/>
          <w:sz w:val="22"/>
          <w:szCs w:val="22"/>
        </w:rPr>
      </w:pPr>
    </w:p>
    <w:p w14:paraId="25FEDD01" w14:textId="55D80CA1" w:rsidR="00132EF4" w:rsidRPr="002C7DEE" w:rsidRDefault="00132EF4" w:rsidP="000D1F14">
      <w:pPr>
        <w:pStyle w:val="Heading2"/>
        <w:rPr>
          <w:rFonts w:ascii="Times" w:hAnsi="Times" w:cstheme="majorHAnsi"/>
          <w:sz w:val="22"/>
          <w:szCs w:val="22"/>
        </w:rPr>
      </w:pPr>
      <w:bookmarkStart w:id="34" w:name="_Toc166235166"/>
      <w:r w:rsidRPr="002C7DEE">
        <w:rPr>
          <w:rFonts w:ascii="Times" w:hAnsi="Times" w:cstheme="majorHAnsi"/>
          <w:sz w:val="22"/>
          <w:szCs w:val="22"/>
        </w:rPr>
        <w:t xml:space="preserve">Figure </w:t>
      </w:r>
      <w:r w:rsidR="0018285A" w:rsidRPr="002C7DEE">
        <w:rPr>
          <w:rFonts w:ascii="Times" w:hAnsi="Times" w:cstheme="majorHAnsi"/>
          <w:sz w:val="22"/>
          <w:szCs w:val="22"/>
        </w:rPr>
        <w:t>B</w:t>
      </w:r>
      <w:r w:rsidR="00F925BE" w:rsidRPr="002C7DEE">
        <w:rPr>
          <w:rFonts w:ascii="Times" w:hAnsi="Times" w:cstheme="majorHAnsi"/>
          <w:sz w:val="22"/>
          <w:szCs w:val="22"/>
        </w:rPr>
        <w:t xml:space="preserve">. </w:t>
      </w:r>
      <w:r w:rsidR="0018285A" w:rsidRPr="002C7DEE">
        <w:rPr>
          <w:rFonts w:ascii="Times" w:hAnsi="Times" w:cstheme="majorHAnsi"/>
          <w:sz w:val="22"/>
          <w:szCs w:val="22"/>
        </w:rPr>
        <w:t>Final a</w:t>
      </w:r>
      <w:r w:rsidRPr="002C7DEE">
        <w:rPr>
          <w:rFonts w:ascii="Times" w:hAnsi="Times" w:cstheme="majorHAnsi"/>
          <w:sz w:val="22"/>
          <w:szCs w:val="22"/>
        </w:rPr>
        <w:t xml:space="preserve">cceptability of subcutaneous catheters </w:t>
      </w:r>
      <w:r w:rsidR="00105020" w:rsidRPr="002C7DEE">
        <w:rPr>
          <w:rFonts w:ascii="Times" w:hAnsi="Times" w:cstheme="majorHAnsi"/>
          <w:sz w:val="22"/>
          <w:szCs w:val="22"/>
        </w:rPr>
        <w:t>(participants to complete)</w:t>
      </w:r>
      <w:bookmarkEnd w:id="34"/>
    </w:p>
    <w:tbl>
      <w:tblPr>
        <w:tblStyle w:val="TableGrid"/>
        <w:tblW w:w="9241" w:type="dxa"/>
        <w:tblLook w:val="04A0" w:firstRow="1" w:lastRow="0" w:firstColumn="1" w:lastColumn="0" w:noHBand="0" w:noVBand="1"/>
      </w:tblPr>
      <w:tblGrid>
        <w:gridCol w:w="5376"/>
        <w:gridCol w:w="1562"/>
        <w:gridCol w:w="1562"/>
        <w:gridCol w:w="741"/>
      </w:tblGrid>
      <w:tr w:rsidR="00132EF4" w:rsidRPr="00904585" w14:paraId="39FBC512" w14:textId="77777777" w:rsidTr="0018702F">
        <w:trPr>
          <w:trHeight w:val="274"/>
        </w:trPr>
        <w:tc>
          <w:tcPr>
            <w:tcW w:w="5376" w:type="dxa"/>
          </w:tcPr>
          <w:p w14:paraId="3D714588" w14:textId="77777777" w:rsidR="00132EF4" w:rsidRPr="002C7DEE" w:rsidRDefault="00132EF4" w:rsidP="00075724">
            <w:pPr>
              <w:jc w:val="both"/>
              <w:rPr>
                <w:rFonts w:ascii="Times" w:hAnsi="Times" w:cstheme="majorHAnsi"/>
                <w:sz w:val="18"/>
                <w:szCs w:val="18"/>
              </w:rPr>
            </w:pPr>
          </w:p>
        </w:tc>
        <w:tc>
          <w:tcPr>
            <w:tcW w:w="1562" w:type="dxa"/>
          </w:tcPr>
          <w:p w14:paraId="3D8547E6"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Subcutaneous catheter</w:t>
            </w:r>
          </w:p>
        </w:tc>
        <w:tc>
          <w:tcPr>
            <w:tcW w:w="1562" w:type="dxa"/>
          </w:tcPr>
          <w:p w14:paraId="3D24260F"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Subcutaneous injections</w:t>
            </w:r>
          </w:p>
        </w:tc>
        <w:tc>
          <w:tcPr>
            <w:tcW w:w="741" w:type="dxa"/>
          </w:tcPr>
          <w:p w14:paraId="2ED4EFAE"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Unsure</w:t>
            </w:r>
          </w:p>
        </w:tc>
      </w:tr>
      <w:tr w:rsidR="00132EF4" w:rsidRPr="00904585" w14:paraId="350FCFC6" w14:textId="77777777" w:rsidTr="0018702F">
        <w:trPr>
          <w:trHeight w:val="263"/>
        </w:trPr>
        <w:tc>
          <w:tcPr>
            <w:tcW w:w="5376" w:type="dxa"/>
          </w:tcPr>
          <w:p w14:paraId="0AC41BBC"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 xml:space="preserve">Compared to subcutaneous injections, which did you feel more anxious about </w:t>
            </w:r>
          </w:p>
        </w:tc>
        <w:tc>
          <w:tcPr>
            <w:tcW w:w="1562" w:type="dxa"/>
          </w:tcPr>
          <w:p w14:paraId="2068A6C2" w14:textId="77777777" w:rsidR="00132EF4" w:rsidRPr="002C7DEE" w:rsidRDefault="00132EF4" w:rsidP="00075724">
            <w:pPr>
              <w:jc w:val="both"/>
              <w:rPr>
                <w:rFonts w:ascii="Times" w:hAnsi="Times" w:cstheme="majorHAnsi"/>
                <w:sz w:val="18"/>
                <w:szCs w:val="18"/>
              </w:rPr>
            </w:pPr>
          </w:p>
        </w:tc>
        <w:tc>
          <w:tcPr>
            <w:tcW w:w="1562" w:type="dxa"/>
          </w:tcPr>
          <w:p w14:paraId="69D22170" w14:textId="77777777" w:rsidR="00132EF4" w:rsidRPr="002C7DEE" w:rsidRDefault="00132EF4" w:rsidP="00075724">
            <w:pPr>
              <w:ind w:left="360"/>
              <w:jc w:val="both"/>
              <w:rPr>
                <w:rFonts w:ascii="Times" w:hAnsi="Times" w:cstheme="majorHAnsi"/>
                <w:sz w:val="18"/>
                <w:szCs w:val="18"/>
              </w:rPr>
            </w:pPr>
          </w:p>
        </w:tc>
        <w:tc>
          <w:tcPr>
            <w:tcW w:w="741" w:type="dxa"/>
          </w:tcPr>
          <w:p w14:paraId="3D59B209" w14:textId="77777777" w:rsidR="00132EF4" w:rsidRPr="002C7DEE" w:rsidRDefault="00132EF4" w:rsidP="00075724">
            <w:pPr>
              <w:jc w:val="both"/>
              <w:rPr>
                <w:rFonts w:ascii="Times" w:hAnsi="Times" w:cstheme="majorHAnsi"/>
                <w:sz w:val="18"/>
                <w:szCs w:val="18"/>
              </w:rPr>
            </w:pPr>
          </w:p>
        </w:tc>
      </w:tr>
      <w:tr w:rsidR="00132EF4" w:rsidRPr="00904585" w14:paraId="3159B295" w14:textId="77777777" w:rsidTr="0018702F">
        <w:trPr>
          <w:trHeight w:val="263"/>
        </w:trPr>
        <w:tc>
          <w:tcPr>
            <w:tcW w:w="5376" w:type="dxa"/>
          </w:tcPr>
          <w:p w14:paraId="3AA2A3DD"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Which method of delivery had more of an impact on your life</w:t>
            </w:r>
          </w:p>
        </w:tc>
        <w:tc>
          <w:tcPr>
            <w:tcW w:w="1562" w:type="dxa"/>
          </w:tcPr>
          <w:p w14:paraId="0C753353" w14:textId="77777777" w:rsidR="00132EF4" w:rsidRPr="002C7DEE" w:rsidRDefault="00132EF4" w:rsidP="00075724">
            <w:pPr>
              <w:jc w:val="both"/>
              <w:rPr>
                <w:rFonts w:ascii="Times" w:hAnsi="Times" w:cstheme="majorHAnsi"/>
                <w:sz w:val="18"/>
                <w:szCs w:val="18"/>
              </w:rPr>
            </w:pPr>
          </w:p>
        </w:tc>
        <w:tc>
          <w:tcPr>
            <w:tcW w:w="1562" w:type="dxa"/>
          </w:tcPr>
          <w:p w14:paraId="073EA90F" w14:textId="77777777" w:rsidR="00132EF4" w:rsidRPr="002C7DEE" w:rsidRDefault="00132EF4" w:rsidP="00075724">
            <w:pPr>
              <w:ind w:left="360"/>
              <w:jc w:val="both"/>
              <w:rPr>
                <w:rFonts w:ascii="Times" w:hAnsi="Times" w:cstheme="majorHAnsi"/>
                <w:sz w:val="18"/>
                <w:szCs w:val="18"/>
              </w:rPr>
            </w:pPr>
          </w:p>
        </w:tc>
        <w:tc>
          <w:tcPr>
            <w:tcW w:w="741" w:type="dxa"/>
          </w:tcPr>
          <w:p w14:paraId="09E856E1" w14:textId="77777777" w:rsidR="00132EF4" w:rsidRPr="002C7DEE" w:rsidRDefault="00132EF4" w:rsidP="00075724">
            <w:pPr>
              <w:jc w:val="both"/>
              <w:rPr>
                <w:rFonts w:ascii="Times" w:hAnsi="Times" w:cstheme="majorHAnsi"/>
                <w:sz w:val="18"/>
                <w:szCs w:val="18"/>
              </w:rPr>
            </w:pPr>
          </w:p>
        </w:tc>
      </w:tr>
      <w:tr w:rsidR="00132EF4" w:rsidRPr="00904585" w14:paraId="39F58C1A" w14:textId="77777777" w:rsidTr="0018702F">
        <w:trPr>
          <w:trHeight w:val="263"/>
        </w:trPr>
        <w:tc>
          <w:tcPr>
            <w:tcW w:w="5376" w:type="dxa"/>
          </w:tcPr>
          <w:p w14:paraId="5924C47C"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Which method of delivery resulted in the most pain/discomfort</w:t>
            </w:r>
          </w:p>
        </w:tc>
        <w:tc>
          <w:tcPr>
            <w:tcW w:w="1562" w:type="dxa"/>
          </w:tcPr>
          <w:p w14:paraId="7292B863" w14:textId="77777777" w:rsidR="00132EF4" w:rsidRPr="002C7DEE" w:rsidRDefault="00132EF4" w:rsidP="00075724">
            <w:pPr>
              <w:jc w:val="both"/>
              <w:rPr>
                <w:rFonts w:ascii="Times" w:hAnsi="Times" w:cstheme="majorHAnsi"/>
                <w:sz w:val="18"/>
                <w:szCs w:val="18"/>
              </w:rPr>
            </w:pPr>
          </w:p>
        </w:tc>
        <w:tc>
          <w:tcPr>
            <w:tcW w:w="1562" w:type="dxa"/>
          </w:tcPr>
          <w:p w14:paraId="01B8AB06" w14:textId="77777777" w:rsidR="00132EF4" w:rsidRPr="002C7DEE" w:rsidRDefault="00132EF4" w:rsidP="00075724">
            <w:pPr>
              <w:ind w:left="360"/>
              <w:jc w:val="both"/>
              <w:rPr>
                <w:rFonts w:ascii="Times" w:hAnsi="Times" w:cstheme="majorHAnsi"/>
                <w:sz w:val="18"/>
                <w:szCs w:val="18"/>
              </w:rPr>
            </w:pPr>
          </w:p>
        </w:tc>
        <w:tc>
          <w:tcPr>
            <w:tcW w:w="741" w:type="dxa"/>
          </w:tcPr>
          <w:p w14:paraId="2485BECD" w14:textId="77777777" w:rsidR="00132EF4" w:rsidRPr="002C7DEE" w:rsidRDefault="00132EF4" w:rsidP="00075724">
            <w:pPr>
              <w:jc w:val="both"/>
              <w:rPr>
                <w:rFonts w:ascii="Times" w:hAnsi="Times" w:cstheme="majorHAnsi"/>
                <w:sz w:val="18"/>
                <w:szCs w:val="18"/>
              </w:rPr>
            </w:pPr>
          </w:p>
        </w:tc>
      </w:tr>
      <w:tr w:rsidR="00132EF4" w:rsidRPr="00904585" w14:paraId="11BA639A" w14:textId="77777777" w:rsidTr="0018702F">
        <w:trPr>
          <w:trHeight w:val="263"/>
        </w:trPr>
        <w:tc>
          <w:tcPr>
            <w:tcW w:w="5376" w:type="dxa"/>
          </w:tcPr>
          <w:p w14:paraId="1C0C92D2"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Which method of delivery was the easiest to manage</w:t>
            </w:r>
          </w:p>
        </w:tc>
        <w:tc>
          <w:tcPr>
            <w:tcW w:w="1562" w:type="dxa"/>
          </w:tcPr>
          <w:p w14:paraId="29693FCF" w14:textId="77777777" w:rsidR="00132EF4" w:rsidRPr="002C7DEE" w:rsidRDefault="00132EF4" w:rsidP="00075724">
            <w:pPr>
              <w:jc w:val="both"/>
              <w:rPr>
                <w:rFonts w:ascii="Times" w:hAnsi="Times" w:cstheme="majorHAnsi"/>
                <w:sz w:val="18"/>
                <w:szCs w:val="18"/>
              </w:rPr>
            </w:pPr>
          </w:p>
        </w:tc>
        <w:tc>
          <w:tcPr>
            <w:tcW w:w="1562" w:type="dxa"/>
          </w:tcPr>
          <w:p w14:paraId="45C1A08C" w14:textId="77777777" w:rsidR="00132EF4" w:rsidRPr="002C7DEE" w:rsidRDefault="00132EF4" w:rsidP="00075724">
            <w:pPr>
              <w:ind w:left="360"/>
              <w:jc w:val="both"/>
              <w:rPr>
                <w:rFonts w:ascii="Times" w:hAnsi="Times" w:cstheme="majorHAnsi"/>
                <w:sz w:val="18"/>
                <w:szCs w:val="18"/>
              </w:rPr>
            </w:pPr>
          </w:p>
        </w:tc>
        <w:tc>
          <w:tcPr>
            <w:tcW w:w="741" w:type="dxa"/>
          </w:tcPr>
          <w:p w14:paraId="3038E51D" w14:textId="77777777" w:rsidR="00132EF4" w:rsidRPr="002C7DEE" w:rsidRDefault="00132EF4" w:rsidP="00075724">
            <w:pPr>
              <w:jc w:val="both"/>
              <w:rPr>
                <w:rFonts w:ascii="Times" w:hAnsi="Times" w:cstheme="majorHAnsi"/>
                <w:sz w:val="18"/>
                <w:szCs w:val="18"/>
              </w:rPr>
            </w:pPr>
          </w:p>
        </w:tc>
      </w:tr>
      <w:tr w:rsidR="00132EF4" w:rsidRPr="00904585" w14:paraId="6C573D99" w14:textId="77777777" w:rsidTr="0018702F">
        <w:trPr>
          <w:trHeight w:val="263"/>
        </w:trPr>
        <w:tc>
          <w:tcPr>
            <w:tcW w:w="5376" w:type="dxa"/>
          </w:tcPr>
          <w:p w14:paraId="368BCB29" w14:textId="77777777" w:rsidR="00132EF4" w:rsidRPr="002C7DEE" w:rsidRDefault="00132EF4" w:rsidP="00075724">
            <w:pPr>
              <w:jc w:val="both"/>
              <w:rPr>
                <w:rFonts w:ascii="Times" w:hAnsi="Times" w:cstheme="majorHAnsi"/>
                <w:sz w:val="18"/>
                <w:szCs w:val="18"/>
              </w:rPr>
            </w:pPr>
            <w:r w:rsidRPr="002C7DEE">
              <w:rPr>
                <w:rFonts w:ascii="Times" w:hAnsi="Times" w:cstheme="majorHAnsi"/>
                <w:sz w:val="18"/>
                <w:szCs w:val="18"/>
              </w:rPr>
              <w:t xml:space="preserve">Which method of enoxaparin delivery do you prefer overall </w:t>
            </w:r>
          </w:p>
        </w:tc>
        <w:tc>
          <w:tcPr>
            <w:tcW w:w="1562" w:type="dxa"/>
          </w:tcPr>
          <w:p w14:paraId="2BFDB0EC" w14:textId="77777777" w:rsidR="00132EF4" w:rsidRPr="002C7DEE" w:rsidRDefault="00132EF4" w:rsidP="00075724">
            <w:pPr>
              <w:jc w:val="both"/>
              <w:rPr>
                <w:rFonts w:ascii="Times" w:hAnsi="Times" w:cstheme="majorHAnsi"/>
                <w:sz w:val="18"/>
                <w:szCs w:val="18"/>
              </w:rPr>
            </w:pPr>
          </w:p>
        </w:tc>
        <w:tc>
          <w:tcPr>
            <w:tcW w:w="1562" w:type="dxa"/>
          </w:tcPr>
          <w:p w14:paraId="3E791D15" w14:textId="77777777" w:rsidR="00132EF4" w:rsidRPr="002C7DEE" w:rsidRDefault="00132EF4" w:rsidP="00075724">
            <w:pPr>
              <w:ind w:left="360"/>
              <w:jc w:val="both"/>
              <w:rPr>
                <w:rFonts w:ascii="Times" w:hAnsi="Times" w:cstheme="majorHAnsi"/>
                <w:sz w:val="18"/>
                <w:szCs w:val="18"/>
              </w:rPr>
            </w:pPr>
          </w:p>
        </w:tc>
        <w:tc>
          <w:tcPr>
            <w:tcW w:w="741" w:type="dxa"/>
          </w:tcPr>
          <w:p w14:paraId="475D962E" w14:textId="77777777" w:rsidR="00132EF4" w:rsidRPr="002C7DEE" w:rsidRDefault="00132EF4" w:rsidP="00075724">
            <w:pPr>
              <w:jc w:val="both"/>
              <w:rPr>
                <w:rFonts w:ascii="Times" w:hAnsi="Times" w:cstheme="majorHAnsi"/>
                <w:sz w:val="18"/>
                <w:szCs w:val="18"/>
              </w:rPr>
            </w:pPr>
          </w:p>
        </w:tc>
      </w:tr>
      <w:tr w:rsidR="00234C41" w:rsidRPr="00904585" w14:paraId="7120D870" w14:textId="77777777" w:rsidTr="0018702F">
        <w:trPr>
          <w:trHeight w:val="263"/>
        </w:trPr>
        <w:tc>
          <w:tcPr>
            <w:tcW w:w="5376" w:type="dxa"/>
          </w:tcPr>
          <w:p w14:paraId="13CEA0B9" w14:textId="34A8B4F9" w:rsidR="00234C41" w:rsidRPr="002C7DEE" w:rsidRDefault="00234C41" w:rsidP="00075724">
            <w:pPr>
              <w:jc w:val="both"/>
              <w:rPr>
                <w:rFonts w:ascii="Times" w:hAnsi="Times" w:cstheme="majorHAnsi"/>
                <w:sz w:val="18"/>
                <w:szCs w:val="18"/>
              </w:rPr>
            </w:pPr>
            <w:r w:rsidRPr="002C7DEE">
              <w:rPr>
                <w:rFonts w:ascii="Times" w:hAnsi="Times" w:cstheme="majorHAnsi"/>
                <w:sz w:val="18"/>
                <w:szCs w:val="18"/>
              </w:rPr>
              <w:t>Were there any issues specific to either method</w:t>
            </w:r>
          </w:p>
        </w:tc>
        <w:tc>
          <w:tcPr>
            <w:tcW w:w="1562" w:type="dxa"/>
          </w:tcPr>
          <w:p w14:paraId="78F8A64E" w14:textId="77777777" w:rsidR="00234C41" w:rsidRPr="002C7DEE" w:rsidRDefault="00234C41" w:rsidP="00075724">
            <w:pPr>
              <w:jc w:val="both"/>
              <w:rPr>
                <w:rFonts w:ascii="Times" w:hAnsi="Times" w:cstheme="majorHAnsi"/>
                <w:sz w:val="18"/>
                <w:szCs w:val="18"/>
              </w:rPr>
            </w:pPr>
          </w:p>
        </w:tc>
        <w:tc>
          <w:tcPr>
            <w:tcW w:w="1562" w:type="dxa"/>
          </w:tcPr>
          <w:p w14:paraId="7610FB03" w14:textId="77777777" w:rsidR="00234C41" w:rsidRPr="002C7DEE" w:rsidRDefault="00234C41" w:rsidP="00075724">
            <w:pPr>
              <w:ind w:left="360"/>
              <w:jc w:val="both"/>
              <w:rPr>
                <w:rFonts w:ascii="Times" w:hAnsi="Times" w:cstheme="majorHAnsi"/>
                <w:sz w:val="18"/>
                <w:szCs w:val="18"/>
              </w:rPr>
            </w:pPr>
          </w:p>
        </w:tc>
        <w:tc>
          <w:tcPr>
            <w:tcW w:w="741" w:type="dxa"/>
          </w:tcPr>
          <w:p w14:paraId="047AABE3" w14:textId="77777777" w:rsidR="00234C41" w:rsidRPr="002C7DEE" w:rsidRDefault="00234C41" w:rsidP="00075724">
            <w:pPr>
              <w:jc w:val="both"/>
              <w:rPr>
                <w:rFonts w:ascii="Times" w:hAnsi="Times" w:cstheme="majorHAnsi"/>
                <w:sz w:val="18"/>
                <w:szCs w:val="18"/>
              </w:rPr>
            </w:pPr>
          </w:p>
        </w:tc>
      </w:tr>
    </w:tbl>
    <w:p w14:paraId="5BF45C20" w14:textId="77777777" w:rsidR="00132EF4" w:rsidRPr="002C7DEE" w:rsidRDefault="00132EF4" w:rsidP="00075724">
      <w:pPr>
        <w:jc w:val="both"/>
        <w:rPr>
          <w:rFonts w:ascii="Times" w:hAnsi="Times" w:cstheme="majorHAnsi"/>
          <w:sz w:val="22"/>
          <w:szCs w:val="22"/>
        </w:rPr>
      </w:pPr>
    </w:p>
    <w:p w14:paraId="3A1C831E" w14:textId="72DEDCC7" w:rsidR="00F925BE" w:rsidRPr="002C7DEE" w:rsidRDefault="00F925BE" w:rsidP="00075724">
      <w:pPr>
        <w:jc w:val="both"/>
        <w:rPr>
          <w:rFonts w:ascii="Times" w:hAnsi="Times" w:cstheme="majorHAnsi"/>
          <w:sz w:val="22"/>
          <w:szCs w:val="22"/>
        </w:rPr>
      </w:pPr>
    </w:p>
    <w:p w14:paraId="31E3BEFD" w14:textId="77777777" w:rsidR="005F38BE" w:rsidRPr="002C7DEE" w:rsidRDefault="005F38BE" w:rsidP="00075724">
      <w:pPr>
        <w:jc w:val="both"/>
        <w:rPr>
          <w:rFonts w:ascii="Times" w:hAnsi="Times" w:cstheme="majorHAnsi"/>
          <w:sz w:val="22"/>
          <w:szCs w:val="22"/>
        </w:rPr>
      </w:pPr>
    </w:p>
    <w:p w14:paraId="4E354F3F" w14:textId="1754C47D" w:rsidR="00132EF4" w:rsidRDefault="00132EF4" w:rsidP="000D1F14">
      <w:pPr>
        <w:pStyle w:val="Heading2"/>
        <w:rPr>
          <w:rFonts w:ascii="Times" w:hAnsi="Times" w:cstheme="majorHAnsi"/>
          <w:sz w:val="22"/>
          <w:szCs w:val="22"/>
        </w:rPr>
      </w:pPr>
      <w:bookmarkStart w:id="35" w:name="_Toc166235167"/>
      <w:r w:rsidRPr="002C7DEE">
        <w:rPr>
          <w:rFonts w:ascii="Times" w:hAnsi="Times" w:cstheme="majorHAnsi"/>
          <w:sz w:val="22"/>
          <w:szCs w:val="22"/>
        </w:rPr>
        <w:t xml:space="preserve">Figure </w:t>
      </w:r>
      <w:r w:rsidR="00F925BE" w:rsidRPr="002C7DEE">
        <w:rPr>
          <w:rFonts w:ascii="Times" w:hAnsi="Times" w:cstheme="majorHAnsi"/>
          <w:sz w:val="22"/>
          <w:szCs w:val="22"/>
        </w:rPr>
        <w:t xml:space="preserve">C. </w:t>
      </w:r>
      <w:r w:rsidRPr="002C7DEE">
        <w:rPr>
          <w:rFonts w:ascii="Times" w:hAnsi="Times" w:cstheme="majorHAnsi"/>
          <w:sz w:val="22"/>
          <w:szCs w:val="22"/>
        </w:rPr>
        <w:t>Complications of subcutaneous catheters</w:t>
      </w:r>
      <w:r w:rsidR="009512B1" w:rsidRPr="002C7DEE">
        <w:rPr>
          <w:rFonts w:ascii="Times" w:hAnsi="Times" w:cstheme="majorHAnsi"/>
          <w:sz w:val="22"/>
          <w:szCs w:val="22"/>
        </w:rPr>
        <w:t xml:space="preserve"> (performed </w:t>
      </w:r>
      <w:r w:rsidR="0018285A" w:rsidRPr="002C7DEE">
        <w:rPr>
          <w:rFonts w:ascii="Times" w:hAnsi="Times" w:cstheme="majorHAnsi"/>
          <w:sz w:val="22"/>
          <w:szCs w:val="22"/>
        </w:rPr>
        <w:t xml:space="preserve">by nursing staff </w:t>
      </w:r>
      <w:r w:rsidR="009512B1" w:rsidRPr="002C7DEE">
        <w:rPr>
          <w:rFonts w:ascii="Times" w:hAnsi="Times" w:cstheme="majorHAnsi"/>
          <w:sz w:val="22"/>
          <w:szCs w:val="22"/>
        </w:rPr>
        <w:t>days 2, 5 and 7)</w:t>
      </w:r>
      <w:bookmarkEnd w:id="35"/>
    </w:p>
    <w:tbl>
      <w:tblPr>
        <w:tblStyle w:val="TableGrid"/>
        <w:tblW w:w="9209" w:type="dxa"/>
        <w:tblLayout w:type="fixed"/>
        <w:tblLook w:val="04A0" w:firstRow="1" w:lastRow="0" w:firstColumn="1" w:lastColumn="0" w:noHBand="0" w:noVBand="1"/>
      </w:tblPr>
      <w:tblGrid>
        <w:gridCol w:w="3518"/>
        <w:gridCol w:w="513"/>
        <w:gridCol w:w="944"/>
        <w:gridCol w:w="410"/>
        <w:gridCol w:w="1073"/>
        <w:gridCol w:w="12"/>
        <w:gridCol w:w="2292"/>
        <w:gridCol w:w="447"/>
      </w:tblGrid>
      <w:tr w:rsidR="001F32AA" w:rsidRPr="00592116" w14:paraId="732085F4" w14:textId="77777777" w:rsidTr="00592116">
        <w:trPr>
          <w:gridAfter w:val="1"/>
          <w:wAfter w:w="447" w:type="dxa"/>
          <w:trHeight w:val="161"/>
        </w:trPr>
        <w:tc>
          <w:tcPr>
            <w:tcW w:w="4248" w:type="dxa"/>
            <w:gridSpan w:val="2"/>
          </w:tcPr>
          <w:p w14:paraId="717B3ABE" w14:textId="77777777" w:rsidR="001F32AA" w:rsidRPr="00592116" w:rsidRDefault="001F32AA" w:rsidP="00592116">
            <w:pPr>
              <w:spacing w:line="360" w:lineRule="auto"/>
              <w:rPr>
                <w:rFonts w:cstheme="minorHAnsi"/>
                <w:sz w:val="18"/>
                <w:szCs w:val="18"/>
              </w:rPr>
            </w:pPr>
          </w:p>
        </w:tc>
        <w:tc>
          <w:tcPr>
            <w:tcW w:w="1417" w:type="dxa"/>
            <w:gridSpan w:val="2"/>
          </w:tcPr>
          <w:p w14:paraId="1F89817D" w14:textId="77777777" w:rsidR="001F32AA" w:rsidRPr="00592116" w:rsidRDefault="001F32AA" w:rsidP="00592116">
            <w:pPr>
              <w:spacing w:line="360" w:lineRule="auto"/>
              <w:rPr>
                <w:rFonts w:cstheme="minorHAnsi"/>
                <w:sz w:val="18"/>
                <w:szCs w:val="18"/>
              </w:rPr>
            </w:pPr>
            <w:r w:rsidRPr="00592116">
              <w:rPr>
                <w:rFonts w:cstheme="minorHAnsi"/>
                <w:sz w:val="18"/>
                <w:szCs w:val="18"/>
              </w:rPr>
              <w:t>Yes</w:t>
            </w:r>
          </w:p>
        </w:tc>
        <w:tc>
          <w:tcPr>
            <w:tcW w:w="1134" w:type="dxa"/>
            <w:gridSpan w:val="2"/>
          </w:tcPr>
          <w:p w14:paraId="7939698E" w14:textId="77777777" w:rsidR="001F32AA" w:rsidRPr="00592116" w:rsidRDefault="001F32AA" w:rsidP="00592116">
            <w:pPr>
              <w:spacing w:line="360" w:lineRule="auto"/>
              <w:rPr>
                <w:rFonts w:cstheme="minorHAnsi"/>
                <w:sz w:val="18"/>
                <w:szCs w:val="18"/>
              </w:rPr>
            </w:pPr>
            <w:r w:rsidRPr="00592116">
              <w:rPr>
                <w:rFonts w:cstheme="minorHAnsi"/>
                <w:sz w:val="18"/>
                <w:szCs w:val="18"/>
              </w:rPr>
              <w:t>No</w:t>
            </w:r>
          </w:p>
        </w:tc>
        <w:tc>
          <w:tcPr>
            <w:tcW w:w="2410" w:type="dxa"/>
          </w:tcPr>
          <w:p w14:paraId="2A9361ED" w14:textId="77777777" w:rsidR="001F32AA" w:rsidRPr="00592116" w:rsidRDefault="001F32AA" w:rsidP="00592116">
            <w:pPr>
              <w:spacing w:line="360" w:lineRule="auto"/>
              <w:rPr>
                <w:rFonts w:cstheme="minorHAnsi"/>
                <w:sz w:val="18"/>
                <w:szCs w:val="18"/>
              </w:rPr>
            </w:pPr>
            <w:r w:rsidRPr="00592116">
              <w:rPr>
                <w:rFonts w:cstheme="minorHAnsi"/>
                <w:sz w:val="18"/>
                <w:szCs w:val="18"/>
              </w:rPr>
              <w:t>Comments/description</w:t>
            </w:r>
          </w:p>
        </w:tc>
      </w:tr>
      <w:tr w:rsidR="001F32AA" w:rsidRPr="00592116" w14:paraId="7A38D788" w14:textId="77777777" w:rsidTr="00592116">
        <w:trPr>
          <w:gridAfter w:val="1"/>
          <w:wAfter w:w="447" w:type="dxa"/>
          <w:trHeight w:val="343"/>
        </w:trPr>
        <w:tc>
          <w:tcPr>
            <w:tcW w:w="4248" w:type="dxa"/>
            <w:gridSpan w:val="2"/>
          </w:tcPr>
          <w:p w14:paraId="41BFDF12" w14:textId="77777777" w:rsidR="001F32AA" w:rsidRPr="00592116" w:rsidRDefault="001F32AA" w:rsidP="00592116">
            <w:pPr>
              <w:spacing w:line="360" w:lineRule="auto"/>
              <w:rPr>
                <w:rFonts w:cstheme="minorHAnsi"/>
                <w:sz w:val="18"/>
                <w:szCs w:val="18"/>
              </w:rPr>
            </w:pPr>
            <w:r w:rsidRPr="00592116">
              <w:rPr>
                <w:rFonts w:cstheme="minorHAnsi"/>
                <w:sz w:val="18"/>
                <w:szCs w:val="18"/>
              </w:rPr>
              <w:t>Pain and tenderness at catheter site*</w:t>
            </w:r>
          </w:p>
        </w:tc>
        <w:tc>
          <w:tcPr>
            <w:tcW w:w="1417" w:type="dxa"/>
            <w:gridSpan w:val="2"/>
          </w:tcPr>
          <w:p w14:paraId="78DD9213" w14:textId="77777777" w:rsidR="001F32AA" w:rsidRPr="00592116" w:rsidRDefault="001F32AA" w:rsidP="00592116">
            <w:pPr>
              <w:spacing w:line="360" w:lineRule="auto"/>
              <w:rPr>
                <w:rFonts w:cstheme="minorHAnsi"/>
                <w:sz w:val="18"/>
                <w:szCs w:val="18"/>
              </w:rPr>
            </w:pPr>
          </w:p>
        </w:tc>
        <w:tc>
          <w:tcPr>
            <w:tcW w:w="1134" w:type="dxa"/>
            <w:gridSpan w:val="2"/>
          </w:tcPr>
          <w:p w14:paraId="6739C941" w14:textId="77777777" w:rsidR="001F32AA" w:rsidRPr="00592116" w:rsidRDefault="001F32AA" w:rsidP="00592116">
            <w:pPr>
              <w:spacing w:line="360" w:lineRule="auto"/>
              <w:rPr>
                <w:rFonts w:cstheme="minorHAnsi"/>
                <w:sz w:val="18"/>
                <w:szCs w:val="18"/>
              </w:rPr>
            </w:pPr>
          </w:p>
        </w:tc>
        <w:tc>
          <w:tcPr>
            <w:tcW w:w="2410" w:type="dxa"/>
          </w:tcPr>
          <w:p w14:paraId="2EEAA140" w14:textId="77777777" w:rsidR="001F32AA" w:rsidRPr="00592116" w:rsidRDefault="001F32AA" w:rsidP="00592116">
            <w:pPr>
              <w:spacing w:line="360" w:lineRule="auto"/>
              <w:rPr>
                <w:rFonts w:cstheme="minorHAnsi"/>
                <w:sz w:val="18"/>
                <w:szCs w:val="18"/>
              </w:rPr>
            </w:pPr>
          </w:p>
        </w:tc>
      </w:tr>
      <w:tr w:rsidR="001F32AA" w:rsidRPr="00592116" w14:paraId="4EE1538D" w14:textId="77777777" w:rsidTr="00592116">
        <w:trPr>
          <w:gridAfter w:val="1"/>
          <w:wAfter w:w="447" w:type="dxa"/>
          <w:trHeight w:val="333"/>
        </w:trPr>
        <w:tc>
          <w:tcPr>
            <w:tcW w:w="4248" w:type="dxa"/>
            <w:gridSpan w:val="2"/>
          </w:tcPr>
          <w:p w14:paraId="71B180F4" w14:textId="77777777" w:rsidR="001F32AA" w:rsidRPr="00592116" w:rsidRDefault="001F32AA" w:rsidP="00592116">
            <w:pPr>
              <w:spacing w:line="360" w:lineRule="auto"/>
              <w:rPr>
                <w:rFonts w:cstheme="minorHAnsi"/>
                <w:sz w:val="18"/>
                <w:szCs w:val="18"/>
              </w:rPr>
            </w:pPr>
            <w:r w:rsidRPr="00592116">
              <w:rPr>
                <w:rFonts w:cstheme="minorHAnsi"/>
                <w:sz w:val="18"/>
                <w:szCs w:val="18"/>
              </w:rPr>
              <w:t>Redness &gt;1cm from insertion site</w:t>
            </w:r>
          </w:p>
        </w:tc>
        <w:tc>
          <w:tcPr>
            <w:tcW w:w="1417" w:type="dxa"/>
            <w:gridSpan w:val="2"/>
          </w:tcPr>
          <w:p w14:paraId="41ACF6EB" w14:textId="77777777" w:rsidR="001F32AA" w:rsidRPr="00592116" w:rsidRDefault="001F32AA" w:rsidP="00592116">
            <w:pPr>
              <w:spacing w:line="360" w:lineRule="auto"/>
              <w:rPr>
                <w:rFonts w:cstheme="minorHAnsi"/>
                <w:sz w:val="18"/>
                <w:szCs w:val="18"/>
              </w:rPr>
            </w:pPr>
          </w:p>
        </w:tc>
        <w:tc>
          <w:tcPr>
            <w:tcW w:w="1134" w:type="dxa"/>
            <w:gridSpan w:val="2"/>
          </w:tcPr>
          <w:p w14:paraId="23896CF7" w14:textId="77777777" w:rsidR="001F32AA" w:rsidRPr="00592116" w:rsidRDefault="001F32AA" w:rsidP="00592116">
            <w:pPr>
              <w:spacing w:line="360" w:lineRule="auto"/>
              <w:rPr>
                <w:rFonts w:cstheme="minorHAnsi"/>
                <w:sz w:val="18"/>
                <w:szCs w:val="18"/>
              </w:rPr>
            </w:pPr>
          </w:p>
        </w:tc>
        <w:tc>
          <w:tcPr>
            <w:tcW w:w="2410" w:type="dxa"/>
          </w:tcPr>
          <w:p w14:paraId="6A26002B" w14:textId="77777777" w:rsidR="001F32AA" w:rsidRPr="00592116" w:rsidRDefault="001F32AA" w:rsidP="00592116">
            <w:pPr>
              <w:spacing w:line="360" w:lineRule="auto"/>
              <w:rPr>
                <w:rFonts w:cstheme="minorHAnsi"/>
                <w:sz w:val="18"/>
                <w:szCs w:val="18"/>
              </w:rPr>
            </w:pPr>
          </w:p>
        </w:tc>
      </w:tr>
      <w:tr w:rsidR="001F32AA" w:rsidRPr="00592116" w14:paraId="22B1B326" w14:textId="77777777" w:rsidTr="00592116">
        <w:trPr>
          <w:gridAfter w:val="1"/>
          <w:wAfter w:w="447" w:type="dxa"/>
          <w:trHeight w:val="333"/>
        </w:trPr>
        <w:tc>
          <w:tcPr>
            <w:tcW w:w="4248" w:type="dxa"/>
            <w:gridSpan w:val="2"/>
          </w:tcPr>
          <w:p w14:paraId="354F3193" w14:textId="77777777" w:rsidR="001F32AA" w:rsidRPr="00592116" w:rsidRDefault="001F32AA" w:rsidP="00592116">
            <w:pPr>
              <w:spacing w:line="360" w:lineRule="auto"/>
              <w:rPr>
                <w:rFonts w:cstheme="minorHAnsi"/>
                <w:sz w:val="18"/>
                <w:szCs w:val="18"/>
              </w:rPr>
            </w:pPr>
            <w:r w:rsidRPr="00592116">
              <w:rPr>
                <w:rFonts w:cstheme="minorHAnsi"/>
                <w:sz w:val="18"/>
                <w:szCs w:val="18"/>
              </w:rPr>
              <w:t>Swelling &gt;1cm from insertion site</w:t>
            </w:r>
          </w:p>
        </w:tc>
        <w:tc>
          <w:tcPr>
            <w:tcW w:w="1417" w:type="dxa"/>
            <w:gridSpan w:val="2"/>
          </w:tcPr>
          <w:p w14:paraId="3A2D96B7" w14:textId="77777777" w:rsidR="001F32AA" w:rsidRPr="00592116" w:rsidRDefault="001F32AA" w:rsidP="00592116">
            <w:pPr>
              <w:spacing w:line="360" w:lineRule="auto"/>
              <w:rPr>
                <w:rFonts w:cstheme="minorHAnsi"/>
                <w:sz w:val="18"/>
                <w:szCs w:val="18"/>
              </w:rPr>
            </w:pPr>
          </w:p>
        </w:tc>
        <w:tc>
          <w:tcPr>
            <w:tcW w:w="1134" w:type="dxa"/>
            <w:gridSpan w:val="2"/>
          </w:tcPr>
          <w:p w14:paraId="01FBBACF" w14:textId="77777777" w:rsidR="001F32AA" w:rsidRPr="00592116" w:rsidRDefault="001F32AA" w:rsidP="00592116">
            <w:pPr>
              <w:spacing w:line="360" w:lineRule="auto"/>
              <w:rPr>
                <w:rFonts w:cstheme="minorHAnsi"/>
                <w:sz w:val="18"/>
                <w:szCs w:val="18"/>
              </w:rPr>
            </w:pPr>
          </w:p>
        </w:tc>
        <w:tc>
          <w:tcPr>
            <w:tcW w:w="2410" w:type="dxa"/>
          </w:tcPr>
          <w:p w14:paraId="313A3FE3" w14:textId="77777777" w:rsidR="001F32AA" w:rsidRPr="00592116" w:rsidRDefault="001F32AA" w:rsidP="00592116">
            <w:pPr>
              <w:spacing w:line="360" w:lineRule="auto"/>
              <w:rPr>
                <w:rFonts w:cstheme="minorHAnsi"/>
                <w:sz w:val="18"/>
                <w:szCs w:val="18"/>
              </w:rPr>
            </w:pPr>
          </w:p>
        </w:tc>
      </w:tr>
      <w:tr w:rsidR="001F32AA" w:rsidRPr="00592116" w14:paraId="3648132E" w14:textId="77777777" w:rsidTr="00592116">
        <w:trPr>
          <w:gridAfter w:val="1"/>
          <w:wAfter w:w="447" w:type="dxa"/>
          <w:trHeight w:val="333"/>
        </w:trPr>
        <w:tc>
          <w:tcPr>
            <w:tcW w:w="4248" w:type="dxa"/>
            <w:gridSpan w:val="2"/>
          </w:tcPr>
          <w:p w14:paraId="16326E75" w14:textId="77777777" w:rsidR="001F32AA" w:rsidRPr="00592116" w:rsidRDefault="001F32AA" w:rsidP="00592116">
            <w:pPr>
              <w:spacing w:line="360" w:lineRule="auto"/>
              <w:rPr>
                <w:rFonts w:cstheme="minorHAnsi"/>
                <w:sz w:val="18"/>
                <w:szCs w:val="18"/>
              </w:rPr>
            </w:pPr>
            <w:r w:rsidRPr="00592116">
              <w:rPr>
                <w:rFonts w:cstheme="minorHAnsi"/>
                <w:sz w:val="18"/>
                <w:szCs w:val="18"/>
              </w:rPr>
              <w:t>Bruising at site</w:t>
            </w:r>
          </w:p>
        </w:tc>
        <w:tc>
          <w:tcPr>
            <w:tcW w:w="1417" w:type="dxa"/>
            <w:gridSpan w:val="2"/>
          </w:tcPr>
          <w:p w14:paraId="27C43414" w14:textId="77777777" w:rsidR="001F32AA" w:rsidRPr="00592116" w:rsidRDefault="001F32AA" w:rsidP="00592116">
            <w:pPr>
              <w:spacing w:line="360" w:lineRule="auto"/>
              <w:rPr>
                <w:rFonts w:cstheme="minorHAnsi"/>
                <w:sz w:val="18"/>
                <w:szCs w:val="18"/>
              </w:rPr>
            </w:pPr>
          </w:p>
        </w:tc>
        <w:tc>
          <w:tcPr>
            <w:tcW w:w="1134" w:type="dxa"/>
            <w:gridSpan w:val="2"/>
          </w:tcPr>
          <w:p w14:paraId="2D0EB83C" w14:textId="77777777" w:rsidR="001F32AA" w:rsidRPr="00592116" w:rsidRDefault="001F32AA" w:rsidP="00592116">
            <w:pPr>
              <w:spacing w:line="360" w:lineRule="auto"/>
              <w:rPr>
                <w:rFonts w:cstheme="minorHAnsi"/>
                <w:sz w:val="18"/>
                <w:szCs w:val="18"/>
              </w:rPr>
            </w:pPr>
          </w:p>
        </w:tc>
        <w:tc>
          <w:tcPr>
            <w:tcW w:w="2410" w:type="dxa"/>
          </w:tcPr>
          <w:p w14:paraId="28BEAEE3" w14:textId="77777777" w:rsidR="001F32AA" w:rsidRPr="00592116" w:rsidRDefault="001F32AA" w:rsidP="00592116">
            <w:pPr>
              <w:spacing w:line="360" w:lineRule="auto"/>
              <w:rPr>
                <w:rFonts w:cstheme="minorHAnsi"/>
                <w:sz w:val="18"/>
                <w:szCs w:val="18"/>
              </w:rPr>
            </w:pPr>
          </w:p>
        </w:tc>
      </w:tr>
      <w:tr w:rsidR="001F32AA" w:rsidRPr="00592116" w14:paraId="6A061D9E" w14:textId="77777777" w:rsidTr="00592116">
        <w:trPr>
          <w:gridAfter w:val="1"/>
          <w:wAfter w:w="447" w:type="dxa"/>
          <w:trHeight w:val="333"/>
        </w:trPr>
        <w:tc>
          <w:tcPr>
            <w:tcW w:w="4248" w:type="dxa"/>
            <w:gridSpan w:val="2"/>
          </w:tcPr>
          <w:p w14:paraId="0614A7F4" w14:textId="77777777" w:rsidR="001F32AA" w:rsidRPr="00592116" w:rsidRDefault="001F32AA" w:rsidP="00592116">
            <w:pPr>
              <w:spacing w:line="360" w:lineRule="auto"/>
              <w:rPr>
                <w:rFonts w:cstheme="minorHAnsi"/>
                <w:sz w:val="18"/>
                <w:szCs w:val="18"/>
              </w:rPr>
            </w:pPr>
            <w:r w:rsidRPr="00592116">
              <w:rPr>
                <w:rFonts w:cstheme="minorHAnsi"/>
                <w:sz w:val="18"/>
                <w:szCs w:val="18"/>
              </w:rPr>
              <w:t>Bleeding at site</w:t>
            </w:r>
          </w:p>
        </w:tc>
        <w:tc>
          <w:tcPr>
            <w:tcW w:w="1417" w:type="dxa"/>
            <w:gridSpan w:val="2"/>
          </w:tcPr>
          <w:p w14:paraId="617BDFC1" w14:textId="77777777" w:rsidR="001F32AA" w:rsidRPr="00592116" w:rsidRDefault="001F32AA" w:rsidP="00592116">
            <w:pPr>
              <w:spacing w:line="360" w:lineRule="auto"/>
              <w:rPr>
                <w:rFonts w:cstheme="minorHAnsi"/>
                <w:sz w:val="18"/>
                <w:szCs w:val="18"/>
              </w:rPr>
            </w:pPr>
          </w:p>
        </w:tc>
        <w:tc>
          <w:tcPr>
            <w:tcW w:w="1134" w:type="dxa"/>
            <w:gridSpan w:val="2"/>
          </w:tcPr>
          <w:p w14:paraId="6843DE14" w14:textId="77777777" w:rsidR="001F32AA" w:rsidRPr="00592116" w:rsidRDefault="001F32AA" w:rsidP="00592116">
            <w:pPr>
              <w:spacing w:line="360" w:lineRule="auto"/>
              <w:rPr>
                <w:rFonts w:cstheme="minorHAnsi"/>
                <w:sz w:val="18"/>
                <w:szCs w:val="18"/>
              </w:rPr>
            </w:pPr>
          </w:p>
        </w:tc>
        <w:tc>
          <w:tcPr>
            <w:tcW w:w="2410" w:type="dxa"/>
          </w:tcPr>
          <w:p w14:paraId="0EABA5D9" w14:textId="77777777" w:rsidR="001F32AA" w:rsidRPr="00592116" w:rsidRDefault="001F32AA" w:rsidP="00592116">
            <w:pPr>
              <w:spacing w:line="360" w:lineRule="auto"/>
              <w:rPr>
                <w:rFonts w:cstheme="minorHAnsi"/>
                <w:sz w:val="18"/>
                <w:szCs w:val="18"/>
              </w:rPr>
            </w:pPr>
          </w:p>
        </w:tc>
      </w:tr>
      <w:tr w:rsidR="001F32AA" w:rsidRPr="00592116" w14:paraId="0FC771D1" w14:textId="77777777" w:rsidTr="00592116">
        <w:trPr>
          <w:gridAfter w:val="1"/>
          <w:wAfter w:w="447" w:type="dxa"/>
          <w:trHeight w:val="333"/>
        </w:trPr>
        <w:tc>
          <w:tcPr>
            <w:tcW w:w="4248" w:type="dxa"/>
            <w:gridSpan w:val="2"/>
          </w:tcPr>
          <w:p w14:paraId="07AB218D" w14:textId="77777777" w:rsidR="001F32AA" w:rsidRPr="00592116" w:rsidRDefault="001F32AA" w:rsidP="00592116">
            <w:pPr>
              <w:spacing w:line="360" w:lineRule="auto"/>
              <w:rPr>
                <w:rFonts w:cstheme="minorHAnsi"/>
                <w:sz w:val="18"/>
                <w:szCs w:val="18"/>
              </w:rPr>
            </w:pPr>
            <w:r w:rsidRPr="00592116">
              <w:rPr>
                <w:rFonts w:cstheme="minorHAnsi"/>
                <w:sz w:val="18"/>
                <w:szCs w:val="18"/>
              </w:rPr>
              <w:t>Purulence/evidence of infection</w:t>
            </w:r>
          </w:p>
        </w:tc>
        <w:tc>
          <w:tcPr>
            <w:tcW w:w="1417" w:type="dxa"/>
            <w:gridSpan w:val="2"/>
          </w:tcPr>
          <w:p w14:paraId="4B32C7F5" w14:textId="77777777" w:rsidR="001F32AA" w:rsidRPr="00592116" w:rsidRDefault="001F32AA" w:rsidP="00592116">
            <w:pPr>
              <w:spacing w:line="360" w:lineRule="auto"/>
              <w:rPr>
                <w:rFonts w:cstheme="minorHAnsi"/>
                <w:sz w:val="18"/>
                <w:szCs w:val="18"/>
              </w:rPr>
            </w:pPr>
          </w:p>
        </w:tc>
        <w:tc>
          <w:tcPr>
            <w:tcW w:w="1134" w:type="dxa"/>
            <w:gridSpan w:val="2"/>
          </w:tcPr>
          <w:p w14:paraId="762DE282" w14:textId="77777777" w:rsidR="001F32AA" w:rsidRPr="00592116" w:rsidRDefault="001F32AA" w:rsidP="00592116">
            <w:pPr>
              <w:spacing w:line="360" w:lineRule="auto"/>
              <w:rPr>
                <w:rFonts w:cstheme="minorHAnsi"/>
                <w:sz w:val="18"/>
                <w:szCs w:val="18"/>
              </w:rPr>
            </w:pPr>
          </w:p>
        </w:tc>
        <w:tc>
          <w:tcPr>
            <w:tcW w:w="2410" w:type="dxa"/>
          </w:tcPr>
          <w:p w14:paraId="595793A1" w14:textId="77777777" w:rsidR="001F32AA" w:rsidRPr="00592116" w:rsidRDefault="001F32AA" w:rsidP="00592116">
            <w:pPr>
              <w:spacing w:line="360" w:lineRule="auto"/>
              <w:rPr>
                <w:rFonts w:cstheme="minorHAnsi"/>
                <w:sz w:val="18"/>
                <w:szCs w:val="18"/>
              </w:rPr>
            </w:pPr>
          </w:p>
        </w:tc>
      </w:tr>
      <w:tr w:rsidR="001F32AA" w:rsidRPr="00592116" w14:paraId="05AD88F4" w14:textId="77777777" w:rsidTr="00592116">
        <w:trPr>
          <w:gridAfter w:val="1"/>
          <w:wAfter w:w="447" w:type="dxa"/>
          <w:trHeight w:val="333"/>
        </w:trPr>
        <w:tc>
          <w:tcPr>
            <w:tcW w:w="4248" w:type="dxa"/>
            <w:gridSpan w:val="2"/>
          </w:tcPr>
          <w:p w14:paraId="716608BC" w14:textId="77777777" w:rsidR="001F32AA" w:rsidRPr="00592116" w:rsidRDefault="001F32AA" w:rsidP="00592116">
            <w:pPr>
              <w:spacing w:line="360" w:lineRule="auto"/>
              <w:rPr>
                <w:rFonts w:cstheme="minorHAnsi"/>
                <w:sz w:val="18"/>
                <w:szCs w:val="18"/>
              </w:rPr>
            </w:pPr>
            <w:r w:rsidRPr="00592116">
              <w:rPr>
                <w:rFonts w:cstheme="minorHAnsi"/>
                <w:sz w:val="18"/>
                <w:szCs w:val="18"/>
              </w:rPr>
              <w:t>Induration of skin at insertion site</w:t>
            </w:r>
          </w:p>
        </w:tc>
        <w:tc>
          <w:tcPr>
            <w:tcW w:w="1417" w:type="dxa"/>
            <w:gridSpan w:val="2"/>
          </w:tcPr>
          <w:p w14:paraId="7269FBC5" w14:textId="77777777" w:rsidR="001F32AA" w:rsidRPr="00592116" w:rsidRDefault="001F32AA" w:rsidP="00592116">
            <w:pPr>
              <w:spacing w:line="360" w:lineRule="auto"/>
              <w:rPr>
                <w:rFonts w:cstheme="minorHAnsi"/>
                <w:sz w:val="18"/>
                <w:szCs w:val="18"/>
              </w:rPr>
            </w:pPr>
          </w:p>
        </w:tc>
        <w:tc>
          <w:tcPr>
            <w:tcW w:w="1134" w:type="dxa"/>
            <w:gridSpan w:val="2"/>
          </w:tcPr>
          <w:p w14:paraId="66ECAEEC" w14:textId="77777777" w:rsidR="001F32AA" w:rsidRPr="00592116" w:rsidRDefault="001F32AA" w:rsidP="00592116">
            <w:pPr>
              <w:spacing w:line="360" w:lineRule="auto"/>
              <w:rPr>
                <w:rFonts w:cstheme="minorHAnsi"/>
                <w:sz w:val="18"/>
                <w:szCs w:val="18"/>
              </w:rPr>
            </w:pPr>
          </w:p>
        </w:tc>
        <w:tc>
          <w:tcPr>
            <w:tcW w:w="2410" w:type="dxa"/>
          </w:tcPr>
          <w:p w14:paraId="20FF8567" w14:textId="77777777" w:rsidR="001F32AA" w:rsidRPr="00592116" w:rsidRDefault="001F32AA" w:rsidP="00592116">
            <w:pPr>
              <w:spacing w:line="360" w:lineRule="auto"/>
              <w:rPr>
                <w:rFonts w:cstheme="minorHAnsi"/>
                <w:sz w:val="18"/>
                <w:szCs w:val="18"/>
              </w:rPr>
            </w:pPr>
          </w:p>
        </w:tc>
      </w:tr>
      <w:tr w:rsidR="001F32AA" w:rsidRPr="00592116" w14:paraId="3F7EB080" w14:textId="77777777" w:rsidTr="00592116">
        <w:trPr>
          <w:gridAfter w:val="1"/>
          <w:wAfter w:w="447" w:type="dxa"/>
          <w:trHeight w:val="333"/>
        </w:trPr>
        <w:tc>
          <w:tcPr>
            <w:tcW w:w="4248" w:type="dxa"/>
            <w:gridSpan w:val="2"/>
          </w:tcPr>
          <w:p w14:paraId="6D6BA585" w14:textId="77777777" w:rsidR="001F32AA" w:rsidRPr="00592116" w:rsidRDefault="001F32AA" w:rsidP="00592116">
            <w:pPr>
              <w:spacing w:line="360" w:lineRule="auto"/>
              <w:rPr>
                <w:rFonts w:cstheme="minorHAnsi"/>
                <w:sz w:val="18"/>
                <w:szCs w:val="18"/>
              </w:rPr>
            </w:pPr>
            <w:r w:rsidRPr="00592116">
              <w:rPr>
                <w:rFonts w:cstheme="minorHAnsi"/>
                <w:sz w:val="18"/>
                <w:szCs w:val="18"/>
              </w:rPr>
              <w:t>Partial/complete dislodgement</w:t>
            </w:r>
          </w:p>
        </w:tc>
        <w:tc>
          <w:tcPr>
            <w:tcW w:w="1417" w:type="dxa"/>
            <w:gridSpan w:val="2"/>
          </w:tcPr>
          <w:p w14:paraId="55B9D7F3" w14:textId="77777777" w:rsidR="001F32AA" w:rsidRPr="00592116" w:rsidRDefault="001F32AA" w:rsidP="00592116">
            <w:pPr>
              <w:spacing w:line="360" w:lineRule="auto"/>
              <w:rPr>
                <w:rFonts w:cstheme="minorHAnsi"/>
                <w:sz w:val="18"/>
                <w:szCs w:val="18"/>
              </w:rPr>
            </w:pPr>
          </w:p>
        </w:tc>
        <w:tc>
          <w:tcPr>
            <w:tcW w:w="1134" w:type="dxa"/>
            <w:gridSpan w:val="2"/>
          </w:tcPr>
          <w:p w14:paraId="559E7033" w14:textId="77777777" w:rsidR="001F32AA" w:rsidRPr="00592116" w:rsidRDefault="001F32AA" w:rsidP="00592116">
            <w:pPr>
              <w:spacing w:line="360" w:lineRule="auto"/>
              <w:rPr>
                <w:rFonts w:cstheme="minorHAnsi"/>
                <w:sz w:val="18"/>
                <w:szCs w:val="18"/>
              </w:rPr>
            </w:pPr>
          </w:p>
        </w:tc>
        <w:tc>
          <w:tcPr>
            <w:tcW w:w="2410" w:type="dxa"/>
          </w:tcPr>
          <w:p w14:paraId="3A433616" w14:textId="77777777" w:rsidR="001F32AA" w:rsidRPr="00592116" w:rsidRDefault="001F32AA" w:rsidP="00592116">
            <w:pPr>
              <w:spacing w:line="360" w:lineRule="auto"/>
              <w:rPr>
                <w:rFonts w:cstheme="minorHAnsi"/>
                <w:sz w:val="18"/>
                <w:szCs w:val="18"/>
              </w:rPr>
            </w:pPr>
          </w:p>
        </w:tc>
      </w:tr>
      <w:tr w:rsidR="001F32AA" w:rsidRPr="00592116" w14:paraId="6484A939" w14:textId="77777777" w:rsidTr="00592116">
        <w:trPr>
          <w:gridAfter w:val="1"/>
          <w:wAfter w:w="447" w:type="dxa"/>
          <w:trHeight w:val="330"/>
        </w:trPr>
        <w:tc>
          <w:tcPr>
            <w:tcW w:w="4248" w:type="dxa"/>
            <w:gridSpan w:val="2"/>
          </w:tcPr>
          <w:p w14:paraId="7A45F56A" w14:textId="77777777" w:rsidR="001F32AA" w:rsidRPr="00592116" w:rsidRDefault="001F32AA" w:rsidP="00592116">
            <w:pPr>
              <w:spacing w:line="360" w:lineRule="auto"/>
              <w:rPr>
                <w:rFonts w:cstheme="minorHAnsi"/>
                <w:sz w:val="18"/>
                <w:szCs w:val="18"/>
              </w:rPr>
            </w:pPr>
            <w:r w:rsidRPr="00592116">
              <w:rPr>
                <w:rFonts w:cstheme="minorHAnsi"/>
                <w:sz w:val="18"/>
                <w:szCs w:val="18"/>
              </w:rPr>
              <w:t>Loose/lifted dressing</w:t>
            </w:r>
          </w:p>
        </w:tc>
        <w:tc>
          <w:tcPr>
            <w:tcW w:w="1417" w:type="dxa"/>
            <w:gridSpan w:val="2"/>
          </w:tcPr>
          <w:p w14:paraId="68E4D852" w14:textId="77777777" w:rsidR="001F32AA" w:rsidRPr="00592116" w:rsidRDefault="001F32AA" w:rsidP="00592116">
            <w:pPr>
              <w:spacing w:line="360" w:lineRule="auto"/>
              <w:rPr>
                <w:rFonts w:cstheme="minorHAnsi"/>
                <w:sz w:val="18"/>
                <w:szCs w:val="18"/>
              </w:rPr>
            </w:pPr>
          </w:p>
        </w:tc>
        <w:tc>
          <w:tcPr>
            <w:tcW w:w="1134" w:type="dxa"/>
            <w:gridSpan w:val="2"/>
          </w:tcPr>
          <w:p w14:paraId="2E4BA286" w14:textId="77777777" w:rsidR="001F32AA" w:rsidRPr="00592116" w:rsidRDefault="001F32AA" w:rsidP="00592116">
            <w:pPr>
              <w:spacing w:line="360" w:lineRule="auto"/>
              <w:rPr>
                <w:rFonts w:cstheme="minorHAnsi"/>
                <w:sz w:val="18"/>
                <w:szCs w:val="18"/>
              </w:rPr>
            </w:pPr>
          </w:p>
        </w:tc>
        <w:tc>
          <w:tcPr>
            <w:tcW w:w="2410" w:type="dxa"/>
          </w:tcPr>
          <w:p w14:paraId="26A6B544" w14:textId="77777777" w:rsidR="001F32AA" w:rsidRPr="00592116" w:rsidRDefault="001F32AA" w:rsidP="00592116">
            <w:pPr>
              <w:spacing w:line="360" w:lineRule="auto"/>
              <w:rPr>
                <w:rFonts w:cstheme="minorHAnsi"/>
                <w:sz w:val="18"/>
                <w:szCs w:val="18"/>
              </w:rPr>
            </w:pPr>
          </w:p>
        </w:tc>
      </w:tr>
      <w:tr w:rsidR="001F32AA" w:rsidRPr="00592116" w14:paraId="0E4CC59E" w14:textId="77777777" w:rsidTr="00592116">
        <w:trPr>
          <w:gridAfter w:val="1"/>
          <w:wAfter w:w="447" w:type="dxa"/>
          <w:trHeight w:val="318"/>
        </w:trPr>
        <w:tc>
          <w:tcPr>
            <w:tcW w:w="4248" w:type="dxa"/>
            <w:gridSpan w:val="2"/>
          </w:tcPr>
          <w:p w14:paraId="505CE066" w14:textId="77777777" w:rsidR="001F32AA" w:rsidRPr="00592116" w:rsidRDefault="001F32AA" w:rsidP="00592116">
            <w:pPr>
              <w:spacing w:line="360" w:lineRule="auto"/>
              <w:rPr>
                <w:rFonts w:cstheme="minorHAnsi"/>
                <w:sz w:val="18"/>
                <w:szCs w:val="18"/>
              </w:rPr>
            </w:pPr>
            <w:r w:rsidRPr="00592116">
              <w:rPr>
                <w:rFonts w:cstheme="minorHAnsi"/>
                <w:sz w:val="18"/>
                <w:szCs w:val="18"/>
              </w:rPr>
              <w:t>Required replacement of catheter once</w:t>
            </w:r>
          </w:p>
        </w:tc>
        <w:tc>
          <w:tcPr>
            <w:tcW w:w="1417" w:type="dxa"/>
            <w:gridSpan w:val="2"/>
          </w:tcPr>
          <w:p w14:paraId="16198A17" w14:textId="77777777" w:rsidR="001F32AA" w:rsidRPr="00592116" w:rsidRDefault="001F32AA" w:rsidP="00592116">
            <w:pPr>
              <w:spacing w:line="360" w:lineRule="auto"/>
              <w:rPr>
                <w:rFonts w:cstheme="minorHAnsi"/>
                <w:sz w:val="18"/>
                <w:szCs w:val="18"/>
              </w:rPr>
            </w:pPr>
          </w:p>
        </w:tc>
        <w:tc>
          <w:tcPr>
            <w:tcW w:w="1134" w:type="dxa"/>
            <w:gridSpan w:val="2"/>
          </w:tcPr>
          <w:p w14:paraId="6CD35072" w14:textId="77777777" w:rsidR="001F32AA" w:rsidRPr="00592116" w:rsidRDefault="001F32AA" w:rsidP="00592116">
            <w:pPr>
              <w:spacing w:line="360" w:lineRule="auto"/>
              <w:rPr>
                <w:rFonts w:cstheme="minorHAnsi"/>
                <w:sz w:val="18"/>
                <w:szCs w:val="18"/>
              </w:rPr>
            </w:pPr>
          </w:p>
        </w:tc>
        <w:tc>
          <w:tcPr>
            <w:tcW w:w="2410" w:type="dxa"/>
          </w:tcPr>
          <w:p w14:paraId="01C2192F" w14:textId="77777777" w:rsidR="001F32AA" w:rsidRPr="00592116" w:rsidRDefault="001F32AA" w:rsidP="00592116">
            <w:pPr>
              <w:spacing w:line="360" w:lineRule="auto"/>
              <w:rPr>
                <w:rFonts w:cstheme="minorHAnsi"/>
                <w:sz w:val="18"/>
                <w:szCs w:val="18"/>
              </w:rPr>
            </w:pPr>
          </w:p>
        </w:tc>
      </w:tr>
      <w:tr w:rsidR="001F32AA" w:rsidRPr="00592116" w14:paraId="76E4EC30" w14:textId="77777777" w:rsidTr="00592116">
        <w:trPr>
          <w:gridAfter w:val="1"/>
          <w:wAfter w:w="447" w:type="dxa"/>
          <w:trHeight w:val="161"/>
        </w:trPr>
        <w:tc>
          <w:tcPr>
            <w:tcW w:w="4248" w:type="dxa"/>
            <w:gridSpan w:val="2"/>
          </w:tcPr>
          <w:p w14:paraId="3245F1F4" w14:textId="61E693D9" w:rsidR="001F32AA" w:rsidRPr="00592116" w:rsidRDefault="001F32AA" w:rsidP="00592116">
            <w:pPr>
              <w:spacing w:line="360" w:lineRule="auto"/>
              <w:rPr>
                <w:rFonts w:cstheme="minorHAnsi"/>
                <w:sz w:val="18"/>
                <w:szCs w:val="18"/>
              </w:rPr>
            </w:pPr>
            <w:r w:rsidRPr="00592116">
              <w:rPr>
                <w:rFonts w:cstheme="minorHAnsi"/>
                <w:sz w:val="18"/>
                <w:szCs w:val="18"/>
              </w:rPr>
              <w:t>Required replacement of catheter more than once</w:t>
            </w:r>
          </w:p>
        </w:tc>
        <w:tc>
          <w:tcPr>
            <w:tcW w:w="1417" w:type="dxa"/>
            <w:gridSpan w:val="2"/>
          </w:tcPr>
          <w:p w14:paraId="405FE6EC" w14:textId="77777777" w:rsidR="001F32AA" w:rsidRPr="00592116" w:rsidRDefault="001F32AA" w:rsidP="00592116">
            <w:pPr>
              <w:spacing w:line="360" w:lineRule="auto"/>
              <w:rPr>
                <w:rFonts w:cstheme="minorHAnsi"/>
                <w:sz w:val="18"/>
                <w:szCs w:val="18"/>
              </w:rPr>
            </w:pPr>
          </w:p>
        </w:tc>
        <w:tc>
          <w:tcPr>
            <w:tcW w:w="1134" w:type="dxa"/>
            <w:gridSpan w:val="2"/>
          </w:tcPr>
          <w:p w14:paraId="3A2AB7F0" w14:textId="77777777" w:rsidR="001F32AA" w:rsidRPr="00592116" w:rsidRDefault="001F32AA" w:rsidP="00592116">
            <w:pPr>
              <w:spacing w:line="360" w:lineRule="auto"/>
              <w:rPr>
                <w:rFonts w:cstheme="minorHAnsi"/>
                <w:sz w:val="18"/>
                <w:szCs w:val="18"/>
              </w:rPr>
            </w:pPr>
          </w:p>
        </w:tc>
        <w:tc>
          <w:tcPr>
            <w:tcW w:w="2410" w:type="dxa"/>
          </w:tcPr>
          <w:p w14:paraId="13DF419D" w14:textId="77777777" w:rsidR="001F32AA" w:rsidRPr="00592116" w:rsidRDefault="001F32AA" w:rsidP="00592116">
            <w:pPr>
              <w:spacing w:line="360" w:lineRule="auto"/>
              <w:rPr>
                <w:rFonts w:cstheme="minorHAnsi"/>
                <w:sz w:val="18"/>
                <w:szCs w:val="18"/>
              </w:rPr>
            </w:pPr>
          </w:p>
        </w:tc>
      </w:tr>
      <w:tr w:rsidR="001F32AA" w:rsidRPr="00592116" w14:paraId="7DB5DE46" w14:textId="77777777" w:rsidTr="00592116">
        <w:trPr>
          <w:trHeight w:val="161"/>
        </w:trPr>
        <w:tc>
          <w:tcPr>
            <w:tcW w:w="3707" w:type="dxa"/>
          </w:tcPr>
          <w:p w14:paraId="0E4B1BBD" w14:textId="77777777" w:rsidR="001F32AA" w:rsidRPr="00592116" w:rsidRDefault="001F32AA" w:rsidP="00592116">
            <w:pPr>
              <w:spacing w:line="360" w:lineRule="auto"/>
              <w:rPr>
                <w:rFonts w:cstheme="minorHAnsi"/>
                <w:sz w:val="18"/>
                <w:szCs w:val="18"/>
              </w:rPr>
            </w:pPr>
          </w:p>
        </w:tc>
        <w:tc>
          <w:tcPr>
            <w:tcW w:w="1527" w:type="dxa"/>
            <w:gridSpan w:val="2"/>
          </w:tcPr>
          <w:p w14:paraId="7273E16C" w14:textId="77777777" w:rsidR="001F32AA" w:rsidRPr="00592116" w:rsidRDefault="001F32AA" w:rsidP="00592116">
            <w:pPr>
              <w:spacing w:line="360" w:lineRule="auto"/>
              <w:rPr>
                <w:rFonts w:cstheme="minorHAnsi"/>
                <w:sz w:val="18"/>
                <w:szCs w:val="18"/>
              </w:rPr>
            </w:pPr>
            <w:r w:rsidRPr="00592116">
              <w:rPr>
                <w:rFonts w:cstheme="minorHAnsi"/>
                <w:sz w:val="18"/>
                <w:szCs w:val="18"/>
              </w:rPr>
              <w:t>Yes</w:t>
            </w:r>
          </w:p>
        </w:tc>
        <w:tc>
          <w:tcPr>
            <w:tcW w:w="1553" w:type="dxa"/>
            <w:gridSpan w:val="2"/>
          </w:tcPr>
          <w:p w14:paraId="629BDC2D" w14:textId="77777777" w:rsidR="001F32AA" w:rsidRPr="00592116" w:rsidRDefault="001F32AA" w:rsidP="00592116">
            <w:pPr>
              <w:spacing w:line="360" w:lineRule="auto"/>
              <w:rPr>
                <w:rFonts w:cstheme="minorHAnsi"/>
                <w:sz w:val="18"/>
                <w:szCs w:val="18"/>
              </w:rPr>
            </w:pPr>
            <w:r w:rsidRPr="00592116">
              <w:rPr>
                <w:rFonts w:cstheme="minorHAnsi"/>
                <w:sz w:val="18"/>
                <w:szCs w:val="18"/>
              </w:rPr>
              <w:t>No</w:t>
            </w:r>
          </w:p>
        </w:tc>
        <w:tc>
          <w:tcPr>
            <w:tcW w:w="2894" w:type="dxa"/>
            <w:gridSpan w:val="3"/>
          </w:tcPr>
          <w:p w14:paraId="105A9293" w14:textId="77777777" w:rsidR="001F32AA" w:rsidRPr="00592116" w:rsidRDefault="001F32AA" w:rsidP="00592116">
            <w:pPr>
              <w:spacing w:line="360" w:lineRule="auto"/>
              <w:rPr>
                <w:rFonts w:cstheme="minorHAnsi"/>
                <w:sz w:val="18"/>
                <w:szCs w:val="18"/>
              </w:rPr>
            </w:pPr>
            <w:r w:rsidRPr="00592116">
              <w:rPr>
                <w:rFonts w:cstheme="minorHAnsi"/>
                <w:sz w:val="18"/>
                <w:szCs w:val="18"/>
              </w:rPr>
              <w:t>Comments/description</w:t>
            </w:r>
          </w:p>
        </w:tc>
      </w:tr>
      <w:tr w:rsidR="001F32AA" w:rsidRPr="00592116" w14:paraId="0FDD5EDF" w14:textId="77777777" w:rsidTr="00592116">
        <w:trPr>
          <w:trHeight w:val="343"/>
        </w:trPr>
        <w:tc>
          <w:tcPr>
            <w:tcW w:w="3707" w:type="dxa"/>
          </w:tcPr>
          <w:p w14:paraId="451D3192" w14:textId="77777777" w:rsidR="001F32AA" w:rsidRPr="00592116" w:rsidRDefault="001F32AA" w:rsidP="00592116">
            <w:pPr>
              <w:spacing w:line="360" w:lineRule="auto"/>
              <w:rPr>
                <w:rFonts w:cstheme="minorHAnsi"/>
                <w:sz w:val="18"/>
                <w:szCs w:val="18"/>
              </w:rPr>
            </w:pPr>
            <w:r w:rsidRPr="00592116">
              <w:rPr>
                <w:rFonts w:cstheme="minorHAnsi"/>
                <w:sz w:val="18"/>
                <w:szCs w:val="18"/>
              </w:rPr>
              <w:lastRenderedPageBreak/>
              <w:t>Pain and tenderness at catheter site*</w:t>
            </w:r>
          </w:p>
        </w:tc>
        <w:tc>
          <w:tcPr>
            <w:tcW w:w="1527" w:type="dxa"/>
            <w:gridSpan w:val="2"/>
          </w:tcPr>
          <w:p w14:paraId="0C03778C" w14:textId="77777777" w:rsidR="001F32AA" w:rsidRPr="00592116" w:rsidRDefault="001F32AA" w:rsidP="00592116">
            <w:pPr>
              <w:spacing w:line="360" w:lineRule="auto"/>
              <w:rPr>
                <w:rFonts w:cstheme="minorHAnsi"/>
                <w:sz w:val="18"/>
                <w:szCs w:val="18"/>
              </w:rPr>
            </w:pPr>
          </w:p>
        </w:tc>
        <w:tc>
          <w:tcPr>
            <w:tcW w:w="1553" w:type="dxa"/>
            <w:gridSpan w:val="2"/>
          </w:tcPr>
          <w:p w14:paraId="7C0DF09A" w14:textId="77777777" w:rsidR="001F32AA" w:rsidRPr="00592116" w:rsidRDefault="001F32AA" w:rsidP="00592116">
            <w:pPr>
              <w:spacing w:line="360" w:lineRule="auto"/>
              <w:rPr>
                <w:rFonts w:cstheme="minorHAnsi"/>
                <w:sz w:val="18"/>
                <w:szCs w:val="18"/>
              </w:rPr>
            </w:pPr>
          </w:p>
        </w:tc>
        <w:tc>
          <w:tcPr>
            <w:tcW w:w="2894" w:type="dxa"/>
            <w:gridSpan w:val="3"/>
          </w:tcPr>
          <w:p w14:paraId="3DD42D5F" w14:textId="77777777" w:rsidR="001F32AA" w:rsidRPr="00592116" w:rsidRDefault="001F32AA" w:rsidP="00592116">
            <w:pPr>
              <w:spacing w:line="360" w:lineRule="auto"/>
              <w:rPr>
                <w:rFonts w:cstheme="minorHAnsi"/>
                <w:sz w:val="18"/>
                <w:szCs w:val="18"/>
              </w:rPr>
            </w:pPr>
          </w:p>
        </w:tc>
      </w:tr>
      <w:tr w:rsidR="001F32AA" w:rsidRPr="00592116" w14:paraId="7C6CA3E8" w14:textId="77777777" w:rsidTr="00592116">
        <w:trPr>
          <w:trHeight w:val="333"/>
        </w:trPr>
        <w:tc>
          <w:tcPr>
            <w:tcW w:w="3707" w:type="dxa"/>
          </w:tcPr>
          <w:p w14:paraId="3A8D3DD2" w14:textId="77777777" w:rsidR="001F32AA" w:rsidRPr="00592116" w:rsidRDefault="001F32AA" w:rsidP="00592116">
            <w:pPr>
              <w:spacing w:line="360" w:lineRule="auto"/>
              <w:rPr>
                <w:rFonts w:cstheme="minorHAnsi"/>
                <w:sz w:val="18"/>
                <w:szCs w:val="18"/>
              </w:rPr>
            </w:pPr>
            <w:r w:rsidRPr="00592116">
              <w:rPr>
                <w:rFonts w:cstheme="minorHAnsi"/>
                <w:sz w:val="18"/>
                <w:szCs w:val="18"/>
              </w:rPr>
              <w:t>Redness &gt;1cm from insertion site</w:t>
            </w:r>
          </w:p>
        </w:tc>
        <w:tc>
          <w:tcPr>
            <w:tcW w:w="1527" w:type="dxa"/>
            <w:gridSpan w:val="2"/>
          </w:tcPr>
          <w:p w14:paraId="57896C97" w14:textId="77777777" w:rsidR="001F32AA" w:rsidRPr="00592116" w:rsidRDefault="001F32AA" w:rsidP="00592116">
            <w:pPr>
              <w:spacing w:line="360" w:lineRule="auto"/>
              <w:rPr>
                <w:rFonts w:cstheme="minorHAnsi"/>
                <w:sz w:val="18"/>
                <w:szCs w:val="18"/>
              </w:rPr>
            </w:pPr>
          </w:p>
        </w:tc>
        <w:tc>
          <w:tcPr>
            <w:tcW w:w="1553" w:type="dxa"/>
            <w:gridSpan w:val="2"/>
          </w:tcPr>
          <w:p w14:paraId="4E17CBC0" w14:textId="77777777" w:rsidR="001F32AA" w:rsidRPr="00592116" w:rsidRDefault="001F32AA" w:rsidP="00592116">
            <w:pPr>
              <w:spacing w:line="360" w:lineRule="auto"/>
              <w:rPr>
                <w:rFonts w:cstheme="minorHAnsi"/>
                <w:sz w:val="18"/>
                <w:szCs w:val="18"/>
              </w:rPr>
            </w:pPr>
          </w:p>
        </w:tc>
        <w:tc>
          <w:tcPr>
            <w:tcW w:w="2894" w:type="dxa"/>
            <w:gridSpan w:val="3"/>
          </w:tcPr>
          <w:p w14:paraId="01F05800" w14:textId="77777777" w:rsidR="001F32AA" w:rsidRPr="00592116" w:rsidRDefault="001F32AA" w:rsidP="00592116">
            <w:pPr>
              <w:spacing w:line="360" w:lineRule="auto"/>
              <w:rPr>
                <w:rFonts w:cstheme="minorHAnsi"/>
                <w:sz w:val="18"/>
                <w:szCs w:val="18"/>
              </w:rPr>
            </w:pPr>
          </w:p>
        </w:tc>
      </w:tr>
      <w:tr w:rsidR="001F32AA" w:rsidRPr="00592116" w14:paraId="35427FB1" w14:textId="77777777" w:rsidTr="00592116">
        <w:trPr>
          <w:trHeight w:val="333"/>
        </w:trPr>
        <w:tc>
          <w:tcPr>
            <w:tcW w:w="3707" w:type="dxa"/>
          </w:tcPr>
          <w:p w14:paraId="6ED8E60E" w14:textId="77777777" w:rsidR="001F32AA" w:rsidRPr="00592116" w:rsidRDefault="001F32AA" w:rsidP="00592116">
            <w:pPr>
              <w:spacing w:line="360" w:lineRule="auto"/>
              <w:rPr>
                <w:rFonts w:cstheme="minorHAnsi"/>
                <w:sz w:val="18"/>
                <w:szCs w:val="18"/>
              </w:rPr>
            </w:pPr>
            <w:r w:rsidRPr="00592116">
              <w:rPr>
                <w:rFonts w:cstheme="minorHAnsi"/>
                <w:sz w:val="18"/>
                <w:szCs w:val="18"/>
              </w:rPr>
              <w:t>Swelling &gt;1cm from insertion site</w:t>
            </w:r>
          </w:p>
        </w:tc>
        <w:tc>
          <w:tcPr>
            <w:tcW w:w="1527" w:type="dxa"/>
            <w:gridSpan w:val="2"/>
          </w:tcPr>
          <w:p w14:paraId="11FE91B6" w14:textId="77777777" w:rsidR="001F32AA" w:rsidRPr="00592116" w:rsidRDefault="001F32AA" w:rsidP="00592116">
            <w:pPr>
              <w:spacing w:line="360" w:lineRule="auto"/>
              <w:rPr>
                <w:rFonts w:cstheme="minorHAnsi"/>
                <w:sz w:val="18"/>
                <w:szCs w:val="18"/>
              </w:rPr>
            </w:pPr>
          </w:p>
        </w:tc>
        <w:tc>
          <w:tcPr>
            <w:tcW w:w="1553" w:type="dxa"/>
            <w:gridSpan w:val="2"/>
          </w:tcPr>
          <w:p w14:paraId="6E28B8DF" w14:textId="77777777" w:rsidR="001F32AA" w:rsidRPr="00592116" w:rsidRDefault="001F32AA" w:rsidP="00592116">
            <w:pPr>
              <w:spacing w:line="360" w:lineRule="auto"/>
              <w:rPr>
                <w:rFonts w:cstheme="minorHAnsi"/>
                <w:sz w:val="18"/>
                <w:szCs w:val="18"/>
              </w:rPr>
            </w:pPr>
          </w:p>
        </w:tc>
        <w:tc>
          <w:tcPr>
            <w:tcW w:w="2894" w:type="dxa"/>
            <w:gridSpan w:val="3"/>
          </w:tcPr>
          <w:p w14:paraId="2B494756" w14:textId="77777777" w:rsidR="001F32AA" w:rsidRPr="00592116" w:rsidRDefault="001F32AA" w:rsidP="00592116">
            <w:pPr>
              <w:spacing w:line="360" w:lineRule="auto"/>
              <w:rPr>
                <w:rFonts w:cstheme="minorHAnsi"/>
                <w:sz w:val="18"/>
                <w:szCs w:val="18"/>
              </w:rPr>
            </w:pPr>
          </w:p>
        </w:tc>
      </w:tr>
      <w:tr w:rsidR="001F32AA" w:rsidRPr="00592116" w14:paraId="2E6C16ED" w14:textId="77777777" w:rsidTr="00592116">
        <w:trPr>
          <w:trHeight w:val="333"/>
        </w:trPr>
        <w:tc>
          <w:tcPr>
            <w:tcW w:w="3707" w:type="dxa"/>
          </w:tcPr>
          <w:p w14:paraId="53296DC9" w14:textId="77777777" w:rsidR="001F32AA" w:rsidRPr="00592116" w:rsidRDefault="001F32AA" w:rsidP="00592116">
            <w:pPr>
              <w:spacing w:line="360" w:lineRule="auto"/>
              <w:rPr>
                <w:rFonts w:cstheme="minorHAnsi"/>
                <w:sz w:val="18"/>
                <w:szCs w:val="18"/>
              </w:rPr>
            </w:pPr>
            <w:r w:rsidRPr="00592116">
              <w:rPr>
                <w:rFonts w:cstheme="minorHAnsi"/>
                <w:sz w:val="18"/>
                <w:szCs w:val="18"/>
              </w:rPr>
              <w:t>Bruising at site</w:t>
            </w:r>
          </w:p>
        </w:tc>
        <w:tc>
          <w:tcPr>
            <w:tcW w:w="1527" w:type="dxa"/>
            <w:gridSpan w:val="2"/>
          </w:tcPr>
          <w:p w14:paraId="7765929B" w14:textId="77777777" w:rsidR="001F32AA" w:rsidRPr="00592116" w:rsidRDefault="001F32AA" w:rsidP="00592116">
            <w:pPr>
              <w:spacing w:line="360" w:lineRule="auto"/>
              <w:rPr>
                <w:rFonts w:cstheme="minorHAnsi"/>
                <w:sz w:val="18"/>
                <w:szCs w:val="18"/>
              </w:rPr>
            </w:pPr>
          </w:p>
        </w:tc>
        <w:tc>
          <w:tcPr>
            <w:tcW w:w="1553" w:type="dxa"/>
            <w:gridSpan w:val="2"/>
          </w:tcPr>
          <w:p w14:paraId="0EB6354E" w14:textId="77777777" w:rsidR="001F32AA" w:rsidRPr="00592116" w:rsidRDefault="001F32AA" w:rsidP="00592116">
            <w:pPr>
              <w:spacing w:line="360" w:lineRule="auto"/>
              <w:rPr>
                <w:rFonts w:cstheme="minorHAnsi"/>
                <w:sz w:val="18"/>
                <w:szCs w:val="18"/>
              </w:rPr>
            </w:pPr>
          </w:p>
        </w:tc>
        <w:tc>
          <w:tcPr>
            <w:tcW w:w="2894" w:type="dxa"/>
            <w:gridSpan w:val="3"/>
          </w:tcPr>
          <w:p w14:paraId="7F27A183" w14:textId="77777777" w:rsidR="001F32AA" w:rsidRPr="00592116" w:rsidRDefault="001F32AA" w:rsidP="00592116">
            <w:pPr>
              <w:spacing w:line="360" w:lineRule="auto"/>
              <w:rPr>
                <w:rFonts w:cstheme="minorHAnsi"/>
                <w:sz w:val="18"/>
                <w:szCs w:val="18"/>
              </w:rPr>
            </w:pPr>
          </w:p>
        </w:tc>
      </w:tr>
      <w:tr w:rsidR="001F32AA" w:rsidRPr="00592116" w14:paraId="125BC881" w14:textId="77777777" w:rsidTr="00592116">
        <w:trPr>
          <w:trHeight w:val="333"/>
        </w:trPr>
        <w:tc>
          <w:tcPr>
            <w:tcW w:w="3707" w:type="dxa"/>
          </w:tcPr>
          <w:p w14:paraId="03B85127" w14:textId="77777777" w:rsidR="001F32AA" w:rsidRPr="00592116" w:rsidRDefault="001F32AA" w:rsidP="00592116">
            <w:pPr>
              <w:spacing w:line="360" w:lineRule="auto"/>
              <w:rPr>
                <w:rFonts w:cstheme="minorHAnsi"/>
                <w:sz w:val="18"/>
                <w:szCs w:val="18"/>
              </w:rPr>
            </w:pPr>
            <w:r w:rsidRPr="00592116">
              <w:rPr>
                <w:rFonts w:cstheme="minorHAnsi"/>
                <w:sz w:val="18"/>
                <w:szCs w:val="18"/>
              </w:rPr>
              <w:t>Bleeding at site</w:t>
            </w:r>
          </w:p>
        </w:tc>
        <w:tc>
          <w:tcPr>
            <w:tcW w:w="1527" w:type="dxa"/>
            <w:gridSpan w:val="2"/>
          </w:tcPr>
          <w:p w14:paraId="510DEA7B" w14:textId="77777777" w:rsidR="001F32AA" w:rsidRPr="00592116" w:rsidRDefault="001F32AA" w:rsidP="00592116">
            <w:pPr>
              <w:spacing w:line="360" w:lineRule="auto"/>
              <w:rPr>
                <w:rFonts w:cstheme="minorHAnsi"/>
                <w:sz w:val="18"/>
                <w:szCs w:val="18"/>
              </w:rPr>
            </w:pPr>
          </w:p>
        </w:tc>
        <w:tc>
          <w:tcPr>
            <w:tcW w:w="1553" w:type="dxa"/>
            <w:gridSpan w:val="2"/>
          </w:tcPr>
          <w:p w14:paraId="1DE95C0F" w14:textId="77777777" w:rsidR="001F32AA" w:rsidRPr="00592116" w:rsidRDefault="001F32AA" w:rsidP="00592116">
            <w:pPr>
              <w:spacing w:line="360" w:lineRule="auto"/>
              <w:rPr>
                <w:rFonts w:cstheme="minorHAnsi"/>
                <w:sz w:val="18"/>
                <w:szCs w:val="18"/>
              </w:rPr>
            </w:pPr>
          </w:p>
        </w:tc>
        <w:tc>
          <w:tcPr>
            <w:tcW w:w="2894" w:type="dxa"/>
            <w:gridSpan w:val="3"/>
          </w:tcPr>
          <w:p w14:paraId="1C7D6A17" w14:textId="77777777" w:rsidR="001F32AA" w:rsidRPr="00592116" w:rsidRDefault="001F32AA" w:rsidP="00592116">
            <w:pPr>
              <w:spacing w:line="360" w:lineRule="auto"/>
              <w:rPr>
                <w:rFonts w:cstheme="minorHAnsi"/>
                <w:sz w:val="18"/>
                <w:szCs w:val="18"/>
              </w:rPr>
            </w:pPr>
          </w:p>
        </w:tc>
      </w:tr>
      <w:tr w:rsidR="001F32AA" w:rsidRPr="00592116" w14:paraId="2166B468" w14:textId="77777777" w:rsidTr="00592116">
        <w:trPr>
          <w:trHeight w:val="333"/>
        </w:trPr>
        <w:tc>
          <w:tcPr>
            <w:tcW w:w="3707" w:type="dxa"/>
          </w:tcPr>
          <w:p w14:paraId="6627AFAA" w14:textId="77777777" w:rsidR="001F32AA" w:rsidRPr="00592116" w:rsidRDefault="001F32AA" w:rsidP="00592116">
            <w:pPr>
              <w:spacing w:line="360" w:lineRule="auto"/>
              <w:rPr>
                <w:rFonts w:cstheme="minorHAnsi"/>
                <w:sz w:val="18"/>
                <w:szCs w:val="18"/>
              </w:rPr>
            </w:pPr>
            <w:r w:rsidRPr="00592116">
              <w:rPr>
                <w:rFonts w:cstheme="minorHAnsi"/>
                <w:sz w:val="18"/>
                <w:szCs w:val="18"/>
              </w:rPr>
              <w:t>Purulence/evidence of infection</w:t>
            </w:r>
          </w:p>
        </w:tc>
        <w:tc>
          <w:tcPr>
            <w:tcW w:w="1527" w:type="dxa"/>
            <w:gridSpan w:val="2"/>
          </w:tcPr>
          <w:p w14:paraId="1B8AEC72" w14:textId="77777777" w:rsidR="001F32AA" w:rsidRPr="00592116" w:rsidRDefault="001F32AA" w:rsidP="00592116">
            <w:pPr>
              <w:spacing w:line="360" w:lineRule="auto"/>
              <w:rPr>
                <w:rFonts w:cstheme="minorHAnsi"/>
                <w:sz w:val="18"/>
                <w:szCs w:val="18"/>
              </w:rPr>
            </w:pPr>
          </w:p>
        </w:tc>
        <w:tc>
          <w:tcPr>
            <w:tcW w:w="1553" w:type="dxa"/>
            <w:gridSpan w:val="2"/>
          </w:tcPr>
          <w:p w14:paraId="3B9D832B" w14:textId="77777777" w:rsidR="001F32AA" w:rsidRPr="00592116" w:rsidRDefault="001F32AA" w:rsidP="00592116">
            <w:pPr>
              <w:spacing w:line="360" w:lineRule="auto"/>
              <w:rPr>
                <w:rFonts w:cstheme="minorHAnsi"/>
                <w:sz w:val="18"/>
                <w:szCs w:val="18"/>
              </w:rPr>
            </w:pPr>
          </w:p>
        </w:tc>
        <w:tc>
          <w:tcPr>
            <w:tcW w:w="2894" w:type="dxa"/>
            <w:gridSpan w:val="3"/>
          </w:tcPr>
          <w:p w14:paraId="24BDD37A" w14:textId="77777777" w:rsidR="001F32AA" w:rsidRPr="00592116" w:rsidRDefault="001F32AA" w:rsidP="00592116">
            <w:pPr>
              <w:spacing w:line="360" w:lineRule="auto"/>
              <w:rPr>
                <w:rFonts w:cstheme="minorHAnsi"/>
                <w:sz w:val="18"/>
                <w:szCs w:val="18"/>
              </w:rPr>
            </w:pPr>
          </w:p>
        </w:tc>
      </w:tr>
      <w:tr w:rsidR="001F32AA" w:rsidRPr="00592116" w14:paraId="1175FDF5" w14:textId="77777777" w:rsidTr="00592116">
        <w:trPr>
          <w:trHeight w:val="333"/>
        </w:trPr>
        <w:tc>
          <w:tcPr>
            <w:tcW w:w="3707" w:type="dxa"/>
          </w:tcPr>
          <w:p w14:paraId="7C23BF63" w14:textId="77777777" w:rsidR="001F32AA" w:rsidRPr="00592116" w:rsidRDefault="001F32AA" w:rsidP="00592116">
            <w:pPr>
              <w:spacing w:line="360" w:lineRule="auto"/>
              <w:rPr>
                <w:rFonts w:cstheme="minorHAnsi"/>
                <w:sz w:val="18"/>
                <w:szCs w:val="18"/>
              </w:rPr>
            </w:pPr>
            <w:r w:rsidRPr="00592116">
              <w:rPr>
                <w:rFonts w:cstheme="minorHAnsi"/>
                <w:sz w:val="18"/>
                <w:szCs w:val="18"/>
              </w:rPr>
              <w:t>Induration of skin at insertion site</w:t>
            </w:r>
          </w:p>
        </w:tc>
        <w:tc>
          <w:tcPr>
            <w:tcW w:w="1527" w:type="dxa"/>
            <w:gridSpan w:val="2"/>
          </w:tcPr>
          <w:p w14:paraId="02722F5B" w14:textId="77777777" w:rsidR="001F32AA" w:rsidRPr="00592116" w:rsidRDefault="001F32AA" w:rsidP="00592116">
            <w:pPr>
              <w:spacing w:line="360" w:lineRule="auto"/>
              <w:rPr>
                <w:rFonts w:cstheme="minorHAnsi"/>
                <w:sz w:val="18"/>
                <w:szCs w:val="18"/>
              </w:rPr>
            </w:pPr>
          </w:p>
        </w:tc>
        <w:tc>
          <w:tcPr>
            <w:tcW w:w="1553" w:type="dxa"/>
            <w:gridSpan w:val="2"/>
          </w:tcPr>
          <w:p w14:paraId="718F693B" w14:textId="77777777" w:rsidR="001F32AA" w:rsidRPr="00592116" w:rsidRDefault="001F32AA" w:rsidP="00592116">
            <w:pPr>
              <w:spacing w:line="360" w:lineRule="auto"/>
              <w:rPr>
                <w:rFonts w:cstheme="minorHAnsi"/>
                <w:sz w:val="18"/>
                <w:szCs w:val="18"/>
              </w:rPr>
            </w:pPr>
          </w:p>
        </w:tc>
        <w:tc>
          <w:tcPr>
            <w:tcW w:w="2894" w:type="dxa"/>
            <w:gridSpan w:val="3"/>
          </w:tcPr>
          <w:p w14:paraId="25C4FEF7" w14:textId="77777777" w:rsidR="001F32AA" w:rsidRPr="00592116" w:rsidRDefault="001F32AA" w:rsidP="00592116">
            <w:pPr>
              <w:spacing w:line="360" w:lineRule="auto"/>
              <w:rPr>
                <w:rFonts w:cstheme="minorHAnsi"/>
                <w:sz w:val="18"/>
                <w:szCs w:val="18"/>
              </w:rPr>
            </w:pPr>
          </w:p>
        </w:tc>
      </w:tr>
      <w:tr w:rsidR="001F32AA" w:rsidRPr="00592116" w14:paraId="7ED55206" w14:textId="77777777" w:rsidTr="00592116">
        <w:trPr>
          <w:trHeight w:val="333"/>
        </w:trPr>
        <w:tc>
          <w:tcPr>
            <w:tcW w:w="3707" w:type="dxa"/>
          </w:tcPr>
          <w:p w14:paraId="769C6AA1" w14:textId="77777777" w:rsidR="001F32AA" w:rsidRPr="00592116" w:rsidRDefault="001F32AA" w:rsidP="00592116">
            <w:pPr>
              <w:spacing w:line="360" w:lineRule="auto"/>
              <w:rPr>
                <w:rFonts w:cstheme="minorHAnsi"/>
                <w:sz w:val="18"/>
                <w:szCs w:val="18"/>
              </w:rPr>
            </w:pPr>
            <w:r w:rsidRPr="00592116">
              <w:rPr>
                <w:rFonts w:cstheme="minorHAnsi"/>
                <w:sz w:val="18"/>
                <w:szCs w:val="18"/>
              </w:rPr>
              <w:t>Partial/complete dislodgement</w:t>
            </w:r>
          </w:p>
        </w:tc>
        <w:tc>
          <w:tcPr>
            <w:tcW w:w="1527" w:type="dxa"/>
            <w:gridSpan w:val="2"/>
          </w:tcPr>
          <w:p w14:paraId="69B39F64" w14:textId="77777777" w:rsidR="001F32AA" w:rsidRPr="00592116" w:rsidRDefault="001F32AA" w:rsidP="00592116">
            <w:pPr>
              <w:spacing w:line="360" w:lineRule="auto"/>
              <w:rPr>
                <w:rFonts w:cstheme="minorHAnsi"/>
                <w:sz w:val="18"/>
                <w:szCs w:val="18"/>
              </w:rPr>
            </w:pPr>
          </w:p>
        </w:tc>
        <w:tc>
          <w:tcPr>
            <w:tcW w:w="1553" w:type="dxa"/>
            <w:gridSpan w:val="2"/>
          </w:tcPr>
          <w:p w14:paraId="2AF6B7BD" w14:textId="77777777" w:rsidR="001F32AA" w:rsidRPr="00592116" w:rsidRDefault="001F32AA" w:rsidP="00592116">
            <w:pPr>
              <w:spacing w:line="360" w:lineRule="auto"/>
              <w:rPr>
                <w:rFonts w:cstheme="minorHAnsi"/>
                <w:sz w:val="18"/>
                <w:szCs w:val="18"/>
              </w:rPr>
            </w:pPr>
          </w:p>
        </w:tc>
        <w:tc>
          <w:tcPr>
            <w:tcW w:w="2894" w:type="dxa"/>
            <w:gridSpan w:val="3"/>
          </w:tcPr>
          <w:p w14:paraId="55F3A387" w14:textId="77777777" w:rsidR="001F32AA" w:rsidRPr="00592116" w:rsidRDefault="001F32AA" w:rsidP="00592116">
            <w:pPr>
              <w:spacing w:line="360" w:lineRule="auto"/>
              <w:rPr>
                <w:rFonts w:cstheme="minorHAnsi"/>
                <w:sz w:val="18"/>
                <w:szCs w:val="18"/>
              </w:rPr>
            </w:pPr>
          </w:p>
        </w:tc>
      </w:tr>
      <w:tr w:rsidR="001F32AA" w:rsidRPr="00592116" w14:paraId="12EA9B90" w14:textId="77777777" w:rsidTr="00592116">
        <w:trPr>
          <w:trHeight w:val="330"/>
        </w:trPr>
        <w:tc>
          <w:tcPr>
            <w:tcW w:w="3707" w:type="dxa"/>
          </w:tcPr>
          <w:p w14:paraId="58B8A42B" w14:textId="77777777" w:rsidR="001F32AA" w:rsidRPr="00592116" w:rsidRDefault="001F32AA" w:rsidP="00592116">
            <w:pPr>
              <w:spacing w:line="360" w:lineRule="auto"/>
              <w:rPr>
                <w:rFonts w:cstheme="minorHAnsi"/>
                <w:sz w:val="18"/>
                <w:szCs w:val="18"/>
              </w:rPr>
            </w:pPr>
            <w:r w:rsidRPr="00592116">
              <w:rPr>
                <w:rFonts w:cstheme="minorHAnsi"/>
                <w:sz w:val="18"/>
                <w:szCs w:val="18"/>
              </w:rPr>
              <w:t>Loose/lifted dressing</w:t>
            </w:r>
          </w:p>
        </w:tc>
        <w:tc>
          <w:tcPr>
            <w:tcW w:w="1527" w:type="dxa"/>
            <w:gridSpan w:val="2"/>
          </w:tcPr>
          <w:p w14:paraId="3E7EE65B" w14:textId="77777777" w:rsidR="001F32AA" w:rsidRPr="00592116" w:rsidRDefault="001F32AA" w:rsidP="00592116">
            <w:pPr>
              <w:spacing w:line="360" w:lineRule="auto"/>
              <w:rPr>
                <w:rFonts w:cstheme="minorHAnsi"/>
                <w:sz w:val="18"/>
                <w:szCs w:val="18"/>
              </w:rPr>
            </w:pPr>
          </w:p>
        </w:tc>
        <w:tc>
          <w:tcPr>
            <w:tcW w:w="1553" w:type="dxa"/>
            <w:gridSpan w:val="2"/>
          </w:tcPr>
          <w:p w14:paraId="2557F7A5" w14:textId="77777777" w:rsidR="001F32AA" w:rsidRPr="00592116" w:rsidRDefault="001F32AA" w:rsidP="00592116">
            <w:pPr>
              <w:spacing w:line="360" w:lineRule="auto"/>
              <w:rPr>
                <w:rFonts w:cstheme="minorHAnsi"/>
                <w:sz w:val="18"/>
                <w:szCs w:val="18"/>
              </w:rPr>
            </w:pPr>
          </w:p>
        </w:tc>
        <w:tc>
          <w:tcPr>
            <w:tcW w:w="2894" w:type="dxa"/>
            <w:gridSpan w:val="3"/>
          </w:tcPr>
          <w:p w14:paraId="3AC42C77" w14:textId="77777777" w:rsidR="001F32AA" w:rsidRPr="00592116" w:rsidRDefault="001F32AA" w:rsidP="00592116">
            <w:pPr>
              <w:spacing w:line="360" w:lineRule="auto"/>
              <w:rPr>
                <w:rFonts w:cstheme="minorHAnsi"/>
                <w:sz w:val="18"/>
                <w:szCs w:val="18"/>
              </w:rPr>
            </w:pPr>
          </w:p>
        </w:tc>
      </w:tr>
      <w:tr w:rsidR="001F32AA" w:rsidRPr="00592116" w14:paraId="03C9730A" w14:textId="77777777" w:rsidTr="00592116">
        <w:trPr>
          <w:trHeight w:val="318"/>
        </w:trPr>
        <w:tc>
          <w:tcPr>
            <w:tcW w:w="3707" w:type="dxa"/>
          </w:tcPr>
          <w:p w14:paraId="4D5E9DFB" w14:textId="77777777" w:rsidR="001F32AA" w:rsidRPr="00592116" w:rsidRDefault="001F32AA" w:rsidP="00592116">
            <w:pPr>
              <w:spacing w:line="360" w:lineRule="auto"/>
              <w:rPr>
                <w:rFonts w:cstheme="minorHAnsi"/>
                <w:sz w:val="18"/>
                <w:szCs w:val="18"/>
              </w:rPr>
            </w:pPr>
            <w:r w:rsidRPr="00592116">
              <w:rPr>
                <w:rFonts w:cstheme="minorHAnsi"/>
                <w:sz w:val="18"/>
                <w:szCs w:val="18"/>
              </w:rPr>
              <w:t>Required replacement of catheter once</w:t>
            </w:r>
          </w:p>
        </w:tc>
        <w:tc>
          <w:tcPr>
            <w:tcW w:w="1527" w:type="dxa"/>
            <w:gridSpan w:val="2"/>
          </w:tcPr>
          <w:p w14:paraId="41DF88A4" w14:textId="77777777" w:rsidR="001F32AA" w:rsidRPr="00592116" w:rsidRDefault="001F32AA" w:rsidP="00592116">
            <w:pPr>
              <w:spacing w:line="360" w:lineRule="auto"/>
              <w:rPr>
                <w:rFonts w:cstheme="minorHAnsi"/>
                <w:sz w:val="18"/>
                <w:szCs w:val="18"/>
              </w:rPr>
            </w:pPr>
          </w:p>
        </w:tc>
        <w:tc>
          <w:tcPr>
            <w:tcW w:w="1553" w:type="dxa"/>
            <w:gridSpan w:val="2"/>
          </w:tcPr>
          <w:p w14:paraId="3789C8FB" w14:textId="77777777" w:rsidR="001F32AA" w:rsidRPr="00592116" w:rsidRDefault="001F32AA" w:rsidP="00592116">
            <w:pPr>
              <w:spacing w:line="360" w:lineRule="auto"/>
              <w:rPr>
                <w:rFonts w:cstheme="minorHAnsi"/>
                <w:sz w:val="18"/>
                <w:szCs w:val="18"/>
              </w:rPr>
            </w:pPr>
          </w:p>
        </w:tc>
        <w:tc>
          <w:tcPr>
            <w:tcW w:w="2894" w:type="dxa"/>
            <w:gridSpan w:val="3"/>
          </w:tcPr>
          <w:p w14:paraId="3BF01103" w14:textId="77777777" w:rsidR="001F32AA" w:rsidRPr="00592116" w:rsidRDefault="001F32AA" w:rsidP="00592116">
            <w:pPr>
              <w:spacing w:line="360" w:lineRule="auto"/>
              <w:rPr>
                <w:rFonts w:cstheme="minorHAnsi"/>
                <w:sz w:val="18"/>
                <w:szCs w:val="18"/>
              </w:rPr>
            </w:pPr>
          </w:p>
        </w:tc>
      </w:tr>
      <w:tr w:rsidR="001F32AA" w:rsidRPr="00592116" w14:paraId="1D7092F3" w14:textId="77777777" w:rsidTr="00592116">
        <w:trPr>
          <w:trHeight w:val="161"/>
        </w:trPr>
        <w:tc>
          <w:tcPr>
            <w:tcW w:w="3707" w:type="dxa"/>
          </w:tcPr>
          <w:p w14:paraId="624EFD07" w14:textId="77777777" w:rsidR="001F32AA" w:rsidRPr="00592116" w:rsidRDefault="001F32AA" w:rsidP="00592116">
            <w:pPr>
              <w:spacing w:line="360" w:lineRule="auto"/>
              <w:rPr>
                <w:rFonts w:cstheme="minorHAnsi"/>
                <w:sz w:val="18"/>
                <w:szCs w:val="18"/>
              </w:rPr>
            </w:pPr>
            <w:r w:rsidRPr="00592116">
              <w:rPr>
                <w:rFonts w:cstheme="minorHAnsi"/>
                <w:sz w:val="18"/>
                <w:szCs w:val="18"/>
              </w:rPr>
              <w:t>Required replacement of catheter more than once</w:t>
            </w:r>
          </w:p>
        </w:tc>
        <w:tc>
          <w:tcPr>
            <w:tcW w:w="1527" w:type="dxa"/>
            <w:gridSpan w:val="2"/>
          </w:tcPr>
          <w:p w14:paraId="0B4DF0CE" w14:textId="77777777" w:rsidR="001F32AA" w:rsidRPr="00592116" w:rsidRDefault="001F32AA" w:rsidP="00592116">
            <w:pPr>
              <w:spacing w:line="360" w:lineRule="auto"/>
              <w:rPr>
                <w:rFonts w:cstheme="minorHAnsi"/>
                <w:sz w:val="18"/>
                <w:szCs w:val="18"/>
              </w:rPr>
            </w:pPr>
          </w:p>
        </w:tc>
        <w:tc>
          <w:tcPr>
            <w:tcW w:w="1553" w:type="dxa"/>
            <w:gridSpan w:val="2"/>
          </w:tcPr>
          <w:p w14:paraId="481BBA98" w14:textId="77777777" w:rsidR="001F32AA" w:rsidRPr="00592116" w:rsidRDefault="001F32AA" w:rsidP="00592116">
            <w:pPr>
              <w:spacing w:line="360" w:lineRule="auto"/>
              <w:rPr>
                <w:rFonts w:cstheme="minorHAnsi"/>
                <w:sz w:val="18"/>
                <w:szCs w:val="18"/>
              </w:rPr>
            </w:pPr>
          </w:p>
        </w:tc>
        <w:tc>
          <w:tcPr>
            <w:tcW w:w="2894" w:type="dxa"/>
            <w:gridSpan w:val="3"/>
          </w:tcPr>
          <w:p w14:paraId="6AD2360D" w14:textId="77777777" w:rsidR="001F32AA" w:rsidRPr="00592116" w:rsidRDefault="001F32AA" w:rsidP="00592116">
            <w:pPr>
              <w:spacing w:line="360" w:lineRule="auto"/>
              <w:rPr>
                <w:rFonts w:cstheme="minorHAnsi"/>
                <w:sz w:val="18"/>
                <w:szCs w:val="18"/>
              </w:rPr>
            </w:pPr>
          </w:p>
        </w:tc>
      </w:tr>
    </w:tbl>
    <w:p w14:paraId="1C004197" w14:textId="4B190D1F" w:rsidR="00132EF4" w:rsidRPr="002C7DEE" w:rsidRDefault="0000164A" w:rsidP="00592116">
      <w:pPr>
        <w:spacing w:line="360" w:lineRule="auto"/>
        <w:jc w:val="both"/>
        <w:rPr>
          <w:rFonts w:ascii="Times" w:hAnsi="Times" w:cstheme="majorHAnsi"/>
          <w:sz w:val="22"/>
          <w:szCs w:val="22"/>
        </w:rPr>
      </w:pPr>
      <w:r w:rsidRPr="002C7DEE">
        <w:rPr>
          <w:rFonts w:ascii="Times" w:hAnsi="Times" w:cstheme="majorHAnsi"/>
          <w:sz w:val="22"/>
          <w:szCs w:val="22"/>
        </w:rPr>
        <w:t>* Visual analogue scale if answers yes</w:t>
      </w:r>
    </w:p>
    <w:p w14:paraId="402AEBB1" w14:textId="414FE58B" w:rsidR="0018285A" w:rsidRPr="002C7DEE" w:rsidRDefault="0018285A" w:rsidP="00075724">
      <w:pPr>
        <w:jc w:val="both"/>
        <w:rPr>
          <w:rFonts w:ascii="Times" w:hAnsi="Times" w:cstheme="majorHAnsi"/>
          <w:sz w:val="22"/>
          <w:szCs w:val="22"/>
        </w:rPr>
      </w:pPr>
    </w:p>
    <w:p w14:paraId="3125DAB1" w14:textId="04F4790B" w:rsidR="0018285A" w:rsidRPr="002C7DEE" w:rsidRDefault="00CB07E7" w:rsidP="00075724">
      <w:pPr>
        <w:jc w:val="both"/>
        <w:rPr>
          <w:rFonts w:ascii="Times" w:hAnsi="Times" w:cstheme="majorHAnsi"/>
          <w:sz w:val="22"/>
          <w:szCs w:val="22"/>
        </w:rPr>
      </w:pPr>
      <w:r w:rsidRPr="002C7DEE">
        <w:rPr>
          <w:rFonts w:ascii="Times" w:hAnsi="Times" w:cstheme="majorHAnsi"/>
          <w:noProof/>
          <w:sz w:val="22"/>
          <w:szCs w:val="22"/>
          <w:lang w:eastAsia="en-AU"/>
        </w:rPr>
        <w:drawing>
          <wp:inline distT="0" distB="0" distL="0" distR="0" wp14:anchorId="31D4506C" wp14:editId="391E0644">
            <wp:extent cx="25781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78100" cy="1028700"/>
                    </a:xfrm>
                    <a:prstGeom prst="rect">
                      <a:avLst/>
                    </a:prstGeom>
                  </pic:spPr>
                </pic:pic>
              </a:graphicData>
            </a:graphic>
          </wp:inline>
        </w:drawing>
      </w:r>
    </w:p>
    <w:p w14:paraId="086DD229" w14:textId="77777777" w:rsidR="00CB07E7" w:rsidRPr="002C7DEE" w:rsidRDefault="00CB07E7" w:rsidP="00075724">
      <w:pPr>
        <w:jc w:val="both"/>
        <w:rPr>
          <w:rFonts w:ascii="Times" w:hAnsi="Times" w:cstheme="majorHAnsi"/>
          <w:sz w:val="22"/>
          <w:szCs w:val="22"/>
        </w:rPr>
      </w:pPr>
    </w:p>
    <w:p w14:paraId="1E3E9D10" w14:textId="77777777" w:rsidR="00CB07E7" w:rsidRPr="002C7DEE" w:rsidRDefault="00CB07E7" w:rsidP="00075724">
      <w:pPr>
        <w:jc w:val="both"/>
        <w:rPr>
          <w:rFonts w:ascii="Times" w:hAnsi="Times" w:cstheme="majorHAnsi"/>
          <w:sz w:val="22"/>
          <w:szCs w:val="22"/>
        </w:rPr>
      </w:pPr>
    </w:p>
    <w:p w14:paraId="3FDF8BEA" w14:textId="06CE252A" w:rsidR="00CB07E7" w:rsidRPr="002C7DEE" w:rsidRDefault="00CB07E7" w:rsidP="000D1F14">
      <w:pPr>
        <w:pStyle w:val="Heading2"/>
        <w:rPr>
          <w:rFonts w:ascii="Times" w:hAnsi="Times" w:cstheme="majorHAnsi"/>
          <w:sz w:val="22"/>
          <w:szCs w:val="22"/>
        </w:rPr>
      </w:pPr>
      <w:bookmarkStart w:id="36" w:name="_Toc166235168"/>
      <w:r w:rsidRPr="002C7DEE">
        <w:rPr>
          <w:rFonts w:ascii="Times" w:hAnsi="Times" w:cstheme="majorHAnsi"/>
          <w:sz w:val="22"/>
          <w:szCs w:val="22"/>
        </w:rPr>
        <w:t xml:space="preserve">Figure D. </w:t>
      </w:r>
      <w:r w:rsidR="009512B1" w:rsidRPr="002C7DEE">
        <w:rPr>
          <w:rFonts w:ascii="Times" w:hAnsi="Times" w:cstheme="majorHAnsi"/>
          <w:sz w:val="22"/>
          <w:szCs w:val="22"/>
        </w:rPr>
        <w:t xml:space="preserve">Review </w:t>
      </w:r>
      <w:r w:rsidR="008D4C22" w:rsidRPr="002C7DEE">
        <w:rPr>
          <w:rFonts w:ascii="Times" w:hAnsi="Times" w:cstheme="majorHAnsi"/>
          <w:sz w:val="22"/>
          <w:szCs w:val="22"/>
        </w:rPr>
        <w:t>of previous subcutaneous cath</w:t>
      </w:r>
      <w:r w:rsidR="00CB0CD6" w:rsidRPr="002C7DEE">
        <w:rPr>
          <w:rFonts w:ascii="Times" w:hAnsi="Times" w:cstheme="majorHAnsi"/>
          <w:sz w:val="22"/>
          <w:szCs w:val="22"/>
        </w:rPr>
        <w:t>e</w:t>
      </w:r>
      <w:r w:rsidR="008D4C22" w:rsidRPr="002C7DEE">
        <w:rPr>
          <w:rFonts w:ascii="Times" w:hAnsi="Times" w:cstheme="majorHAnsi"/>
          <w:sz w:val="22"/>
          <w:szCs w:val="22"/>
        </w:rPr>
        <w:t xml:space="preserve">ter site </w:t>
      </w:r>
      <w:r w:rsidR="009512B1" w:rsidRPr="002C7DEE">
        <w:rPr>
          <w:rFonts w:ascii="Times" w:hAnsi="Times" w:cstheme="majorHAnsi"/>
          <w:sz w:val="22"/>
          <w:szCs w:val="22"/>
        </w:rPr>
        <w:t>at Day 7 of subcutaneous injections</w:t>
      </w:r>
      <w:r w:rsidR="008D4C22" w:rsidRPr="002C7DEE">
        <w:rPr>
          <w:rFonts w:ascii="Times" w:hAnsi="Times" w:cstheme="majorHAnsi"/>
          <w:sz w:val="22"/>
          <w:szCs w:val="22"/>
        </w:rPr>
        <w:t xml:space="preserve"> </w:t>
      </w:r>
      <w:r w:rsidR="00105020" w:rsidRPr="002C7DEE">
        <w:rPr>
          <w:rFonts w:ascii="Times" w:hAnsi="Times" w:cstheme="majorHAnsi"/>
          <w:sz w:val="22"/>
          <w:szCs w:val="22"/>
        </w:rPr>
        <w:t>(by nursing staff)</w:t>
      </w:r>
      <w:bookmarkEnd w:id="36"/>
    </w:p>
    <w:tbl>
      <w:tblPr>
        <w:tblStyle w:val="TableGrid"/>
        <w:tblW w:w="0" w:type="auto"/>
        <w:tblLook w:val="04A0" w:firstRow="1" w:lastRow="0" w:firstColumn="1" w:lastColumn="0" w:noHBand="0" w:noVBand="1"/>
      </w:tblPr>
      <w:tblGrid>
        <w:gridCol w:w="4815"/>
        <w:gridCol w:w="2097"/>
        <w:gridCol w:w="2098"/>
      </w:tblGrid>
      <w:tr w:rsidR="00CB07E7" w:rsidRPr="00904585" w14:paraId="41B43554" w14:textId="77777777" w:rsidTr="00CB07E7">
        <w:tc>
          <w:tcPr>
            <w:tcW w:w="4815" w:type="dxa"/>
          </w:tcPr>
          <w:p w14:paraId="571BFFB0" w14:textId="2E569C33"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Regarding the previous subcutaneous catheter site and unrelated to subcutaneous injections, is there:</w:t>
            </w:r>
          </w:p>
        </w:tc>
        <w:tc>
          <w:tcPr>
            <w:tcW w:w="2097" w:type="dxa"/>
          </w:tcPr>
          <w:p w14:paraId="682CE58A" w14:textId="57356BA3"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Yes</w:t>
            </w:r>
          </w:p>
        </w:tc>
        <w:tc>
          <w:tcPr>
            <w:tcW w:w="2098" w:type="dxa"/>
          </w:tcPr>
          <w:p w14:paraId="1D6EE0D6" w14:textId="3FEB238C"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No</w:t>
            </w:r>
          </w:p>
        </w:tc>
      </w:tr>
      <w:tr w:rsidR="00CB07E7" w:rsidRPr="00904585" w14:paraId="537519C0" w14:textId="77777777" w:rsidTr="00CB07E7">
        <w:tc>
          <w:tcPr>
            <w:tcW w:w="4815" w:type="dxa"/>
          </w:tcPr>
          <w:p w14:paraId="396EAB36" w14:textId="1DE0B759"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Pain</w:t>
            </w:r>
          </w:p>
        </w:tc>
        <w:tc>
          <w:tcPr>
            <w:tcW w:w="2097" w:type="dxa"/>
          </w:tcPr>
          <w:p w14:paraId="65AB0C55" w14:textId="77777777" w:rsidR="00CB07E7" w:rsidRPr="002C7DEE" w:rsidRDefault="00CB07E7" w:rsidP="00075724">
            <w:pPr>
              <w:jc w:val="both"/>
              <w:rPr>
                <w:rFonts w:ascii="Times" w:hAnsi="Times" w:cstheme="majorHAnsi"/>
                <w:sz w:val="18"/>
                <w:szCs w:val="18"/>
              </w:rPr>
            </w:pPr>
          </w:p>
        </w:tc>
        <w:tc>
          <w:tcPr>
            <w:tcW w:w="2098" w:type="dxa"/>
          </w:tcPr>
          <w:p w14:paraId="6E051149" w14:textId="77777777" w:rsidR="00CB07E7" w:rsidRPr="002C7DEE" w:rsidRDefault="00CB07E7" w:rsidP="00075724">
            <w:pPr>
              <w:jc w:val="both"/>
              <w:rPr>
                <w:rFonts w:ascii="Times" w:hAnsi="Times" w:cstheme="majorHAnsi"/>
                <w:sz w:val="18"/>
                <w:szCs w:val="18"/>
              </w:rPr>
            </w:pPr>
          </w:p>
        </w:tc>
      </w:tr>
      <w:tr w:rsidR="00CB07E7" w:rsidRPr="00904585" w14:paraId="74D30B94" w14:textId="77777777" w:rsidTr="00CB07E7">
        <w:tc>
          <w:tcPr>
            <w:tcW w:w="4815" w:type="dxa"/>
          </w:tcPr>
          <w:p w14:paraId="4E69BAE2" w14:textId="18FC3051"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Erythema</w:t>
            </w:r>
          </w:p>
        </w:tc>
        <w:tc>
          <w:tcPr>
            <w:tcW w:w="2097" w:type="dxa"/>
          </w:tcPr>
          <w:p w14:paraId="49334BAA" w14:textId="77777777" w:rsidR="00CB07E7" w:rsidRPr="002C7DEE" w:rsidRDefault="00CB07E7" w:rsidP="00075724">
            <w:pPr>
              <w:jc w:val="both"/>
              <w:rPr>
                <w:rFonts w:ascii="Times" w:hAnsi="Times" w:cstheme="majorHAnsi"/>
                <w:sz w:val="18"/>
                <w:szCs w:val="18"/>
              </w:rPr>
            </w:pPr>
          </w:p>
        </w:tc>
        <w:tc>
          <w:tcPr>
            <w:tcW w:w="2098" w:type="dxa"/>
          </w:tcPr>
          <w:p w14:paraId="4FEA913F" w14:textId="77777777" w:rsidR="00CB07E7" w:rsidRPr="002C7DEE" w:rsidRDefault="00CB07E7" w:rsidP="00075724">
            <w:pPr>
              <w:jc w:val="both"/>
              <w:rPr>
                <w:rFonts w:ascii="Times" w:hAnsi="Times" w:cstheme="majorHAnsi"/>
                <w:sz w:val="18"/>
                <w:szCs w:val="18"/>
              </w:rPr>
            </w:pPr>
          </w:p>
        </w:tc>
      </w:tr>
      <w:tr w:rsidR="00CB07E7" w:rsidRPr="00904585" w14:paraId="7141BE5F" w14:textId="77777777" w:rsidTr="00CB07E7">
        <w:tc>
          <w:tcPr>
            <w:tcW w:w="4815" w:type="dxa"/>
          </w:tcPr>
          <w:p w14:paraId="5F7029F8" w14:textId="527A49A2"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Evidence of infection</w:t>
            </w:r>
          </w:p>
        </w:tc>
        <w:tc>
          <w:tcPr>
            <w:tcW w:w="2097" w:type="dxa"/>
          </w:tcPr>
          <w:p w14:paraId="6D06FD03" w14:textId="77777777" w:rsidR="00CB07E7" w:rsidRPr="002C7DEE" w:rsidRDefault="00CB07E7" w:rsidP="00075724">
            <w:pPr>
              <w:jc w:val="both"/>
              <w:rPr>
                <w:rFonts w:ascii="Times" w:hAnsi="Times" w:cstheme="majorHAnsi"/>
                <w:sz w:val="18"/>
                <w:szCs w:val="18"/>
              </w:rPr>
            </w:pPr>
          </w:p>
        </w:tc>
        <w:tc>
          <w:tcPr>
            <w:tcW w:w="2098" w:type="dxa"/>
          </w:tcPr>
          <w:p w14:paraId="402547D6" w14:textId="77777777" w:rsidR="00CB07E7" w:rsidRPr="002C7DEE" w:rsidRDefault="00CB07E7" w:rsidP="00075724">
            <w:pPr>
              <w:jc w:val="both"/>
              <w:rPr>
                <w:rFonts w:ascii="Times" w:hAnsi="Times" w:cstheme="majorHAnsi"/>
                <w:sz w:val="18"/>
                <w:szCs w:val="18"/>
              </w:rPr>
            </w:pPr>
          </w:p>
        </w:tc>
      </w:tr>
      <w:tr w:rsidR="00CB07E7" w:rsidRPr="00904585" w14:paraId="2A74BA81" w14:textId="77777777" w:rsidTr="00CB07E7">
        <w:tc>
          <w:tcPr>
            <w:tcW w:w="4815" w:type="dxa"/>
          </w:tcPr>
          <w:p w14:paraId="0231365B" w14:textId="1BBE01F3"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Bruising or haematoma</w:t>
            </w:r>
          </w:p>
        </w:tc>
        <w:tc>
          <w:tcPr>
            <w:tcW w:w="2097" w:type="dxa"/>
          </w:tcPr>
          <w:p w14:paraId="34FEEDA4" w14:textId="77777777" w:rsidR="00CB07E7" w:rsidRPr="002C7DEE" w:rsidRDefault="00CB07E7" w:rsidP="00075724">
            <w:pPr>
              <w:jc w:val="both"/>
              <w:rPr>
                <w:rFonts w:ascii="Times" w:hAnsi="Times" w:cstheme="majorHAnsi"/>
                <w:sz w:val="18"/>
                <w:szCs w:val="18"/>
              </w:rPr>
            </w:pPr>
          </w:p>
        </w:tc>
        <w:tc>
          <w:tcPr>
            <w:tcW w:w="2098" w:type="dxa"/>
          </w:tcPr>
          <w:p w14:paraId="32EF8958" w14:textId="77777777" w:rsidR="00CB07E7" w:rsidRPr="002C7DEE" w:rsidRDefault="00CB07E7" w:rsidP="00075724">
            <w:pPr>
              <w:jc w:val="both"/>
              <w:rPr>
                <w:rFonts w:ascii="Times" w:hAnsi="Times" w:cstheme="majorHAnsi"/>
                <w:sz w:val="18"/>
                <w:szCs w:val="18"/>
              </w:rPr>
            </w:pPr>
          </w:p>
        </w:tc>
      </w:tr>
      <w:tr w:rsidR="00CB07E7" w:rsidRPr="00904585" w14:paraId="6BD8B914" w14:textId="77777777" w:rsidTr="00CB07E7">
        <w:tc>
          <w:tcPr>
            <w:tcW w:w="4815" w:type="dxa"/>
          </w:tcPr>
          <w:p w14:paraId="086F689E" w14:textId="01B61940"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Skin induration</w:t>
            </w:r>
          </w:p>
        </w:tc>
        <w:tc>
          <w:tcPr>
            <w:tcW w:w="2097" w:type="dxa"/>
          </w:tcPr>
          <w:p w14:paraId="350D323E" w14:textId="77777777" w:rsidR="00CB07E7" w:rsidRPr="002C7DEE" w:rsidRDefault="00CB07E7" w:rsidP="00075724">
            <w:pPr>
              <w:jc w:val="both"/>
              <w:rPr>
                <w:rFonts w:ascii="Times" w:hAnsi="Times" w:cstheme="majorHAnsi"/>
                <w:sz w:val="18"/>
                <w:szCs w:val="18"/>
              </w:rPr>
            </w:pPr>
          </w:p>
        </w:tc>
        <w:tc>
          <w:tcPr>
            <w:tcW w:w="2098" w:type="dxa"/>
          </w:tcPr>
          <w:p w14:paraId="564D3AE1" w14:textId="77777777" w:rsidR="00CB07E7" w:rsidRPr="002C7DEE" w:rsidRDefault="00CB07E7" w:rsidP="00075724">
            <w:pPr>
              <w:jc w:val="both"/>
              <w:rPr>
                <w:rFonts w:ascii="Times" w:hAnsi="Times" w:cstheme="majorHAnsi"/>
                <w:sz w:val="18"/>
                <w:szCs w:val="18"/>
              </w:rPr>
            </w:pPr>
          </w:p>
        </w:tc>
      </w:tr>
    </w:tbl>
    <w:p w14:paraId="7CAE246D" w14:textId="77777777" w:rsidR="00CB07E7" w:rsidRPr="002C7DEE" w:rsidRDefault="00CB07E7" w:rsidP="00075724">
      <w:pPr>
        <w:jc w:val="both"/>
        <w:rPr>
          <w:rFonts w:ascii="Times" w:hAnsi="Times" w:cstheme="majorHAnsi"/>
          <w:sz w:val="22"/>
          <w:szCs w:val="22"/>
        </w:rPr>
      </w:pPr>
    </w:p>
    <w:p w14:paraId="1D5016CC" w14:textId="77777777" w:rsidR="00CB07E7" w:rsidRPr="002C7DEE" w:rsidRDefault="00CB07E7" w:rsidP="00075724">
      <w:pPr>
        <w:jc w:val="both"/>
        <w:rPr>
          <w:rFonts w:ascii="Times" w:hAnsi="Times" w:cstheme="majorHAnsi"/>
          <w:sz w:val="22"/>
          <w:szCs w:val="22"/>
        </w:rPr>
      </w:pPr>
    </w:p>
    <w:p w14:paraId="2A0E9799" w14:textId="35F96E57" w:rsidR="00CB07E7" w:rsidRPr="002C7DEE" w:rsidRDefault="00CB07E7" w:rsidP="000D1F14">
      <w:pPr>
        <w:pStyle w:val="Heading2"/>
        <w:rPr>
          <w:rFonts w:ascii="Times" w:hAnsi="Times" w:cstheme="majorHAnsi"/>
          <w:sz w:val="22"/>
          <w:szCs w:val="22"/>
        </w:rPr>
      </w:pPr>
      <w:bookmarkStart w:id="37" w:name="_Toc166235169"/>
      <w:r w:rsidRPr="002C7DEE">
        <w:rPr>
          <w:rFonts w:ascii="Times" w:hAnsi="Times" w:cstheme="majorHAnsi"/>
          <w:sz w:val="22"/>
          <w:szCs w:val="22"/>
        </w:rPr>
        <w:t xml:space="preserve">Figure E. </w:t>
      </w:r>
      <w:r w:rsidR="0018285A" w:rsidRPr="002C7DEE">
        <w:rPr>
          <w:rFonts w:ascii="Times" w:hAnsi="Times" w:cstheme="majorHAnsi"/>
          <w:sz w:val="22"/>
          <w:szCs w:val="22"/>
        </w:rPr>
        <w:t xml:space="preserve">End of study </w:t>
      </w:r>
      <w:r w:rsidRPr="002C7DEE">
        <w:rPr>
          <w:rFonts w:ascii="Times" w:hAnsi="Times" w:cstheme="majorHAnsi"/>
          <w:sz w:val="22"/>
          <w:szCs w:val="22"/>
        </w:rPr>
        <w:t xml:space="preserve">patient </w:t>
      </w:r>
      <w:r w:rsidR="0018285A" w:rsidRPr="002C7DEE">
        <w:rPr>
          <w:rFonts w:ascii="Times" w:hAnsi="Times" w:cstheme="majorHAnsi"/>
          <w:sz w:val="22"/>
          <w:szCs w:val="22"/>
        </w:rPr>
        <w:t>satisfaction survey</w:t>
      </w:r>
      <w:r w:rsidR="00105020" w:rsidRPr="002C7DEE">
        <w:rPr>
          <w:rFonts w:ascii="Times" w:hAnsi="Times" w:cstheme="majorHAnsi"/>
          <w:sz w:val="22"/>
          <w:szCs w:val="22"/>
        </w:rPr>
        <w:t xml:space="preserve"> (participants to complete)</w:t>
      </w:r>
      <w:bookmarkEnd w:id="37"/>
    </w:p>
    <w:tbl>
      <w:tblPr>
        <w:tblStyle w:val="TableGrid"/>
        <w:tblW w:w="0" w:type="auto"/>
        <w:tblLook w:val="04A0" w:firstRow="1" w:lastRow="0" w:firstColumn="1" w:lastColumn="0" w:noHBand="0" w:noVBand="1"/>
      </w:tblPr>
      <w:tblGrid>
        <w:gridCol w:w="3599"/>
        <w:gridCol w:w="1905"/>
        <w:gridCol w:w="1961"/>
        <w:gridCol w:w="1545"/>
      </w:tblGrid>
      <w:tr w:rsidR="00CB07E7" w:rsidRPr="00904585" w14:paraId="1AA8FA9A" w14:textId="19A6B658" w:rsidTr="00CB07E7">
        <w:tc>
          <w:tcPr>
            <w:tcW w:w="3599" w:type="dxa"/>
          </w:tcPr>
          <w:p w14:paraId="6D0643D5" w14:textId="77777777" w:rsidR="00CB07E7" w:rsidRPr="002C7DEE" w:rsidRDefault="00CB07E7" w:rsidP="00075724">
            <w:pPr>
              <w:jc w:val="both"/>
              <w:rPr>
                <w:rFonts w:ascii="Times" w:hAnsi="Times" w:cstheme="majorHAnsi"/>
                <w:sz w:val="18"/>
                <w:szCs w:val="18"/>
              </w:rPr>
            </w:pPr>
          </w:p>
        </w:tc>
        <w:tc>
          <w:tcPr>
            <w:tcW w:w="1905" w:type="dxa"/>
          </w:tcPr>
          <w:p w14:paraId="24653399" w14:textId="77777777" w:rsidR="00CB07E7" w:rsidRPr="002C7DEE" w:rsidRDefault="00CB07E7" w:rsidP="00075724">
            <w:pPr>
              <w:jc w:val="both"/>
              <w:rPr>
                <w:rFonts w:ascii="Times" w:hAnsi="Times" w:cstheme="majorHAnsi"/>
                <w:sz w:val="18"/>
                <w:szCs w:val="18"/>
              </w:rPr>
            </w:pPr>
          </w:p>
        </w:tc>
        <w:tc>
          <w:tcPr>
            <w:tcW w:w="1961" w:type="dxa"/>
          </w:tcPr>
          <w:p w14:paraId="597939BD" w14:textId="77777777" w:rsidR="00CB07E7" w:rsidRPr="002C7DEE" w:rsidRDefault="00CB07E7" w:rsidP="00075724">
            <w:pPr>
              <w:jc w:val="both"/>
              <w:rPr>
                <w:rFonts w:ascii="Times" w:hAnsi="Times" w:cstheme="majorHAnsi"/>
                <w:sz w:val="18"/>
                <w:szCs w:val="18"/>
              </w:rPr>
            </w:pPr>
          </w:p>
        </w:tc>
        <w:tc>
          <w:tcPr>
            <w:tcW w:w="1545" w:type="dxa"/>
          </w:tcPr>
          <w:p w14:paraId="2BAE1959" w14:textId="22A32CAE"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Additional comments</w:t>
            </w:r>
          </w:p>
        </w:tc>
      </w:tr>
      <w:tr w:rsidR="00CB07E7" w:rsidRPr="00904585" w14:paraId="7368BCE2" w14:textId="510F3AD5" w:rsidTr="00CB07E7">
        <w:tc>
          <w:tcPr>
            <w:tcW w:w="3599" w:type="dxa"/>
          </w:tcPr>
          <w:p w14:paraId="5FA2B1D9" w14:textId="3B091FC5"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Which method did you prefer overall?</w:t>
            </w:r>
          </w:p>
        </w:tc>
        <w:tc>
          <w:tcPr>
            <w:tcW w:w="1905" w:type="dxa"/>
          </w:tcPr>
          <w:p w14:paraId="7F8DABBE" w14:textId="3FEEC980"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Subcutaneous catheter</w:t>
            </w:r>
          </w:p>
        </w:tc>
        <w:tc>
          <w:tcPr>
            <w:tcW w:w="1961" w:type="dxa"/>
          </w:tcPr>
          <w:p w14:paraId="79029706" w14:textId="4481A4AB"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Subcutaneous injections</w:t>
            </w:r>
          </w:p>
        </w:tc>
        <w:tc>
          <w:tcPr>
            <w:tcW w:w="1545" w:type="dxa"/>
          </w:tcPr>
          <w:p w14:paraId="5050CC81" w14:textId="77777777" w:rsidR="00CB07E7" w:rsidRPr="002C7DEE" w:rsidRDefault="00CB07E7" w:rsidP="00075724">
            <w:pPr>
              <w:jc w:val="both"/>
              <w:rPr>
                <w:rFonts w:ascii="Times" w:hAnsi="Times" w:cstheme="majorHAnsi"/>
                <w:sz w:val="18"/>
                <w:szCs w:val="18"/>
              </w:rPr>
            </w:pPr>
          </w:p>
        </w:tc>
      </w:tr>
      <w:tr w:rsidR="00CB07E7" w:rsidRPr="00904585" w14:paraId="6FC8DDA8" w14:textId="46C24382" w:rsidTr="00CB07E7">
        <w:tc>
          <w:tcPr>
            <w:tcW w:w="3599" w:type="dxa"/>
          </w:tcPr>
          <w:p w14:paraId="1423261C" w14:textId="68F5DC16"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Where there any disadvantages specific to the subcutaneous catheter?</w:t>
            </w:r>
          </w:p>
        </w:tc>
        <w:tc>
          <w:tcPr>
            <w:tcW w:w="1905" w:type="dxa"/>
          </w:tcPr>
          <w:p w14:paraId="2379CB54" w14:textId="79134644"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Yes</w:t>
            </w:r>
          </w:p>
        </w:tc>
        <w:tc>
          <w:tcPr>
            <w:tcW w:w="1961" w:type="dxa"/>
          </w:tcPr>
          <w:p w14:paraId="127A101D" w14:textId="69DC4CD2" w:rsidR="00CB07E7" w:rsidRPr="002C7DEE" w:rsidRDefault="00CB07E7" w:rsidP="00075724">
            <w:pPr>
              <w:jc w:val="both"/>
              <w:rPr>
                <w:rFonts w:ascii="Times" w:hAnsi="Times" w:cstheme="majorHAnsi"/>
                <w:sz w:val="18"/>
                <w:szCs w:val="18"/>
              </w:rPr>
            </w:pPr>
            <w:r w:rsidRPr="002C7DEE">
              <w:rPr>
                <w:rFonts w:ascii="Times" w:hAnsi="Times" w:cstheme="majorHAnsi"/>
                <w:sz w:val="18"/>
                <w:szCs w:val="18"/>
              </w:rPr>
              <w:t>No</w:t>
            </w:r>
          </w:p>
        </w:tc>
        <w:tc>
          <w:tcPr>
            <w:tcW w:w="1545" w:type="dxa"/>
          </w:tcPr>
          <w:p w14:paraId="25A4B97B" w14:textId="77777777" w:rsidR="00CB07E7" w:rsidRPr="002C7DEE" w:rsidRDefault="00CB07E7" w:rsidP="00075724">
            <w:pPr>
              <w:jc w:val="both"/>
              <w:rPr>
                <w:rFonts w:ascii="Times" w:hAnsi="Times" w:cstheme="majorHAnsi"/>
                <w:sz w:val="18"/>
                <w:szCs w:val="18"/>
              </w:rPr>
            </w:pPr>
          </w:p>
        </w:tc>
      </w:tr>
    </w:tbl>
    <w:p w14:paraId="6F19D87C" w14:textId="77777777" w:rsidR="0018285A" w:rsidRPr="002C7DEE" w:rsidRDefault="0018285A" w:rsidP="00075724">
      <w:pPr>
        <w:jc w:val="both"/>
        <w:rPr>
          <w:rFonts w:ascii="Times" w:hAnsi="Times" w:cstheme="majorHAnsi"/>
          <w:sz w:val="22"/>
          <w:szCs w:val="22"/>
        </w:rPr>
      </w:pPr>
    </w:p>
    <w:p w14:paraId="4D92F0C7" w14:textId="77777777" w:rsidR="0018285A" w:rsidRPr="002C7DEE" w:rsidRDefault="0018285A" w:rsidP="00075724">
      <w:pPr>
        <w:jc w:val="both"/>
        <w:rPr>
          <w:rFonts w:ascii="Times" w:hAnsi="Times" w:cstheme="majorHAnsi"/>
          <w:sz w:val="22"/>
          <w:szCs w:val="22"/>
        </w:rPr>
      </w:pPr>
    </w:p>
    <w:p w14:paraId="192BD325" w14:textId="77777777" w:rsidR="0018285A" w:rsidRPr="002C7DEE" w:rsidRDefault="0018285A" w:rsidP="00075724">
      <w:pPr>
        <w:jc w:val="both"/>
        <w:rPr>
          <w:rFonts w:ascii="Times" w:hAnsi="Times" w:cstheme="majorHAnsi"/>
          <w:sz w:val="22"/>
          <w:szCs w:val="22"/>
        </w:rPr>
      </w:pPr>
    </w:p>
    <w:p w14:paraId="479E91AE" w14:textId="77777777" w:rsidR="0018285A" w:rsidRPr="002C7DEE" w:rsidRDefault="0018285A" w:rsidP="00075724">
      <w:pPr>
        <w:jc w:val="both"/>
        <w:rPr>
          <w:rFonts w:ascii="Times" w:hAnsi="Times" w:cstheme="majorHAnsi"/>
          <w:sz w:val="22"/>
          <w:szCs w:val="22"/>
        </w:rPr>
      </w:pPr>
    </w:p>
    <w:sectPr w:rsidR="0018285A" w:rsidRPr="002C7DEE" w:rsidSect="001E72D4">
      <w:footerReference w:type="defaul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8382B" w14:textId="77777777" w:rsidR="0053656B" w:rsidRDefault="0053656B" w:rsidP="006F34B6">
      <w:r>
        <w:separator/>
      </w:r>
    </w:p>
  </w:endnote>
  <w:endnote w:type="continuationSeparator" w:id="0">
    <w:p w14:paraId="14860320" w14:textId="77777777" w:rsidR="0053656B" w:rsidRDefault="0053656B" w:rsidP="006F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251504"/>
      <w:docPartObj>
        <w:docPartGallery w:val="Page Numbers (Bottom of Page)"/>
        <w:docPartUnique/>
      </w:docPartObj>
    </w:sdtPr>
    <w:sdtEndPr>
      <w:rPr>
        <w:noProof/>
      </w:rPr>
    </w:sdtEndPr>
    <w:sdtContent>
      <w:p w14:paraId="60359341" w14:textId="158A6951" w:rsidR="0053656B" w:rsidRDefault="0053656B">
        <w:pPr>
          <w:pStyle w:val="Footer"/>
          <w:jc w:val="right"/>
        </w:pPr>
        <w:r>
          <w:fldChar w:fldCharType="begin"/>
        </w:r>
        <w:r>
          <w:instrText xml:space="preserve"> PAGE   \* MERGEFORMAT </w:instrText>
        </w:r>
        <w:r>
          <w:fldChar w:fldCharType="separate"/>
        </w:r>
        <w:r w:rsidR="00945291">
          <w:rPr>
            <w:noProof/>
          </w:rPr>
          <w:t>1</w:t>
        </w:r>
        <w:r>
          <w:rPr>
            <w:noProof/>
          </w:rPr>
          <w:fldChar w:fldCharType="end"/>
        </w:r>
      </w:p>
    </w:sdtContent>
  </w:sdt>
  <w:p w14:paraId="17354D9A" w14:textId="55CFF92B" w:rsidR="00F2545C" w:rsidRPr="00592116" w:rsidRDefault="0053656B">
    <w:pPr>
      <w:pStyle w:val="Footer"/>
      <w:rPr>
        <w:rFonts w:asciiTheme="majorHAnsi" w:hAnsiTheme="majorHAnsi" w:cstheme="majorHAnsi"/>
        <w:sz w:val="18"/>
        <w:szCs w:val="18"/>
      </w:rPr>
    </w:pPr>
    <w:r>
      <w:rPr>
        <w:rFonts w:asciiTheme="majorHAnsi" w:hAnsiTheme="majorHAnsi" w:cstheme="majorHAnsi"/>
        <w:sz w:val="18"/>
        <w:szCs w:val="18"/>
      </w:rPr>
      <w:t xml:space="preserve">Butterfly: </w:t>
    </w:r>
    <w:r w:rsidRPr="00445BE3">
      <w:rPr>
        <w:rFonts w:asciiTheme="majorHAnsi" w:hAnsiTheme="majorHAnsi" w:cstheme="majorHAnsi"/>
        <w:sz w:val="18"/>
        <w:szCs w:val="18"/>
      </w:rPr>
      <w:t>LMWH via subcutaneous catheter protocol</w:t>
    </w:r>
    <w:r>
      <w:rPr>
        <w:rFonts w:asciiTheme="majorHAnsi" w:hAnsiTheme="majorHAnsi" w:cstheme="majorHAnsi"/>
        <w:sz w:val="18"/>
        <w:szCs w:val="18"/>
      </w:rPr>
      <w:t xml:space="preserve">, version </w:t>
    </w:r>
    <w:r w:rsidR="00F2545C">
      <w:rPr>
        <w:rFonts w:asciiTheme="majorHAnsi" w:hAnsiTheme="majorHAnsi" w:cstheme="majorHAnsi"/>
        <w:sz w:val="18"/>
        <w:szCs w:val="18"/>
      </w:rPr>
      <w:t>4</w:t>
    </w:r>
    <w:r>
      <w:rPr>
        <w:rFonts w:asciiTheme="majorHAnsi" w:hAnsiTheme="majorHAnsi" w:cstheme="majorHAnsi"/>
        <w:sz w:val="18"/>
        <w:szCs w:val="18"/>
      </w:rPr>
      <w:t xml:space="preserve">.0, </w:t>
    </w:r>
    <w:r w:rsidR="00F2545C">
      <w:rPr>
        <w:rFonts w:asciiTheme="majorHAnsi" w:hAnsiTheme="majorHAnsi" w:cstheme="majorHAnsi"/>
        <w:sz w:val="18"/>
        <w:szCs w:val="18"/>
      </w:rPr>
      <w:t>16.9.24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9ABDE" w14:textId="77777777" w:rsidR="0053656B" w:rsidRDefault="0053656B" w:rsidP="006F34B6">
      <w:r>
        <w:separator/>
      </w:r>
    </w:p>
  </w:footnote>
  <w:footnote w:type="continuationSeparator" w:id="0">
    <w:p w14:paraId="066C8865" w14:textId="77777777" w:rsidR="0053656B" w:rsidRDefault="0053656B" w:rsidP="006F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916"/>
    <w:multiLevelType w:val="hybridMultilevel"/>
    <w:tmpl w:val="7E9EDFB2"/>
    <w:lvl w:ilvl="0" w:tplc="DB72466A">
      <w:numFmt w:val="bullet"/>
      <w:lvlText w:val=""/>
      <w:lvlJc w:val="left"/>
      <w:pPr>
        <w:ind w:left="720" w:hanging="360"/>
      </w:pPr>
      <w:rPr>
        <w:rFonts w:ascii="Symbol" w:eastAsiaTheme="minorHAnsi" w:hAnsi="Symbol" w:cs="Times New Roman" w:hint="default"/>
      </w:rPr>
    </w:lvl>
    <w:lvl w:ilvl="1" w:tplc="55AAB9BA">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20B02"/>
    <w:multiLevelType w:val="hybridMultilevel"/>
    <w:tmpl w:val="C4A44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063ED"/>
    <w:multiLevelType w:val="hybridMultilevel"/>
    <w:tmpl w:val="0E264DAE"/>
    <w:lvl w:ilvl="0" w:tplc="E4D2E820">
      <w:start w:val="1"/>
      <w:numFmt w:val="decimal"/>
      <w:lvlText w:val="%1."/>
      <w:lvlJc w:val="left"/>
      <w:pPr>
        <w:ind w:left="928" w:hanging="360"/>
      </w:pPr>
      <w:rPr>
        <w:b w:val="0"/>
      </w:rPr>
    </w:lvl>
    <w:lvl w:ilvl="1" w:tplc="850E1134">
      <w:start w:val="1"/>
      <w:numFmt w:val="lowerLetter"/>
      <w:lvlText w:val="%2."/>
      <w:lvlJc w:val="left"/>
      <w:pPr>
        <w:ind w:left="1648" w:hanging="360"/>
      </w:pPr>
      <w:rPr>
        <w:b w:val="0"/>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D8902B7"/>
    <w:multiLevelType w:val="hybridMultilevel"/>
    <w:tmpl w:val="883859A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0F724B51"/>
    <w:multiLevelType w:val="hybridMultilevel"/>
    <w:tmpl w:val="FA84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7941"/>
    <w:multiLevelType w:val="hybridMultilevel"/>
    <w:tmpl w:val="268E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B30BC"/>
    <w:multiLevelType w:val="hybridMultilevel"/>
    <w:tmpl w:val="D2BC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A1702"/>
    <w:multiLevelType w:val="hybridMultilevel"/>
    <w:tmpl w:val="8EB4333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B54696F"/>
    <w:multiLevelType w:val="multilevel"/>
    <w:tmpl w:val="49549CD2"/>
    <w:lvl w:ilvl="0">
      <w:start w:val="1"/>
      <w:numFmt w:val="decimal"/>
      <w:lvlText w:val="%1."/>
      <w:lvlJc w:val="left"/>
      <w:pPr>
        <w:ind w:left="1494" w:hanging="360"/>
      </w:pPr>
      <w:rPr>
        <w:rFonts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9" w15:restartNumberingAfterBreak="0">
    <w:nsid w:val="35192BD1"/>
    <w:multiLevelType w:val="hybridMultilevel"/>
    <w:tmpl w:val="5ED47E50"/>
    <w:lvl w:ilvl="0" w:tplc="61A2DF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26ACC"/>
    <w:multiLevelType w:val="hybridMultilevel"/>
    <w:tmpl w:val="70281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740A9"/>
    <w:multiLevelType w:val="hybridMultilevel"/>
    <w:tmpl w:val="13200DC0"/>
    <w:lvl w:ilvl="0" w:tplc="5636CF7A">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D78CF"/>
    <w:multiLevelType w:val="hybridMultilevel"/>
    <w:tmpl w:val="315A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326A2"/>
    <w:multiLevelType w:val="hybridMultilevel"/>
    <w:tmpl w:val="86E4819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503D04F8"/>
    <w:multiLevelType w:val="hybridMultilevel"/>
    <w:tmpl w:val="8EB4333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624410B7"/>
    <w:multiLevelType w:val="hybridMultilevel"/>
    <w:tmpl w:val="8110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116EE"/>
    <w:multiLevelType w:val="hybridMultilevel"/>
    <w:tmpl w:val="0324EA1C"/>
    <w:lvl w:ilvl="0" w:tplc="1F204FE2">
      <w:start w:val="20"/>
      <w:numFmt w:val="bullet"/>
      <w:lvlText w:val="-"/>
      <w:lvlJc w:val="left"/>
      <w:pPr>
        <w:ind w:left="644" w:hanging="360"/>
      </w:pPr>
      <w:rPr>
        <w:rFonts w:ascii="Calibri" w:eastAsiaTheme="minorHAnsi" w:hAnsi="Calibri" w:cstheme="minorBidi" w:hint="default"/>
      </w:rPr>
    </w:lvl>
    <w:lvl w:ilvl="1" w:tplc="83D648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97C24"/>
    <w:multiLevelType w:val="hybridMultilevel"/>
    <w:tmpl w:val="25EA06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7F39CD"/>
    <w:multiLevelType w:val="hybridMultilevel"/>
    <w:tmpl w:val="30083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950DA"/>
    <w:multiLevelType w:val="hybridMultilevel"/>
    <w:tmpl w:val="7CE00488"/>
    <w:lvl w:ilvl="0" w:tplc="0409000F">
      <w:start w:val="1"/>
      <w:numFmt w:val="decimal"/>
      <w:lvlText w:val="%1."/>
      <w:lvlJc w:val="left"/>
      <w:pPr>
        <w:ind w:left="1070" w:hanging="360"/>
      </w:pPr>
    </w:lvl>
    <w:lvl w:ilvl="1" w:tplc="04090005">
      <w:start w:val="1"/>
      <w:numFmt w:val="bullet"/>
      <w:lvlText w:val=""/>
      <w:lvlJc w:val="left"/>
      <w:pPr>
        <w:ind w:left="1637" w:hanging="360"/>
      </w:pPr>
      <w:rPr>
        <w:rFonts w:ascii="Wingdings" w:hAnsi="Wingdings" w:hint="default"/>
      </w:r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743F70D2"/>
    <w:multiLevelType w:val="hybridMultilevel"/>
    <w:tmpl w:val="5108283C"/>
    <w:lvl w:ilvl="0" w:tplc="14988586">
      <w:start w:val="20"/>
      <w:numFmt w:val="bullet"/>
      <w:lvlText w:val="-"/>
      <w:lvlJc w:val="left"/>
      <w:pPr>
        <w:ind w:left="720" w:hanging="360"/>
      </w:pPr>
      <w:rPr>
        <w:rFonts w:ascii="Calibri" w:eastAsiaTheme="minorHAnsi" w:hAnsi="Calibri" w:cstheme="minorBidi" w:hint="default"/>
      </w:rPr>
    </w:lvl>
    <w:lvl w:ilvl="1" w:tplc="0409001B">
      <w:start w:val="1"/>
      <w:numFmt w:val="lowerRoman"/>
      <w:lvlText w:val="%2."/>
      <w:lvlJc w:val="right"/>
      <w:pPr>
        <w:ind w:left="928" w:hanging="360"/>
      </w:pPr>
      <w:rPr>
        <w:rFonts w:hint="default"/>
      </w:rPr>
    </w:lvl>
    <w:lvl w:ilvl="2" w:tplc="04090005">
      <w:start w:val="1"/>
      <w:numFmt w:val="bullet"/>
      <w:lvlText w:val=""/>
      <w:lvlJc w:val="left"/>
      <w:pPr>
        <w:ind w:left="1637" w:hanging="360"/>
      </w:pPr>
      <w:rPr>
        <w:rFonts w:ascii="Wingdings" w:hAnsi="Wingdings" w:hint="default"/>
      </w:rPr>
    </w:lvl>
    <w:lvl w:ilvl="3" w:tplc="04090001">
      <w:start w:val="1"/>
      <w:numFmt w:val="bullet"/>
      <w:lvlText w:val=""/>
      <w:lvlJc w:val="left"/>
      <w:pPr>
        <w:ind w:left="220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8"/>
  </w:num>
  <w:num w:numId="4">
    <w:abstractNumId w:val="17"/>
  </w:num>
  <w:num w:numId="5">
    <w:abstractNumId w:val="0"/>
  </w:num>
  <w:num w:numId="6">
    <w:abstractNumId w:val="6"/>
  </w:num>
  <w:num w:numId="7">
    <w:abstractNumId w:val="2"/>
  </w:num>
  <w:num w:numId="8">
    <w:abstractNumId w:val="7"/>
  </w:num>
  <w:num w:numId="9">
    <w:abstractNumId w:val="19"/>
  </w:num>
  <w:num w:numId="10">
    <w:abstractNumId w:val="18"/>
  </w:num>
  <w:num w:numId="11">
    <w:abstractNumId w:val="11"/>
  </w:num>
  <w:num w:numId="12">
    <w:abstractNumId w:val="12"/>
  </w:num>
  <w:num w:numId="13">
    <w:abstractNumId w:val="13"/>
  </w:num>
  <w:num w:numId="14">
    <w:abstractNumId w:val="9"/>
  </w:num>
  <w:num w:numId="15">
    <w:abstractNumId w:val="3"/>
  </w:num>
  <w:num w:numId="16">
    <w:abstractNumId w:val="14"/>
  </w:num>
  <w:num w:numId="17">
    <w:abstractNumId w:val="4"/>
  </w:num>
  <w:num w:numId="18">
    <w:abstractNumId w:val="15"/>
  </w:num>
  <w:num w:numId="19">
    <w:abstractNumId w:val="5"/>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txwp9vtwv2v0e5pxf5feaxwx0dr9drsff0&quot;&gt;LMWH subcut catheter vs injections&lt;record-ids&gt;&lt;item&gt;1&lt;/item&gt;&lt;item&gt;2&lt;/item&gt;&lt;item&gt;3&lt;/item&gt;&lt;item&gt;4&lt;/item&gt;&lt;item&gt;7&lt;/item&gt;&lt;item&gt;8&lt;/item&gt;&lt;item&gt;9&lt;/item&gt;&lt;item&gt;10&lt;/item&gt;&lt;item&gt;11&lt;/item&gt;&lt;item&gt;12&lt;/item&gt;&lt;item&gt;13&lt;/item&gt;&lt;item&gt;14&lt;/item&gt;&lt;item&gt;16&lt;/item&gt;&lt;item&gt;17&lt;/item&gt;&lt;item&gt;20&lt;/item&gt;&lt;item&gt;21&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record-ids&gt;&lt;/item&gt;&lt;/Libraries&gt;"/>
  </w:docVars>
  <w:rsids>
    <w:rsidRoot w:val="000C66C1"/>
    <w:rsid w:val="0000164A"/>
    <w:rsid w:val="0000187A"/>
    <w:rsid w:val="00010546"/>
    <w:rsid w:val="00012249"/>
    <w:rsid w:val="00012BAE"/>
    <w:rsid w:val="00016C17"/>
    <w:rsid w:val="00017522"/>
    <w:rsid w:val="0002292C"/>
    <w:rsid w:val="00033D26"/>
    <w:rsid w:val="00035D40"/>
    <w:rsid w:val="00036C78"/>
    <w:rsid w:val="000377D6"/>
    <w:rsid w:val="000429F1"/>
    <w:rsid w:val="0004538D"/>
    <w:rsid w:val="00047823"/>
    <w:rsid w:val="00062701"/>
    <w:rsid w:val="000704DC"/>
    <w:rsid w:val="0007152C"/>
    <w:rsid w:val="0007367D"/>
    <w:rsid w:val="00075724"/>
    <w:rsid w:val="00082D32"/>
    <w:rsid w:val="00096F20"/>
    <w:rsid w:val="00096FA6"/>
    <w:rsid w:val="000978E1"/>
    <w:rsid w:val="000A0A28"/>
    <w:rsid w:val="000A40CC"/>
    <w:rsid w:val="000A561B"/>
    <w:rsid w:val="000B2A8C"/>
    <w:rsid w:val="000C44A7"/>
    <w:rsid w:val="000C66C1"/>
    <w:rsid w:val="000D1F14"/>
    <w:rsid w:val="000D424D"/>
    <w:rsid w:val="000D67F1"/>
    <w:rsid w:val="000E4335"/>
    <w:rsid w:val="000F0556"/>
    <w:rsid w:val="00102BA2"/>
    <w:rsid w:val="00102C33"/>
    <w:rsid w:val="0010340F"/>
    <w:rsid w:val="00105020"/>
    <w:rsid w:val="00115DF2"/>
    <w:rsid w:val="00117EA9"/>
    <w:rsid w:val="00122305"/>
    <w:rsid w:val="00125663"/>
    <w:rsid w:val="00132EF4"/>
    <w:rsid w:val="00133D37"/>
    <w:rsid w:val="00142970"/>
    <w:rsid w:val="00142D1F"/>
    <w:rsid w:val="00147AA2"/>
    <w:rsid w:val="00164581"/>
    <w:rsid w:val="001772AF"/>
    <w:rsid w:val="0018285A"/>
    <w:rsid w:val="0018702F"/>
    <w:rsid w:val="001A19AC"/>
    <w:rsid w:val="001A1D9B"/>
    <w:rsid w:val="001A5596"/>
    <w:rsid w:val="001B4CB7"/>
    <w:rsid w:val="001C4430"/>
    <w:rsid w:val="001C68A1"/>
    <w:rsid w:val="001D405F"/>
    <w:rsid w:val="001E1A10"/>
    <w:rsid w:val="001E3FEC"/>
    <w:rsid w:val="001E72D4"/>
    <w:rsid w:val="001F32AA"/>
    <w:rsid w:val="001F38F3"/>
    <w:rsid w:val="00200F15"/>
    <w:rsid w:val="002106E0"/>
    <w:rsid w:val="00212F87"/>
    <w:rsid w:val="00213A75"/>
    <w:rsid w:val="00222949"/>
    <w:rsid w:val="00231913"/>
    <w:rsid w:val="00234C41"/>
    <w:rsid w:val="0024131B"/>
    <w:rsid w:val="00243365"/>
    <w:rsid w:val="00265BA8"/>
    <w:rsid w:val="00267AFE"/>
    <w:rsid w:val="002739F6"/>
    <w:rsid w:val="00273C94"/>
    <w:rsid w:val="00291DED"/>
    <w:rsid w:val="0029420D"/>
    <w:rsid w:val="002B2470"/>
    <w:rsid w:val="002C5FF0"/>
    <w:rsid w:val="002C7DEE"/>
    <w:rsid w:val="002D298D"/>
    <w:rsid w:val="002D4389"/>
    <w:rsid w:val="002D47E6"/>
    <w:rsid w:val="002D7F49"/>
    <w:rsid w:val="002E1D63"/>
    <w:rsid w:val="002E74D9"/>
    <w:rsid w:val="002F107C"/>
    <w:rsid w:val="002F41D3"/>
    <w:rsid w:val="003149D9"/>
    <w:rsid w:val="0033679A"/>
    <w:rsid w:val="00340A40"/>
    <w:rsid w:val="00356738"/>
    <w:rsid w:val="00356A93"/>
    <w:rsid w:val="00360AC1"/>
    <w:rsid w:val="003720D4"/>
    <w:rsid w:val="00373C75"/>
    <w:rsid w:val="00373EBA"/>
    <w:rsid w:val="00382046"/>
    <w:rsid w:val="00386F59"/>
    <w:rsid w:val="00397574"/>
    <w:rsid w:val="00397C0B"/>
    <w:rsid w:val="003A343D"/>
    <w:rsid w:val="003A3BC3"/>
    <w:rsid w:val="003B0DE0"/>
    <w:rsid w:val="003B3B91"/>
    <w:rsid w:val="003D3087"/>
    <w:rsid w:val="003E61D0"/>
    <w:rsid w:val="003E72D2"/>
    <w:rsid w:val="003F0FBD"/>
    <w:rsid w:val="003F2661"/>
    <w:rsid w:val="003F4052"/>
    <w:rsid w:val="003F5AF7"/>
    <w:rsid w:val="003F7945"/>
    <w:rsid w:val="00401FC7"/>
    <w:rsid w:val="00403B6F"/>
    <w:rsid w:val="00403F28"/>
    <w:rsid w:val="00404576"/>
    <w:rsid w:val="004253FB"/>
    <w:rsid w:val="00430871"/>
    <w:rsid w:val="004309F9"/>
    <w:rsid w:val="00441FCB"/>
    <w:rsid w:val="00444F16"/>
    <w:rsid w:val="00445BE3"/>
    <w:rsid w:val="0044739F"/>
    <w:rsid w:val="0044757A"/>
    <w:rsid w:val="00451517"/>
    <w:rsid w:val="004563BF"/>
    <w:rsid w:val="0045682E"/>
    <w:rsid w:val="00460986"/>
    <w:rsid w:val="0046107B"/>
    <w:rsid w:val="004678C9"/>
    <w:rsid w:val="0047341D"/>
    <w:rsid w:val="00482183"/>
    <w:rsid w:val="004948CA"/>
    <w:rsid w:val="004957FC"/>
    <w:rsid w:val="004A5290"/>
    <w:rsid w:val="004B1AD6"/>
    <w:rsid w:val="004B3BDD"/>
    <w:rsid w:val="004D3241"/>
    <w:rsid w:val="004E5423"/>
    <w:rsid w:val="004E5DD4"/>
    <w:rsid w:val="004F1898"/>
    <w:rsid w:val="004F3182"/>
    <w:rsid w:val="004F65F2"/>
    <w:rsid w:val="00500C97"/>
    <w:rsid w:val="00506D85"/>
    <w:rsid w:val="005115F0"/>
    <w:rsid w:val="005207BA"/>
    <w:rsid w:val="00525647"/>
    <w:rsid w:val="005258E4"/>
    <w:rsid w:val="005315E8"/>
    <w:rsid w:val="0053656B"/>
    <w:rsid w:val="00537B4F"/>
    <w:rsid w:val="00541262"/>
    <w:rsid w:val="0054463B"/>
    <w:rsid w:val="0055608B"/>
    <w:rsid w:val="005618E4"/>
    <w:rsid w:val="00567B3F"/>
    <w:rsid w:val="00572CA0"/>
    <w:rsid w:val="00573CFE"/>
    <w:rsid w:val="00592116"/>
    <w:rsid w:val="0059217B"/>
    <w:rsid w:val="005A380F"/>
    <w:rsid w:val="005A5199"/>
    <w:rsid w:val="005B12D7"/>
    <w:rsid w:val="005B5A74"/>
    <w:rsid w:val="005C6A8E"/>
    <w:rsid w:val="005D2060"/>
    <w:rsid w:val="005D5BDD"/>
    <w:rsid w:val="005E6C24"/>
    <w:rsid w:val="005F38BE"/>
    <w:rsid w:val="005F46EE"/>
    <w:rsid w:val="00601AC4"/>
    <w:rsid w:val="00602074"/>
    <w:rsid w:val="00604003"/>
    <w:rsid w:val="0060445B"/>
    <w:rsid w:val="00605D20"/>
    <w:rsid w:val="00606C73"/>
    <w:rsid w:val="00613AE1"/>
    <w:rsid w:val="006154B9"/>
    <w:rsid w:val="00617BEA"/>
    <w:rsid w:val="00625402"/>
    <w:rsid w:val="00625892"/>
    <w:rsid w:val="006268ED"/>
    <w:rsid w:val="00660BDF"/>
    <w:rsid w:val="0066488F"/>
    <w:rsid w:val="006648DB"/>
    <w:rsid w:val="00665647"/>
    <w:rsid w:val="0066608F"/>
    <w:rsid w:val="00674C30"/>
    <w:rsid w:val="00677029"/>
    <w:rsid w:val="006845F8"/>
    <w:rsid w:val="00684DFD"/>
    <w:rsid w:val="006C7C22"/>
    <w:rsid w:val="006D4FD7"/>
    <w:rsid w:val="006D5AF4"/>
    <w:rsid w:val="006D6C25"/>
    <w:rsid w:val="006D7812"/>
    <w:rsid w:val="006F19A7"/>
    <w:rsid w:val="006F34B6"/>
    <w:rsid w:val="006F46DC"/>
    <w:rsid w:val="006F57DC"/>
    <w:rsid w:val="00704278"/>
    <w:rsid w:val="0070463E"/>
    <w:rsid w:val="00706110"/>
    <w:rsid w:val="0071391B"/>
    <w:rsid w:val="00713FF5"/>
    <w:rsid w:val="00726851"/>
    <w:rsid w:val="0074427A"/>
    <w:rsid w:val="00747026"/>
    <w:rsid w:val="00765248"/>
    <w:rsid w:val="00773108"/>
    <w:rsid w:val="00774462"/>
    <w:rsid w:val="00775303"/>
    <w:rsid w:val="007771A6"/>
    <w:rsid w:val="00787A0E"/>
    <w:rsid w:val="007A1908"/>
    <w:rsid w:val="007A23F4"/>
    <w:rsid w:val="007A359A"/>
    <w:rsid w:val="007B4099"/>
    <w:rsid w:val="007D1AC1"/>
    <w:rsid w:val="007D536E"/>
    <w:rsid w:val="007F0128"/>
    <w:rsid w:val="0080065F"/>
    <w:rsid w:val="00816F5A"/>
    <w:rsid w:val="00820331"/>
    <w:rsid w:val="008220E8"/>
    <w:rsid w:val="00826ADD"/>
    <w:rsid w:val="008333B1"/>
    <w:rsid w:val="00836FAC"/>
    <w:rsid w:val="00837849"/>
    <w:rsid w:val="00845911"/>
    <w:rsid w:val="0085360B"/>
    <w:rsid w:val="00853ED7"/>
    <w:rsid w:val="0085427C"/>
    <w:rsid w:val="00862919"/>
    <w:rsid w:val="00863606"/>
    <w:rsid w:val="00863D33"/>
    <w:rsid w:val="00871A8C"/>
    <w:rsid w:val="00875433"/>
    <w:rsid w:val="00877918"/>
    <w:rsid w:val="00880B42"/>
    <w:rsid w:val="00881CE4"/>
    <w:rsid w:val="0088797A"/>
    <w:rsid w:val="00892084"/>
    <w:rsid w:val="008A0E1D"/>
    <w:rsid w:val="008A7E08"/>
    <w:rsid w:val="008B0912"/>
    <w:rsid w:val="008B4090"/>
    <w:rsid w:val="008C3801"/>
    <w:rsid w:val="008C5037"/>
    <w:rsid w:val="008D0149"/>
    <w:rsid w:val="008D0681"/>
    <w:rsid w:val="008D4C22"/>
    <w:rsid w:val="008E5E4F"/>
    <w:rsid w:val="008E755C"/>
    <w:rsid w:val="008E7879"/>
    <w:rsid w:val="009027A3"/>
    <w:rsid w:val="00902B67"/>
    <w:rsid w:val="00904585"/>
    <w:rsid w:val="009139DC"/>
    <w:rsid w:val="00922EC2"/>
    <w:rsid w:val="00930995"/>
    <w:rsid w:val="00935ECC"/>
    <w:rsid w:val="00937ED6"/>
    <w:rsid w:val="009409F5"/>
    <w:rsid w:val="00945291"/>
    <w:rsid w:val="009512B1"/>
    <w:rsid w:val="00951853"/>
    <w:rsid w:val="00953B00"/>
    <w:rsid w:val="00953FCE"/>
    <w:rsid w:val="009543F9"/>
    <w:rsid w:val="00963F42"/>
    <w:rsid w:val="00975339"/>
    <w:rsid w:val="00977A67"/>
    <w:rsid w:val="00994451"/>
    <w:rsid w:val="00994877"/>
    <w:rsid w:val="00996EE2"/>
    <w:rsid w:val="009975D3"/>
    <w:rsid w:val="009A5857"/>
    <w:rsid w:val="009A6790"/>
    <w:rsid w:val="009B4C45"/>
    <w:rsid w:val="009B5FEC"/>
    <w:rsid w:val="009B696C"/>
    <w:rsid w:val="009C6073"/>
    <w:rsid w:val="009D497B"/>
    <w:rsid w:val="009D64EF"/>
    <w:rsid w:val="009D6823"/>
    <w:rsid w:val="009E1730"/>
    <w:rsid w:val="009E2620"/>
    <w:rsid w:val="009E2F19"/>
    <w:rsid w:val="009E7276"/>
    <w:rsid w:val="009E73F5"/>
    <w:rsid w:val="009F44DF"/>
    <w:rsid w:val="009F4DA6"/>
    <w:rsid w:val="009F7CE4"/>
    <w:rsid w:val="00A01187"/>
    <w:rsid w:val="00A05910"/>
    <w:rsid w:val="00A10181"/>
    <w:rsid w:val="00A10927"/>
    <w:rsid w:val="00A372E4"/>
    <w:rsid w:val="00A37A4B"/>
    <w:rsid w:val="00A40C94"/>
    <w:rsid w:val="00A44270"/>
    <w:rsid w:val="00A553B8"/>
    <w:rsid w:val="00A65331"/>
    <w:rsid w:val="00A91355"/>
    <w:rsid w:val="00A95657"/>
    <w:rsid w:val="00AA19C8"/>
    <w:rsid w:val="00AA3274"/>
    <w:rsid w:val="00AB1668"/>
    <w:rsid w:val="00AB2571"/>
    <w:rsid w:val="00AB395E"/>
    <w:rsid w:val="00AC2568"/>
    <w:rsid w:val="00AC5CCE"/>
    <w:rsid w:val="00AC7708"/>
    <w:rsid w:val="00AD1CCE"/>
    <w:rsid w:val="00AD508E"/>
    <w:rsid w:val="00AE69E3"/>
    <w:rsid w:val="00AE7340"/>
    <w:rsid w:val="00B13857"/>
    <w:rsid w:val="00B20F27"/>
    <w:rsid w:val="00B27DBB"/>
    <w:rsid w:val="00B52B81"/>
    <w:rsid w:val="00B70CA7"/>
    <w:rsid w:val="00B74B75"/>
    <w:rsid w:val="00B750EA"/>
    <w:rsid w:val="00B750F1"/>
    <w:rsid w:val="00B836C2"/>
    <w:rsid w:val="00B8427E"/>
    <w:rsid w:val="00B8447D"/>
    <w:rsid w:val="00B85B3F"/>
    <w:rsid w:val="00B86F3A"/>
    <w:rsid w:val="00B93FC3"/>
    <w:rsid w:val="00B94628"/>
    <w:rsid w:val="00BA1A5C"/>
    <w:rsid w:val="00BA721E"/>
    <w:rsid w:val="00BB5FAC"/>
    <w:rsid w:val="00BC1A74"/>
    <w:rsid w:val="00BC33B6"/>
    <w:rsid w:val="00BD31D5"/>
    <w:rsid w:val="00BD527D"/>
    <w:rsid w:val="00BD76F2"/>
    <w:rsid w:val="00BE61DC"/>
    <w:rsid w:val="00BF0C66"/>
    <w:rsid w:val="00BF4AE7"/>
    <w:rsid w:val="00C02621"/>
    <w:rsid w:val="00C05163"/>
    <w:rsid w:val="00C140AA"/>
    <w:rsid w:val="00C37A83"/>
    <w:rsid w:val="00C40994"/>
    <w:rsid w:val="00C43993"/>
    <w:rsid w:val="00C63A34"/>
    <w:rsid w:val="00C707B5"/>
    <w:rsid w:val="00C74219"/>
    <w:rsid w:val="00C75C93"/>
    <w:rsid w:val="00C75CE4"/>
    <w:rsid w:val="00C86932"/>
    <w:rsid w:val="00C921AA"/>
    <w:rsid w:val="00C95D56"/>
    <w:rsid w:val="00C96812"/>
    <w:rsid w:val="00CA15F5"/>
    <w:rsid w:val="00CA6090"/>
    <w:rsid w:val="00CB07E7"/>
    <w:rsid w:val="00CB0CD6"/>
    <w:rsid w:val="00CB1BA5"/>
    <w:rsid w:val="00CB204F"/>
    <w:rsid w:val="00CB513E"/>
    <w:rsid w:val="00CB5D86"/>
    <w:rsid w:val="00CC0019"/>
    <w:rsid w:val="00CC10E4"/>
    <w:rsid w:val="00CD02FC"/>
    <w:rsid w:val="00CD0394"/>
    <w:rsid w:val="00CD12B3"/>
    <w:rsid w:val="00CD617C"/>
    <w:rsid w:val="00CD7DAE"/>
    <w:rsid w:val="00CE70DF"/>
    <w:rsid w:val="00CF50E4"/>
    <w:rsid w:val="00D04711"/>
    <w:rsid w:val="00D10332"/>
    <w:rsid w:val="00D14CC2"/>
    <w:rsid w:val="00D22C2B"/>
    <w:rsid w:val="00D31AF4"/>
    <w:rsid w:val="00D34100"/>
    <w:rsid w:val="00D356CE"/>
    <w:rsid w:val="00D45719"/>
    <w:rsid w:val="00D473C4"/>
    <w:rsid w:val="00D70309"/>
    <w:rsid w:val="00D704D1"/>
    <w:rsid w:val="00D733AD"/>
    <w:rsid w:val="00D76208"/>
    <w:rsid w:val="00D842C3"/>
    <w:rsid w:val="00D8568B"/>
    <w:rsid w:val="00D9123B"/>
    <w:rsid w:val="00D93669"/>
    <w:rsid w:val="00D9412E"/>
    <w:rsid w:val="00D96FD8"/>
    <w:rsid w:val="00DA45DB"/>
    <w:rsid w:val="00DA6065"/>
    <w:rsid w:val="00DB6368"/>
    <w:rsid w:val="00DB7051"/>
    <w:rsid w:val="00DB78A3"/>
    <w:rsid w:val="00DC1945"/>
    <w:rsid w:val="00DC1FCF"/>
    <w:rsid w:val="00DC6586"/>
    <w:rsid w:val="00DC71CF"/>
    <w:rsid w:val="00DD52ED"/>
    <w:rsid w:val="00DD745A"/>
    <w:rsid w:val="00DE24C9"/>
    <w:rsid w:val="00DF7B76"/>
    <w:rsid w:val="00E0131E"/>
    <w:rsid w:val="00E25674"/>
    <w:rsid w:val="00E47C30"/>
    <w:rsid w:val="00E5061B"/>
    <w:rsid w:val="00E57C02"/>
    <w:rsid w:val="00E641CD"/>
    <w:rsid w:val="00E674F5"/>
    <w:rsid w:val="00E70F98"/>
    <w:rsid w:val="00E8253D"/>
    <w:rsid w:val="00E838F9"/>
    <w:rsid w:val="00E84173"/>
    <w:rsid w:val="00E86940"/>
    <w:rsid w:val="00E91196"/>
    <w:rsid w:val="00E93BD2"/>
    <w:rsid w:val="00EC64DD"/>
    <w:rsid w:val="00ED2A99"/>
    <w:rsid w:val="00EE3C1A"/>
    <w:rsid w:val="00EE59E4"/>
    <w:rsid w:val="00EE69B3"/>
    <w:rsid w:val="00EF02C6"/>
    <w:rsid w:val="00EF0EBF"/>
    <w:rsid w:val="00F0014F"/>
    <w:rsid w:val="00F01714"/>
    <w:rsid w:val="00F04EF9"/>
    <w:rsid w:val="00F07707"/>
    <w:rsid w:val="00F20EE1"/>
    <w:rsid w:val="00F22845"/>
    <w:rsid w:val="00F2545C"/>
    <w:rsid w:val="00F31531"/>
    <w:rsid w:val="00F32104"/>
    <w:rsid w:val="00F415C5"/>
    <w:rsid w:val="00F44582"/>
    <w:rsid w:val="00F457A4"/>
    <w:rsid w:val="00F53A13"/>
    <w:rsid w:val="00F6411F"/>
    <w:rsid w:val="00F70E7B"/>
    <w:rsid w:val="00F733B6"/>
    <w:rsid w:val="00F921FC"/>
    <w:rsid w:val="00F925BE"/>
    <w:rsid w:val="00F96401"/>
    <w:rsid w:val="00FA2C52"/>
    <w:rsid w:val="00FA2D58"/>
    <w:rsid w:val="00FB1028"/>
    <w:rsid w:val="00FB1DF0"/>
    <w:rsid w:val="00FB3586"/>
    <w:rsid w:val="00FC71FA"/>
    <w:rsid w:val="00FD354A"/>
    <w:rsid w:val="00FD58AA"/>
    <w:rsid w:val="00FF02A6"/>
    <w:rsid w:val="00FF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DE49"/>
  <w15:chartTrackingRefBased/>
  <w15:docId w15:val="{5E5D70B4-4124-45E8-B729-143B1A69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0A0A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0A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0A2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7CE4"/>
    <w:pPr>
      <w:ind w:left="720"/>
      <w:contextualSpacing/>
    </w:pPr>
  </w:style>
  <w:style w:type="paragraph" w:customStyle="1" w:styleId="EndNoteBibliographyTitle">
    <w:name w:val="EndNote Bibliography Title"/>
    <w:basedOn w:val="Normal"/>
    <w:link w:val="EndNoteBibliographyTitleChar"/>
    <w:rsid w:val="005D2060"/>
    <w:pPr>
      <w:jc w:val="center"/>
    </w:pPr>
    <w:rPr>
      <w:rFonts w:ascii="Calibri" w:hAnsi="Calibri" w:cs="Calibri"/>
      <w:lang w:val="en-US"/>
    </w:rPr>
  </w:style>
  <w:style w:type="character" w:customStyle="1" w:styleId="ListParagraphChar">
    <w:name w:val="List Paragraph Char"/>
    <w:basedOn w:val="DefaultParagraphFont"/>
    <w:link w:val="ListParagraph"/>
    <w:uiPriority w:val="34"/>
    <w:rsid w:val="005D2060"/>
    <w:rPr>
      <w:lang w:val="en-AU"/>
    </w:rPr>
  </w:style>
  <w:style w:type="character" w:customStyle="1" w:styleId="EndNoteBibliographyTitleChar">
    <w:name w:val="EndNote Bibliography Title Char"/>
    <w:basedOn w:val="ListParagraphChar"/>
    <w:link w:val="EndNoteBibliographyTitle"/>
    <w:rsid w:val="005D2060"/>
    <w:rPr>
      <w:rFonts w:ascii="Calibri" w:hAnsi="Calibri" w:cs="Calibri"/>
      <w:lang w:val="en-US"/>
    </w:rPr>
  </w:style>
  <w:style w:type="paragraph" w:customStyle="1" w:styleId="EndNoteBibliography">
    <w:name w:val="EndNote Bibliography"/>
    <w:basedOn w:val="Normal"/>
    <w:link w:val="EndNoteBibliographyChar"/>
    <w:rsid w:val="005D2060"/>
    <w:rPr>
      <w:rFonts w:ascii="Calibri" w:hAnsi="Calibri" w:cs="Calibri"/>
      <w:lang w:val="en-US"/>
    </w:rPr>
  </w:style>
  <w:style w:type="character" w:customStyle="1" w:styleId="EndNoteBibliographyChar">
    <w:name w:val="EndNote Bibliography Char"/>
    <w:basedOn w:val="ListParagraphChar"/>
    <w:link w:val="EndNoteBibliography"/>
    <w:rsid w:val="005D2060"/>
    <w:rPr>
      <w:rFonts w:ascii="Calibri" w:hAnsi="Calibri" w:cs="Calibri"/>
      <w:lang w:val="en-US"/>
    </w:rPr>
  </w:style>
  <w:style w:type="character" w:styleId="Hyperlink">
    <w:name w:val="Hyperlink"/>
    <w:basedOn w:val="DefaultParagraphFont"/>
    <w:uiPriority w:val="99"/>
    <w:unhideWhenUsed/>
    <w:rsid w:val="00DB6368"/>
    <w:rPr>
      <w:color w:val="0563C1" w:themeColor="hyperlink"/>
      <w:u w:val="single"/>
    </w:rPr>
  </w:style>
  <w:style w:type="character" w:customStyle="1" w:styleId="UnresolvedMention">
    <w:name w:val="Unresolved Mention"/>
    <w:basedOn w:val="DefaultParagraphFont"/>
    <w:uiPriority w:val="99"/>
    <w:rsid w:val="00DB6368"/>
    <w:rPr>
      <w:color w:val="605E5C"/>
      <w:shd w:val="clear" w:color="auto" w:fill="E1DFDD"/>
    </w:rPr>
  </w:style>
  <w:style w:type="character" w:customStyle="1" w:styleId="apple-converted-space">
    <w:name w:val="apple-converted-space"/>
    <w:basedOn w:val="DefaultParagraphFont"/>
    <w:rsid w:val="00117EA9"/>
  </w:style>
  <w:style w:type="paragraph" w:styleId="NormalWeb">
    <w:name w:val="Normal (Web)"/>
    <w:basedOn w:val="Normal"/>
    <w:uiPriority w:val="99"/>
    <w:semiHidden/>
    <w:unhideWhenUsed/>
    <w:rsid w:val="00836FA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F34B6"/>
    <w:pPr>
      <w:tabs>
        <w:tab w:val="center" w:pos="4513"/>
        <w:tab w:val="right" w:pos="9026"/>
      </w:tabs>
    </w:pPr>
  </w:style>
  <w:style w:type="character" w:customStyle="1" w:styleId="HeaderChar">
    <w:name w:val="Header Char"/>
    <w:basedOn w:val="DefaultParagraphFont"/>
    <w:link w:val="Header"/>
    <w:uiPriority w:val="99"/>
    <w:rsid w:val="006F34B6"/>
    <w:rPr>
      <w:lang w:val="en-AU"/>
    </w:rPr>
  </w:style>
  <w:style w:type="paragraph" w:styleId="Footer">
    <w:name w:val="footer"/>
    <w:basedOn w:val="Normal"/>
    <w:link w:val="FooterChar"/>
    <w:uiPriority w:val="99"/>
    <w:unhideWhenUsed/>
    <w:rsid w:val="006F34B6"/>
    <w:pPr>
      <w:tabs>
        <w:tab w:val="center" w:pos="4513"/>
        <w:tab w:val="right" w:pos="9026"/>
      </w:tabs>
    </w:pPr>
  </w:style>
  <w:style w:type="character" w:customStyle="1" w:styleId="FooterChar">
    <w:name w:val="Footer Char"/>
    <w:basedOn w:val="DefaultParagraphFont"/>
    <w:link w:val="Footer"/>
    <w:uiPriority w:val="99"/>
    <w:rsid w:val="006F34B6"/>
    <w:rPr>
      <w:lang w:val="en-AU"/>
    </w:rPr>
  </w:style>
  <w:style w:type="table" w:styleId="TableGrid">
    <w:name w:val="Table Grid"/>
    <w:basedOn w:val="TableNormal"/>
    <w:uiPriority w:val="39"/>
    <w:rsid w:val="00BF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738"/>
    <w:rPr>
      <w:lang w:val="en-AU"/>
    </w:rPr>
  </w:style>
  <w:style w:type="paragraph" w:styleId="BalloonText">
    <w:name w:val="Balloon Text"/>
    <w:basedOn w:val="Normal"/>
    <w:link w:val="BalloonTextChar"/>
    <w:uiPriority w:val="99"/>
    <w:semiHidden/>
    <w:unhideWhenUsed/>
    <w:rsid w:val="003567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6738"/>
    <w:rPr>
      <w:rFonts w:ascii="Times New Roman" w:hAnsi="Times New Roman" w:cs="Times New Roman"/>
      <w:sz w:val="18"/>
      <w:szCs w:val="18"/>
      <w:lang w:val="en-AU"/>
    </w:rPr>
  </w:style>
  <w:style w:type="character" w:customStyle="1" w:styleId="Heading1Char">
    <w:name w:val="Heading 1 Char"/>
    <w:basedOn w:val="DefaultParagraphFont"/>
    <w:link w:val="Heading1"/>
    <w:uiPriority w:val="9"/>
    <w:rsid w:val="000A0A28"/>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0A0A28"/>
    <w:pPr>
      <w:spacing w:line="259" w:lineRule="auto"/>
      <w:outlineLvl w:val="9"/>
    </w:pPr>
    <w:rPr>
      <w:lang w:val="en-US"/>
    </w:rPr>
  </w:style>
  <w:style w:type="character" w:customStyle="1" w:styleId="Heading2Char">
    <w:name w:val="Heading 2 Char"/>
    <w:basedOn w:val="DefaultParagraphFont"/>
    <w:link w:val="Heading2"/>
    <w:uiPriority w:val="9"/>
    <w:semiHidden/>
    <w:rsid w:val="000A0A28"/>
    <w:rPr>
      <w:rFonts w:asciiTheme="majorHAnsi" w:eastAsiaTheme="majorEastAsia" w:hAnsiTheme="majorHAnsi" w:cstheme="majorBidi"/>
      <w:color w:val="2F5496" w:themeColor="accent1" w:themeShade="BF"/>
      <w:sz w:val="26"/>
      <w:szCs w:val="26"/>
      <w:lang w:val="en-AU"/>
    </w:rPr>
  </w:style>
  <w:style w:type="paragraph" w:styleId="TOC1">
    <w:name w:val="toc 1"/>
    <w:basedOn w:val="Normal"/>
    <w:next w:val="Normal"/>
    <w:autoRedefine/>
    <w:uiPriority w:val="39"/>
    <w:unhideWhenUsed/>
    <w:rsid w:val="000A0A28"/>
    <w:pPr>
      <w:spacing w:after="100"/>
    </w:pPr>
  </w:style>
  <w:style w:type="paragraph" w:styleId="TOC2">
    <w:name w:val="toc 2"/>
    <w:basedOn w:val="Normal"/>
    <w:next w:val="Normal"/>
    <w:autoRedefine/>
    <w:uiPriority w:val="39"/>
    <w:unhideWhenUsed/>
    <w:rsid w:val="000A0A28"/>
    <w:pPr>
      <w:spacing w:after="100"/>
      <w:ind w:left="240"/>
    </w:pPr>
  </w:style>
  <w:style w:type="character" w:customStyle="1" w:styleId="Heading3Char">
    <w:name w:val="Heading 3 Char"/>
    <w:basedOn w:val="DefaultParagraphFont"/>
    <w:link w:val="Heading3"/>
    <w:uiPriority w:val="9"/>
    <w:semiHidden/>
    <w:rsid w:val="000A0A28"/>
    <w:rPr>
      <w:rFonts w:asciiTheme="majorHAnsi" w:eastAsiaTheme="majorEastAsia" w:hAnsiTheme="majorHAnsi" w:cstheme="majorBidi"/>
      <w:color w:val="1F3763" w:themeColor="accent1" w:themeShade="7F"/>
      <w:lang w:val="en-AU"/>
    </w:rPr>
  </w:style>
  <w:style w:type="paragraph" w:styleId="TOC3">
    <w:name w:val="toc 3"/>
    <w:basedOn w:val="Normal"/>
    <w:next w:val="Normal"/>
    <w:autoRedefine/>
    <w:uiPriority w:val="39"/>
    <w:unhideWhenUsed/>
    <w:rsid w:val="009753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4981">
      <w:bodyDiv w:val="1"/>
      <w:marLeft w:val="0"/>
      <w:marRight w:val="0"/>
      <w:marTop w:val="0"/>
      <w:marBottom w:val="0"/>
      <w:divBdr>
        <w:top w:val="none" w:sz="0" w:space="0" w:color="auto"/>
        <w:left w:val="none" w:sz="0" w:space="0" w:color="auto"/>
        <w:bottom w:val="none" w:sz="0" w:space="0" w:color="auto"/>
        <w:right w:val="none" w:sz="0" w:space="0" w:color="auto"/>
      </w:divBdr>
    </w:div>
    <w:div w:id="864516771">
      <w:bodyDiv w:val="1"/>
      <w:marLeft w:val="0"/>
      <w:marRight w:val="0"/>
      <w:marTop w:val="0"/>
      <w:marBottom w:val="0"/>
      <w:divBdr>
        <w:top w:val="none" w:sz="0" w:space="0" w:color="auto"/>
        <w:left w:val="none" w:sz="0" w:space="0" w:color="auto"/>
        <w:bottom w:val="none" w:sz="0" w:space="0" w:color="auto"/>
        <w:right w:val="none" w:sz="0" w:space="0" w:color="auto"/>
      </w:divBdr>
    </w:div>
    <w:div w:id="1090781385">
      <w:bodyDiv w:val="1"/>
      <w:marLeft w:val="0"/>
      <w:marRight w:val="0"/>
      <w:marTop w:val="0"/>
      <w:marBottom w:val="0"/>
      <w:divBdr>
        <w:top w:val="none" w:sz="0" w:space="0" w:color="auto"/>
        <w:left w:val="none" w:sz="0" w:space="0" w:color="auto"/>
        <w:bottom w:val="none" w:sz="0" w:space="0" w:color="auto"/>
        <w:right w:val="none" w:sz="0" w:space="0" w:color="auto"/>
      </w:divBdr>
      <w:divsChild>
        <w:div w:id="1494030536">
          <w:marLeft w:val="547"/>
          <w:marRight w:val="0"/>
          <w:marTop w:val="0"/>
          <w:marBottom w:val="0"/>
          <w:divBdr>
            <w:top w:val="none" w:sz="0" w:space="0" w:color="auto"/>
            <w:left w:val="none" w:sz="0" w:space="0" w:color="auto"/>
            <w:bottom w:val="none" w:sz="0" w:space="0" w:color="auto"/>
            <w:right w:val="none" w:sz="0" w:space="0" w:color="auto"/>
          </w:divBdr>
        </w:div>
      </w:divsChild>
    </w:div>
    <w:div w:id="1258631680">
      <w:bodyDiv w:val="1"/>
      <w:marLeft w:val="0"/>
      <w:marRight w:val="0"/>
      <w:marTop w:val="0"/>
      <w:marBottom w:val="0"/>
      <w:divBdr>
        <w:top w:val="none" w:sz="0" w:space="0" w:color="auto"/>
        <w:left w:val="none" w:sz="0" w:space="0" w:color="auto"/>
        <w:bottom w:val="none" w:sz="0" w:space="0" w:color="auto"/>
        <w:right w:val="none" w:sz="0" w:space="0" w:color="auto"/>
      </w:divBdr>
      <w:divsChild>
        <w:div w:id="1641226871">
          <w:marLeft w:val="0"/>
          <w:marRight w:val="0"/>
          <w:marTop w:val="0"/>
          <w:marBottom w:val="0"/>
          <w:divBdr>
            <w:top w:val="none" w:sz="0" w:space="0" w:color="auto"/>
            <w:left w:val="none" w:sz="0" w:space="0" w:color="auto"/>
            <w:bottom w:val="none" w:sz="0" w:space="0" w:color="auto"/>
            <w:right w:val="none" w:sz="0" w:space="0" w:color="auto"/>
          </w:divBdr>
          <w:divsChild>
            <w:div w:id="691495658">
              <w:marLeft w:val="0"/>
              <w:marRight w:val="0"/>
              <w:marTop w:val="0"/>
              <w:marBottom w:val="0"/>
              <w:divBdr>
                <w:top w:val="none" w:sz="0" w:space="0" w:color="auto"/>
                <w:left w:val="none" w:sz="0" w:space="0" w:color="auto"/>
                <w:bottom w:val="none" w:sz="0" w:space="0" w:color="auto"/>
                <w:right w:val="none" w:sz="0" w:space="0" w:color="auto"/>
              </w:divBdr>
              <w:divsChild>
                <w:div w:id="20735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shhealth.org/" TargetMode="External"/><Relationship Id="rId13" Type="http://schemas.openxmlformats.org/officeDocument/2006/relationships/diagramColors" Target="diagrams/colors1.xml"/><Relationship Id="rId18" Type="http://schemas.openxmlformats.org/officeDocument/2006/relationships/hyperlink" Target="https://tglcdp.tg.org.au.acs.hcn.com.au/viewTopic?topicfile=anticoagulant-therapy&amp;guidelineName=Cardiovascular" TargetMode="External"/><Relationship Id="rId3" Type="http://schemas.openxmlformats.org/officeDocument/2006/relationships/styles" Target="styles.xml"/><Relationship Id="rId21" Type="http://schemas.openxmlformats.org/officeDocument/2006/relationships/hyperlink" Target="file:////Users/emmaleitinger/Documents/Medicine/Monash%20fellowship/LMWH%20subcut%20butterfly/www.mimsonline.com.au.acs.hcn.com.au/Search/FullPI.aspx%3fModuleName=ProductInfo&amp;searchKeyword=enoxaparin"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tglcdp.tg.org.au.acs.hcn.com.au/viewTopic?topicfile=venous-thromboembolism-prevention&amp;guidelinesName=Cardiovascul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emmaleitinger\Documents\Medicine\Monash%20fellowship\LMWH%20subcut%20butterfly\www.nice.org.uk\guidance\ng158" TargetMode="External"/><Relationship Id="rId20" Type="http://schemas.openxmlformats.org/officeDocument/2006/relationships/hyperlink" Target="file:///C:\Users\emmaleitinger\Documents\Medicine\Monash%20fellowship\LMWH%20subcut%20butterfly\www.rch.org.au\haematology\anticoagulaton_service\clexane-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emmaleitinger\Documents\Medicine\Monash%20fellowship\LMWH%20subcut%20butterfly\www.who.int\selection_medicines\committees\expert\20\applications\Addendum1_LMWH.pdf" TargetMode="Externa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file:///C:\Users\emmaleitinger\Documents\Medicine\Monash%20fellowship\LMWH%20subcut%20butterfly\www.rch.org.au\rchcpg\hospital_clinical_guideline_index\Subcutaneous_catheter_devices_management_of_insuflon_and_BD_safTIntima_devices"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image" Target="media/image2.tif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26C90C-8BB4-43A1-94B9-D74FCF61A46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7D16FE6C-4F29-488A-A029-2A37CF40DF11}">
      <dgm:prSet phldrT="[Text]" custT="1"/>
      <dgm:spPr/>
      <dgm:t>
        <a:bodyPr/>
        <a:lstStyle/>
        <a:p>
          <a:r>
            <a:rPr lang="en-AU" sz="1800">
              <a:latin typeface="Times New Roman" panose="02020603050405020304" pitchFamily="18" charset="0"/>
              <a:cs typeface="Times New Roman" panose="02020603050405020304" pitchFamily="18" charset="0"/>
            </a:rPr>
            <a:t>Phase A</a:t>
          </a:r>
        </a:p>
      </dgm:t>
    </dgm:pt>
    <dgm:pt modelId="{FB99E66E-7AC5-4B7C-9A7B-14784F5BF083}" type="parTrans" cxnId="{27A2A629-14F8-4D8A-B09F-B4EE9620B73B}">
      <dgm:prSet/>
      <dgm:spPr/>
      <dgm:t>
        <a:bodyPr/>
        <a:lstStyle/>
        <a:p>
          <a:endParaRPr lang="en-AU" sz="2400">
            <a:latin typeface="Times New Roman" panose="02020603050405020304" pitchFamily="18" charset="0"/>
            <a:cs typeface="Times New Roman" panose="02020603050405020304" pitchFamily="18" charset="0"/>
          </a:endParaRPr>
        </a:p>
      </dgm:t>
    </dgm:pt>
    <dgm:pt modelId="{1ABFF5C2-8FD2-44E4-A7AE-76EAF0AE849A}" type="sibTrans" cxnId="{27A2A629-14F8-4D8A-B09F-B4EE9620B73B}">
      <dgm:prSet/>
      <dgm:spPr/>
      <dgm:t>
        <a:bodyPr/>
        <a:lstStyle/>
        <a:p>
          <a:endParaRPr lang="en-AU" sz="2400">
            <a:latin typeface="Times New Roman" panose="02020603050405020304" pitchFamily="18" charset="0"/>
            <a:cs typeface="Times New Roman" panose="02020603050405020304" pitchFamily="18" charset="0"/>
          </a:endParaRPr>
        </a:p>
      </dgm:t>
    </dgm:pt>
    <dgm:pt modelId="{3F8FC507-74E7-469E-AA8F-C5D512DE5D07}">
      <dgm:prSet phldrT="[Text]" custT="1"/>
      <dgm:spPr/>
      <dgm:t>
        <a:bodyPr/>
        <a:lstStyle/>
        <a:p>
          <a:r>
            <a:rPr lang="en-AU" sz="1800">
              <a:latin typeface="Times New Roman" panose="02020603050405020304" pitchFamily="18" charset="0"/>
              <a:cs typeface="Times New Roman" panose="02020603050405020304" pitchFamily="18" charset="0"/>
            </a:rPr>
            <a:t>Washout</a:t>
          </a:r>
        </a:p>
      </dgm:t>
    </dgm:pt>
    <dgm:pt modelId="{AAA25DE9-346E-4849-B594-647BF1621FF0}" type="parTrans" cxnId="{04F0FC1A-2498-46D0-B2C5-2E47D4227FF6}">
      <dgm:prSet/>
      <dgm:spPr/>
      <dgm:t>
        <a:bodyPr/>
        <a:lstStyle/>
        <a:p>
          <a:endParaRPr lang="en-AU" sz="2400">
            <a:latin typeface="Times New Roman" panose="02020603050405020304" pitchFamily="18" charset="0"/>
            <a:cs typeface="Times New Roman" panose="02020603050405020304" pitchFamily="18" charset="0"/>
          </a:endParaRPr>
        </a:p>
      </dgm:t>
    </dgm:pt>
    <dgm:pt modelId="{89800DE3-0F45-4744-A598-EA80EB5DAF8E}" type="sibTrans" cxnId="{04F0FC1A-2498-46D0-B2C5-2E47D4227FF6}">
      <dgm:prSet/>
      <dgm:spPr/>
      <dgm:t>
        <a:bodyPr/>
        <a:lstStyle/>
        <a:p>
          <a:endParaRPr lang="en-AU" sz="2400">
            <a:latin typeface="Times New Roman" panose="02020603050405020304" pitchFamily="18" charset="0"/>
            <a:cs typeface="Times New Roman" panose="02020603050405020304" pitchFamily="18" charset="0"/>
          </a:endParaRPr>
        </a:p>
      </dgm:t>
    </dgm:pt>
    <dgm:pt modelId="{35C63D51-993D-4DEA-9ADE-1B86A223A2BF}">
      <dgm:prSet phldrT="[Text]" custT="1"/>
      <dgm:spPr/>
      <dgm:t>
        <a:bodyPr/>
        <a:lstStyle/>
        <a:p>
          <a:r>
            <a:rPr lang="en-AU" sz="1800">
              <a:latin typeface="Times New Roman" panose="02020603050405020304" pitchFamily="18" charset="0"/>
              <a:cs typeface="Times New Roman" panose="02020603050405020304" pitchFamily="18" charset="0"/>
            </a:rPr>
            <a:t>Phase B</a:t>
          </a:r>
        </a:p>
      </dgm:t>
    </dgm:pt>
    <dgm:pt modelId="{3B6C7619-E3B7-422C-9D8A-E3D543E3E366}" type="parTrans" cxnId="{0BCFA732-C086-4E63-9373-D09CBAA02B1E}">
      <dgm:prSet/>
      <dgm:spPr/>
      <dgm:t>
        <a:bodyPr/>
        <a:lstStyle/>
        <a:p>
          <a:endParaRPr lang="en-AU" sz="2400">
            <a:latin typeface="Times New Roman" panose="02020603050405020304" pitchFamily="18" charset="0"/>
            <a:cs typeface="Times New Roman" panose="02020603050405020304" pitchFamily="18" charset="0"/>
          </a:endParaRPr>
        </a:p>
      </dgm:t>
    </dgm:pt>
    <dgm:pt modelId="{7106D7C3-A825-4F2D-804D-B5017384A1B6}" type="sibTrans" cxnId="{0BCFA732-C086-4E63-9373-D09CBAA02B1E}">
      <dgm:prSet/>
      <dgm:spPr/>
      <dgm:t>
        <a:bodyPr/>
        <a:lstStyle/>
        <a:p>
          <a:endParaRPr lang="en-AU" sz="2400">
            <a:latin typeface="Times New Roman" panose="02020603050405020304" pitchFamily="18" charset="0"/>
            <a:cs typeface="Times New Roman" panose="02020603050405020304" pitchFamily="18" charset="0"/>
          </a:endParaRPr>
        </a:p>
      </dgm:t>
    </dgm:pt>
    <dgm:pt modelId="{C27CC6DE-E5A9-4D38-9E0B-22387FFEF9AD}">
      <dgm:prSet phldrT="[Text]" custT="1"/>
      <dgm:spPr/>
      <dgm:t>
        <a:bodyPr/>
        <a:lstStyle/>
        <a:p>
          <a:r>
            <a:rPr lang="en-AU" sz="1100">
              <a:latin typeface="Times New Roman" panose="02020603050405020304" pitchFamily="18" charset="0"/>
              <a:cs typeface="Times New Roman" panose="02020603050405020304" pitchFamily="18" charset="0"/>
            </a:rPr>
            <a:t>Subcutaneous catheter insertion (D1) with p</a:t>
          </a:r>
          <a:r>
            <a:rPr lang="en-US" sz="1100">
              <a:latin typeface="Times New Roman" panose="02020603050405020304" pitchFamily="18" charset="0"/>
              <a:cs typeface="Times New Roman" panose="02020603050405020304" pitchFamily="18" charset="0"/>
            </a:rPr>
            <a:t>eak aXa levels at days 2, 5 +/- 7*</a:t>
          </a:r>
          <a:endParaRPr lang="en-AU" sz="1100">
            <a:latin typeface="Times New Roman" panose="02020603050405020304" pitchFamily="18" charset="0"/>
            <a:cs typeface="Times New Roman" panose="02020603050405020304" pitchFamily="18" charset="0"/>
          </a:endParaRPr>
        </a:p>
      </dgm:t>
    </dgm:pt>
    <dgm:pt modelId="{646AD7CF-DF5C-48E9-A519-9485FED881A4}" type="parTrans" cxnId="{FAC88A75-606C-461D-B66A-FE8D71E55A0E}">
      <dgm:prSet/>
      <dgm:spPr/>
      <dgm:t>
        <a:bodyPr/>
        <a:lstStyle/>
        <a:p>
          <a:endParaRPr lang="en-AU" sz="2400">
            <a:latin typeface="Times New Roman" panose="02020603050405020304" pitchFamily="18" charset="0"/>
            <a:cs typeface="Times New Roman" panose="02020603050405020304" pitchFamily="18" charset="0"/>
          </a:endParaRPr>
        </a:p>
      </dgm:t>
    </dgm:pt>
    <dgm:pt modelId="{11349E2A-7BBA-4402-841A-DE89A7D575C0}" type="sibTrans" cxnId="{FAC88A75-606C-461D-B66A-FE8D71E55A0E}">
      <dgm:prSet/>
      <dgm:spPr/>
      <dgm:t>
        <a:bodyPr/>
        <a:lstStyle/>
        <a:p>
          <a:endParaRPr lang="en-AU" sz="2400">
            <a:latin typeface="Times New Roman" panose="02020603050405020304" pitchFamily="18" charset="0"/>
            <a:cs typeface="Times New Roman" panose="02020603050405020304" pitchFamily="18" charset="0"/>
          </a:endParaRPr>
        </a:p>
      </dgm:t>
    </dgm:pt>
    <dgm:pt modelId="{0D115F8E-D221-410C-84E9-1708B1FF003C}">
      <dgm:prSet custT="1"/>
      <dgm:spPr/>
      <dgm:t>
        <a:bodyPr/>
        <a:lstStyle/>
        <a:p>
          <a:r>
            <a:rPr lang="en-US" sz="1100">
              <a:latin typeface="Times New Roman" panose="02020603050405020304" pitchFamily="18" charset="0"/>
              <a:cs typeface="Times New Roman" panose="02020603050405020304" pitchFamily="18" charset="0"/>
            </a:rPr>
            <a:t>Catheter site assessments at days 2, 5, +/- 7 with phone call day 3</a:t>
          </a:r>
        </a:p>
      </dgm:t>
    </dgm:pt>
    <dgm:pt modelId="{F875DF02-AAE8-47B8-B9D9-71D4BFDBA069}" type="parTrans" cxnId="{93C476F8-140E-4501-AA0F-A441BCADEEAA}">
      <dgm:prSet/>
      <dgm:spPr/>
      <dgm:t>
        <a:bodyPr/>
        <a:lstStyle/>
        <a:p>
          <a:endParaRPr lang="en-AU" sz="2400">
            <a:latin typeface="Times New Roman" panose="02020603050405020304" pitchFamily="18" charset="0"/>
            <a:cs typeface="Times New Roman" panose="02020603050405020304" pitchFamily="18" charset="0"/>
          </a:endParaRPr>
        </a:p>
      </dgm:t>
    </dgm:pt>
    <dgm:pt modelId="{9B4C8AE3-C294-48BB-8780-6F5D9FE0A282}" type="sibTrans" cxnId="{93C476F8-140E-4501-AA0F-A441BCADEEAA}">
      <dgm:prSet/>
      <dgm:spPr/>
      <dgm:t>
        <a:bodyPr/>
        <a:lstStyle/>
        <a:p>
          <a:endParaRPr lang="en-AU" sz="2400">
            <a:latin typeface="Times New Roman" panose="02020603050405020304" pitchFamily="18" charset="0"/>
            <a:cs typeface="Times New Roman" panose="02020603050405020304" pitchFamily="18" charset="0"/>
          </a:endParaRPr>
        </a:p>
      </dgm:t>
    </dgm:pt>
    <dgm:pt modelId="{B4CC3032-DAE6-4935-BCE6-DB44C06C5FFB}">
      <dgm:prSet custT="1"/>
      <dgm:spPr/>
      <dgm:t>
        <a:bodyPr/>
        <a:lstStyle/>
        <a:p>
          <a:r>
            <a:rPr lang="en-US" sz="1100">
              <a:latin typeface="Times New Roman" panose="02020603050405020304" pitchFamily="18" charset="0"/>
              <a:cs typeface="Times New Roman" panose="02020603050405020304" pitchFamily="18" charset="0"/>
            </a:rPr>
            <a:t>Patient satisfaction survey at day 5 </a:t>
          </a:r>
        </a:p>
      </dgm:t>
    </dgm:pt>
    <dgm:pt modelId="{D203A168-3528-453E-90BF-2EB241353D70}" type="parTrans" cxnId="{5F8F6AF2-8682-4F22-B3D2-2A50BB869635}">
      <dgm:prSet/>
      <dgm:spPr/>
      <dgm:t>
        <a:bodyPr/>
        <a:lstStyle/>
        <a:p>
          <a:endParaRPr lang="en-AU" sz="2400">
            <a:latin typeface="Times New Roman" panose="02020603050405020304" pitchFamily="18" charset="0"/>
            <a:cs typeface="Times New Roman" panose="02020603050405020304" pitchFamily="18" charset="0"/>
          </a:endParaRPr>
        </a:p>
      </dgm:t>
    </dgm:pt>
    <dgm:pt modelId="{74C75F13-15F1-4B15-83A6-4D1BE38AD8C8}" type="sibTrans" cxnId="{5F8F6AF2-8682-4F22-B3D2-2A50BB869635}">
      <dgm:prSet/>
      <dgm:spPr/>
      <dgm:t>
        <a:bodyPr/>
        <a:lstStyle/>
        <a:p>
          <a:endParaRPr lang="en-AU" sz="2400">
            <a:latin typeface="Times New Roman" panose="02020603050405020304" pitchFamily="18" charset="0"/>
            <a:cs typeface="Times New Roman" panose="02020603050405020304" pitchFamily="18" charset="0"/>
          </a:endParaRPr>
        </a:p>
      </dgm:t>
    </dgm:pt>
    <dgm:pt modelId="{3E92A0DD-D0C3-475F-A7F3-E7063B8B00F3}">
      <dgm:prSet phldrT="[Text]" custT="1"/>
      <dgm:spPr/>
      <dgm:t>
        <a:bodyPr/>
        <a:lstStyle/>
        <a:p>
          <a:r>
            <a:rPr lang="en-AU" sz="1800">
              <a:latin typeface="Times New Roman" panose="02020603050405020304" pitchFamily="18" charset="0"/>
              <a:cs typeface="Times New Roman" panose="02020603050405020304" pitchFamily="18" charset="0"/>
            </a:rPr>
            <a:t>Extension phase</a:t>
          </a:r>
        </a:p>
      </dgm:t>
    </dgm:pt>
    <dgm:pt modelId="{330C4A03-AF48-402B-A799-38CDB1D6F0F6}" type="parTrans" cxnId="{AB015159-213F-42FF-BF4B-3457E946A692}">
      <dgm:prSet/>
      <dgm:spPr/>
      <dgm:t>
        <a:bodyPr/>
        <a:lstStyle/>
        <a:p>
          <a:endParaRPr lang="en-AU" sz="2400">
            <a:latin typeface="Times New Roman" panose="02020603050405020304" pitchFamily="18" charset="0"/>
            <a:cs typeface="Times New Roman" panose="02020603050405020304" pitchFamily="18" charset="0"/>
          </a:endParaRPr>
        </a:p>
      </dgm:t>
    </dgm:pt>
    <dgm:pt modelId="{EED7FD9A-C138-4B11-A569-8698454DFD31}" type="sibTrans" cxnId="{AB015159-213F-42FF-BF4B-3457E946A692}">
      <dgm:prSet/>
      <dgm:spPr/>
      <dgm:t>
        <a:bodyPr/>
        <a:lstStyle/>
        <a:p>
          <a:endParaRPr lang="en-AU" sz="2400">
            <a:latin typeface="Times New Roman" panose="02020603050405020304" pitchFamily="18" charset="0"/>
            <a:cs typeface="Times New Roman" panose="02020603050405020304" pitchFamily="18" charset="0"/>
          </a:endParaRPr>
        </a:p>
      </dgm:t>
    </dgm:pt>
    <dgm:pt modelId="{AFB6043E-C32B-489E-9BED-CD8E2B9F8923}">
      <dgm:prSet phldrT="[Text]" custT="1"/>
      <dgm:spPr/>
      <dgm:t>
        <a:bodyPr/>
        <a:lstStyle/>
        <a:p>
          <a:r>
            <a:rPr lang="en-US" sz="1100">
              <a:latin typeface="Times New Roman" panose="02020603050405020304" pitchFamily="18" charset="0"/>
              <a:cs typeface="Times New Roman" panose="02020603050405020304" pitchFamily="18" charset="0"/>
            </a:rPr>
            <a:t>Minimum 5 day "washout period" of subcutaneous injections</a:t>
          </a:r>
          <a:endParaRPr lang="en-AU" sz="1100">
            <a:latin typeface="Times New Roman" panose="02020603050405020304" pitchFamily="18" charset="0"/>
            <a:cs typeface="Times New Roman" panose="02020603050405020304" pitchFamily="18" charset="0"/>
          </a:endParaRPr>
        </a:p>
      </dgm:t>
    </dgm:pt>
    <dgm:pt modelId="{6DED12BF-5959-47E8-B531-F496C81CC639}" type="parTrans" cxnId="{5559329F-FB47-43AD-9014-49746D32A91C}">
      <dgm:prSet/>
      <dgm:spPr/>
      <dgm:t>
        <a:bodyPr/>
        <a:lstStyle/>
        <a:p>
          <a:endParaRPr lang="en-AU" sz="2400">
            <a:latin typeface="Times New Roman" panose="02020603050405020304" pitchFamily="18" charset="0"/>
            <a:cs typeface="Times New Roman" panose="02020603050405020304" pitchFamily="18" charset="0"/>
          </a:endParaRPr>
        </a:p>
      </dgm:t>
    </dgm:pt>
    <dgm:pt modelId="{C624C06C-BFAF-42D6-8BB4-005AF4E5B802}" type="sibTrans" cxnId="{5559329F-FB47-43AD-9014-49746D32A91C}">
      <dgm:prSet/>
      <dgm:spPr/>
      <dgm:t>
        <a:bodyPr/>
        <a:lstStyle/>
        <a:p>
          <a:endParaRPr lang="en-AU" sz="2400">
            <a:latin typeface="Times New Roman" panose="02020603050405020304" pitchFamily="18" charset="0"/>
            <a:cs typeface="Times New Roman" panose="02020603050405020304" pitchFamily="18" charset="0"/>
          </a:endParaRPr>
        </a:p>
      </dgm:t>
    </dgm:pt>
    <dgm:pt modelId="{A2C7545F-DEE6-4C12-ACF4-1A6E7420EC3D}">
      <dgm:prSet phldrT="[Text]" custT="1"/>
      <dgm:spPr/>
      <dgm:t>
        <a:bodyPr/>
        <a:lstStyle/>
        <a:p>
          <a:r>
            <a:rPr lang="en-AU" sz="1100">
              <a:latin typeface="Times New Roman" panose="02020603050405020304" pitchFamily="18" charset="0"/>
              <a:cs typeface="Times New Roman" panose="02020603050405020304" pitchFamily="18" charset="0"/>
            </a:rPr>
            <a:t>No anti-Xa levels required</a:t>
          </a:r>
        </a:p>
      </dgm:t>
    </dgm:pt>
    <dgm:pt modelId="{F34E2934-09A1-409F-ADC1-1E3CB5691CFD}" type="parTrans" cxnId="{84A270E2-0068-45DB-A93B-8B829460CF03}">
      <dgm:prSet/>
      <dgm:spPr/>
      <dgm:t>
        <a:bodyPr/>
        <a:lstStyle/>
        <a:p>
          <a:endParaRPr lang="en-AU" sz="2400">
            <a:latin typeface="Times New Roman" panose="02020603050405020304" pitchFamily="18" charset="0"/>
            <a:cs typeface="Times New Roman" panose="02020603050405020304" pitchFamily="18" charset="0"/>
          </a:endParaRPr>
        </a:p>
      </dgm:t>
    </dgm:pt>
    <dgm:pt modelId="{4C681E90-344D-4CA8-8120-447974635EF0}" type="sibTrans" cxnId="{84A270E2-0068-45DB-A93B-8B829460CF03}">
      <dgm:prSet/>
      <dgm:spPr/>
      <dgm:t>
        <a:bodyPr/>
        <a:lstStyle/>
        <a:p>
          <a:endParaRPr lang="en-AU" sz="2400">
            <a:latin typeface="Times New Roman" panose="02020603050405020304" pitchFamily="18" charset="0"/>
            <a:cs typeface="Times New Roman" panose="02020603050405020304" pitchFamily="18" charset="0"/>
          </a:endParaRPr>
        </a:p>
      </dgm:t>
    </dgm:pt>
    <dgm:pt modelId="{EF6B53E1-6937-404D-8AE2-000C73E5C013}">
      <dgm:prSet phldrT="[Text]" custT="1"/>
      <dgm:spPr/>
      <dgm:t>
        <a:bodyPr/>
        <a:lstStyle/>
        <a:p>
          <a:r>
            <a:rPr lang="en-US" sz="1100">
              <a:latin typeface="Times New Roman" panose="02020603050405020304" pitchFamily="18" charset="0"/>
              <a:cs typeface="Times New Roman" panose="02020603050405020304" pitchFamily="18" charset="0"/>
            </a:rPr>
            <a:t>Peak aXa levels at day 2 and 5 (+/-1 day)</a:t>
          </a:r>
          <a:endParaRPr lang="en-AU" sz="1100">
            <a:latin typeface="Times New Roman" panose="02020603050405020304" pitchFamily="18" charset="0"/>
            <a:cs typeface="Times New Roman" panose="02020603050405020304" pitchFamily="18" charset="0"/>
          </a:endParaRPr>
        </a:p>
      </dgm:t>
    </dgm:pt>
    <dgm:pt modelId="{F2A6B0AB-F38B-4C86-928A-5E6389A47567}" type="parTrans" cxnId="{EA9EDE95-B212-46FA-9382-79B8BC30E1E8}">
      <dgm:prSet/>
      <dgm:spPr/>
      <dgm:t>
        <a:bodyPr/>
        <a:lstStyle/>
        <a:p>
          <a:endParaRPr lang="en-AU" sz="2400">
            <a:latin typeface="Times New Roman" panose="02020603050405020304" pitchFamily="18" charset="0"/>
            <a:cs typeface="Times New Roman" panose="02020603050405020304" pitchFamily="18" charset="0"/>
          </a:endParaRPr>
        </a:p>
      </dgm:t>
    </dgm:pt>
    <dgm:pt modelId="{28217A9E-1AC4-4C61-87EE-9888D9AB8586}" type="sibTrans" cxnId="{EA9EDE95-B212-46FA-9382-79B8BC30E1E8}">
      <dgm:prSet/>
      <dgm:spPr/>
      <dgm:t>
        <a:bodyPr/>
        <a:lstStyle/>
        <a:p>
          <a:endParaRPr lang="en-AU" sz="2400">
            <a:latin typeface="Times New Roman" panose="02020603050405020304" pitchFamily="18" charset="0"/>
            <a:cs typeface="Times New Roman" panose="02020603050405020304" pitchFamily="18" charset="0"/>
          </a:endParaRPr>
        </a:p>
      </dgm:t>
    </dgm:pt>
    <dgm:pt modelId="{DBD808F4-9D16-4753-8C23-6FA6A46FE3AF}">
      <dgm:prSet custT="1"/>
      <dgm:spPr/>
      <dgm:t>
        <a:bodyPr/>
        <a:lstStyle/>
        <a:p>
          <a:r>
            <a:rPr lang="en-US" sz="1100">
              <a:latin typeface="Times New Roman" panose="02020603050405020304" pitchFamily="18" charset="0"/>
              <a:cs typeface="Times New Roman" panose="02020603050405020304" pitchFamily="18" charset="0"/>
            </a:rPr>
            <a:t>Review previous catheter site at day 2</a:t>
          </a:r>
        </a:p>
      </dgm:t>
    </dgm:pt>
    <dgm:pt modelId="{80DBEA21-9B85-4DFD-B86A-8A91D7C22C3E}" type="parTrans" cxnId="{283CB61D-D585-4585-B031-D00A32F6E3CD}">
      <dgm:prSet/>
      <dgm:spPr/>
      <dgm:t>
        <a:bodyPr/>
        <a:lstStyle/>
        <a:p>
          <a:endParaRPr lang="en-AU" sz="2400">
            <a:latin typeface="Times New Roman" panose="02020603050405020304" pitchFamily="18" charset="0"/>
            <a:cs typeface="Times New Roman" panose="02020603050405020304" pitchFamily="18" charset="0"/>
          </a:endParaRPr>
        </a:p>
      </dgm:t>
    </dgm:pt>
    <dgm:pt modelId="{7FB3E2AA-D7A0-4513-AB3F-DE700A344826}" type="sibTrans" cxnId="{283CB61D-D585-4585-B031-D00A32F6E3CD}">
      <dgm:prSet/>
      <dgm:spPr/>
      <dgm:t>
        <a:bodyPr/>
        <a:lstStyle/>
        <a:p>
          <a:endParaRPr lang="en-AU" sz="2400">
            <a:latin typeface="Times New Roman" panose="02020603050405020304" pitchFamily="18" charset="0"/>
            <a:cs typeface="Times New Roman" panose="02020603050405020304" pitchFamily="18" charset="0"/>
          </a:endParaRPr>
        </a:p>
      </dgm:t>
    </dgm:pt>
    <dgm:pt modelId="{99D56104-C0B9-4355-8FC6-B2C129780C86}">
      <dgm:prSet custT="1"/>
      <dgm:spPr/>
      <dgm:t>
        <a:bodyPr/>
        <a:lstStyle/>
        <a:p>
          <a:r>
            <a:rPr lang="en-US" sz="1100">
              <a:latin typeface="Times New Roman" panose="02020603050405020304" pitchFamily="18" charset="0"/>
              <a:cs typeface="Times New Roman" panose="02020603050405020304" pitchFamily="18" charset="0"/>
            </a:rPr>
            <a:t>Patient satisfaction survey at day 5</a:t>
          </a:r>
        </a:p>
      </dgm:t>
    </dgm:pt>
    <dgm:pt modelId="{CDFACB4B-591B-48DB-98E3-2551990608CE}" type="parTrans" cxnId="{2DD82729-CDD8-4271-8957-2764311519D1}">
      <dgm:prSet/>
      <dgm:spPr/>
      <dgm:t>
        <a:bodyPr/>
        <a:lstStyle/>
        <a:p>
          <a:endParaRPr lang="en-AU" sz="2400">
            <a:latin typeface="Times New Roman" panose="02020603050405020304" pitchFamily="18" charset="0"/>
            <a:cs typeface="Times New Roman" panose="02020603050405020304" pitchFamily="18" charset="0"/>
          </a:endParaRPr>
        </a:p>
      </dgm:t>
    </dgm:pt>
    <dgm:pt modelId="{DC6EFD04-7F78-4FC2-AA69-6947C1C6CA98}" type="sibTrans" cxnId="{2DD82729-CDD8-4271-8957-2764311519D1}">
      <dgm:prSet/>
      <dgm:spPr/>
      <dgm:t>
        <a:bodyPr/>
        <a:lstStyle/>
        <a:p>
          <a:endParaRPr lang="en-AU" sz="2400">
            <a:latin typeface="Times New Roman" panose="02020603050405020304" pitchFamily="18" charset="0"/>
            <a:cs typeface="Times New Roman" panose="02020603050405020304" pitchFamily="18" charset="0"/>
          </a:endParaRPr>
        </a:p>
      </dgm:t>
    </dgm:pt>
    <dgm:pt modelId="{15C66274-0230-47AF-89E1-2E69C39CD79E}">
      <dgm:prSet phldrT="[Text]" custT="1"/>
      <dgm:spPr/>
      <dgm:t>
        <a:bodyPr/>
        <a:lstStyle/>
        <a:p>
          <a:r>
            <a:rPr lang="en-AU" sz="1100">
              <a:latin typeface="Times New Roman" panose="02020603050405020304" pitchFamily="18" charset="0"/>
              <a:cs typeface="Times New Roman" panose="02020603050405020304" pitchFamily="18" charset="0"/>
            </a:rPr>
            <a:t>For those continuing with the subcutaneous catheter following safety assessment**</a:t>
          </a:r>
        </a:p>
      </dgm:t>
    </dgm:pt>
    <dgm:pt modelId="{61F62EC7-B184-40B3-8F16-684758975A7A}" type="parTrans" cxnId="{ED7F4F44-F869-4032-AC08-33E180207E21}">
      <dgm:prSet/>
      <dgm:spPr/>
      <dgm:t>
        <a:bodyPr/>
        <a:lstStyle/>
        <a:p>
          <a:endParaRPr lang="en-AU" sz="2400">
            <a:latin typeface="Times New Roman" panose="02020603050405020304" pitchFamily="18" charset="0"/>
            <a:cs typeface="Times New Roman" panose="02020603050405020304" pitchFamily="18" charset="0"/>
          </a:endParaRPr>
        </a:p>
      </dgm:t>
    </dgm:pt>
    <dgm:pt modelId="{3336C80A-413E-4727-BB43-6A0092A84558}" type="sibTrans" cxnId="{ED7F4F44-F869-4032-AC08-33E180207E21}">
      <dgm:prSet/>
      <dgm:spPr/>
      <dgm:t>
        <a:bodyPr/>
        <a:lstStyle/>
        <a:p>
          <a:endParaRPr lang="en-AU" sz="2400">
            <a:latin typeface="Times New Roman" panose="02020603050405020304" pitchFamily="18" charset="0"/>
            <a:cs typeface="Times New Roman" panose="02020603050405020304" pitchFamily="18" charset="0"/>
          </a:endParaRPr>
        </a:p>
      </dgm:t>
    </dgm:pt>
    <dgm:pt modelId="{81D8642A-2EC3-47C1-9771-8902DB3DF345}">
      <dgm:prSet phldrT="[Text]" custT="1"/>
      <dgm:spPr/>
      <dgm:t>
        <a:bodyPr/>
        <a:lstStyle/>
        <a:p>
          <a:r>
            <a:rPr lang="en-AU" sz="1100">
              <a:latin typeface="Times New Roman" panose="02020603050405020304" pitchFamily="18" charset="0"/>
              <a:cs typeface="Times New Roman" panose="02020603050405020304" pitchFamily="18" charset="0"/>
            </a:rPr>
            <a:t>5-7 daily catheter change with nursing review. After 4 weeks, option to self-insert insuflon catheters</a:t>
          </a:r>
        </a:p>
      </dgm:t>
    </dgm:pt>
    <dgm:pt modelId="{D19C12E7-2B1C-441E-B7C4-602E84B9B373}" type="parTrans" cxnId="{029F3C8B-FAF8-4BBC-A235-E3D0830A2E8A}">
      <dgm:prSet/>
      <dgm:spPr/>
      <dgm:t>
        <a:bodyPr/>
        <a:lstStyle/>
        <a:p>
          <a:endParaRPr lang="en-AU" sz="2400">
            <a:latin typeface="Times New Roman" panose="02020603050405020304" pitchFamily="18" charset="0"/>
            <a:cs typeface="Times New Roman" panose="02020603050405020304" pitchFamily="18" charset="0"/>
          </a:endParaRPr>
        </a:p>
      </dgm:t>
    </dgm:pt>
    <dgm:pt modelId="{E631A97F-161F-4CB2-867F-B5F0B76EF265}" type="sibTrans" cxnId="{029F3C8B-FAF8-4BBC-A235-E3D0830A2E8A}">
      <dgm:prSet/>
      <dgm:spPr/>
      <dgm:t>
        <a:bodyPr/>
        <a:lstStyle/>
        <a:p>
          <a:endParaRPr lang="en-AU" sz="2400">
            <a:latin typeface="Times New Roman" panose="02020603050405020304" pitchFamily="18" charset="0"/>
            <a:cs typeface="Times New Roman" panose="02020603050405020304" pitchFamily="18" charset="0"/>
          </a:endParaRPr>
        </a:p>
      </dgm:t>
    </dgm:pt>
    <dgm:pt modelId="{17796103-46E1-4544-B675-8F46881BDCD2}">
      <dgm:prSet phldrT="[Text]" custT="1"/>
      <dgm:spPr/>
      <dgm:t>
        <a:bodyPr/>
        <a:lstStyle/>
        <a:p>
          <a:r>
            <a:rPr lang="en-AU" sz="1100">
              <a:latin typeface="Times New Roman" panose="02020603050405020304" pitchFamily="18" charset="0"/>
              <a:cs typeface="Times New Roman" panose="02020603050405020304" pitchFamily="18" charset="0"/>
            </a:rPr>
            <a:t>4-weekly anti-Xa levels and doctor review***</a:t>
          </a:r>
        </a:p>
      </dgm:t>
    </dgm:pt>
    <dgm:pt modelId="{1FEB009A-2C09-4C90-945F-7903154D6B0E}" type="parTrans" cxnId="{EEB24772-977D-482E-85D4-595A0587A045}">
      <dgm:prSet/>
      <dgm:spPr/>
      <dgm:t>
        <a:bodyPr/>
        <a:lstStyle/>
        <a:p>
          <a:endParaRPr lang="en-AU" sz="2400">
            <a:latin typeface="Times New Roman" panose="02020603050405020304" pitchFamily="18" charset="0"/>
            <a:cs typeface="Times New Roman" panose="02020603050405020304" pitchFamily="18" charset="0"/>
          </a:endParaRPr>
        </a:p>
      </dgm:t>
    </dgm:pt>
    <dgm:pt modelId="{BBB5426C-D87B-4FC8-8EDD-8B5DA7C79630}" type="sibTrans" cxnId="{EEB24772-977D-482E-85D4-595A0587A045}">
      <dgm:prSet/>
      <dgm:spPr/>
      <dgm:t>
        <a:bodyPr/>
        <a:lstStyle/>
        <a:p>
          <a:endParaRPr lang="en-AU" sz="2400">
            <a:latin typeface="Times New Roman" panose="02020603050405020304" pitchFamily="18" charset="0"/>
            <a:cs typeface="Times New Roman" panose="02020603050405020304" pitchFamily="18" charset="0"/>
          </a:endParaRPr>
        </a:p>
      </dgm:t>
    </dgm:pt>
    <dgm:pt modelId="{B7C08C18-9E4D-4775-BE76-C0E3EEFF0E61}">
      <dgm:prSet custT="1"/>
      <dgm:spPr/>
      <dgm:t>
        <a:bodyPr/>
        <a:lstStyle/>
        <a:p>
          <a:r>
            <a:rPr lang="en-US" sz="1600">
              <a:latin typeface="Times New Roman" panose="02020603050405020304" pitchFamily="18" charset="0"/>
              <a:cs typeface="Times New Roman" panose="02020603050405020304" pitchFamily="18" charset="0"/>
            </a:rPr>
            <a:t>Option to proceed with Extension phase or Follow-up phase</a:t>
          </a:r>
        </a:p>
      </dgm:t>
    </dgm:pt>
    <dgm:pt modelId="{C78AD8AE-7C1D-4EA8-AD69-392483DCAB40}" type="parTrans" cxnId="{DEDFDA41-919C-4546-AA3B-9FFCEDE94B40}">
      <dgm:prSet/>
      <dgm:spPr/>
      <dgm:t>
        <a:bodyPr/>
        <a:lstStyle/>
        <a:p>
          <a:endParaRPr lang="en-AU"/>
        </a:p>
      </dgm:t>
    </dgm:pt>
    <dgm:pt modelId="{03B0A77A-2605-48A7-94D9-8046EA6B2414}" type="sibTrans" cxnId="{DEDFDA41-919C-4546-AA3B-9FFCEDE94B40}">
      <dgm:prSet/>
      <dgm:spPr/>
      <dgm:t>
        <a:bodyPr/>
        <a:lstStyle/>
        <a:p>
          <a:endParaRPr lang="en-AU"/>
        </a:p>
      </dgm:t>
    </dgm:pt>
    <dgm:pt modelId="{F2EAADC7-5B40-4706-9184-B3929DB030E2}">
      <dgm:prSet phldrT="[Text]" custT="1"/>
      <dgm:spPr/>
      <dgm:t>
        <a:bodyPr/>
        <a:lstStyle/>
        <a:p>
          <a:r>
            <a:rPr lang="en-AU" sz="1800">
              <a:latin typeface="Times New Roman" panose="02020603050405020304" pitchFamily="18" charset="0"/>
              <a:cs typeface="Times New Roman" panose="02020603050405020304" pitchFamily="18" charset="0"/>
            </a:rPr>
            <a:t>Follow-up</a:t>
          </a:r>
          <a:endParaRPr lang="en-AU" sz="1100">
            <a:latin typeface="Times New Roman" panose="02020603050405020304" pitchFamily="18" charset="0"/>
            <a:cs typeface="Times New Roman" panose="02020603050405020304" pitchFamily="18" charset="0"/>
          </a:endParaRPr>
        </a:p>
      </dgm:t>
    </dgm:pt>
    <dgm:pt modelId="{E02F841B-83CC-465E-B12E-E9A89902DEEC}" type="parTrans" cxnId="{F38DDB3C-4CCA-4EBD-A39B-F2355538BC12}">
      <dgm:prSet/>
      <dgm:spPr/>
      <dgm:t>
        <a:bodyPr/>
        <a:lstStyle/>
        <a:p>
          <a:endParaRPr lang="en-AU"/>
        </a:p>
      </dgm:t>
    </dgm:pt>
    <dgm:pt modelId="{8A16941F-6E81-4C03-9263-1E3803A74296}" type="sibTrans" cxnId="{F38DDB3C-4CCA-4EBD-A39B-F2355538BC12}">
      <dgm:prSet/>
      <dgm:spPr/>
      <dgm:t>
        <a:bodyPr/>
        <a:lstStyle/>
        <a:p>
          <a:endParaRPr lang="en-AU"/>
        </a:p>
      </dgm:t>
    </dgm:pt>
    <dgm:pt modelId="{A4E81C27-FD25-4D45-B18A-7372A0E6669C}">
      <dgm:prSet custT="1"/>
      <dgm:spPr/>
      <dgm:t>
        <a:bodyPr/>
        <a:lstStyle/>
        <a:p>
          <a:r>
            <a:rPr lang="en-US" sz="1100">
              <a:latin typeface="Times New Roman" panose="02020603050405020304" pitchFamily="18" charset="0"/>
              <a:cs typeface="Times New Roman" panose="02020603050405020304" pitchFamily="18" charset="0"/>
            </a:rPr>
            <a:t>Ongoing subcutaneous injections</a:t>
          </a:r>
          <a:endParaRPr lang="en-AU" sz="1100">
            <a:latin typeface="Times New Roman" panose="02020603050405020304" pitchFamily="18" charset="0"/>
            <a:cs typeface="Times New Roman" panose="02020603050405020304" pitchFamily="18" charset="0"/>
          </a:endParaRPr>
        </a:p>
      </dgm:t>
    </dgm:pt>
    <dgm:pt modelId="{F706B957-A20A-4858-AEA8-07821953DE02}" type="parTrans" cxnId="{77C9E4EA-BD49-43CC-989B-7B00E4401335}">
      <dgm:prSet/>
      <dgm:spPr/>
      <dgm:t>
        <a:bodyPr/>
        <a:lstStyle/>
        <a:p>
          <a:endParaRPr lang="en-AU"/>
        </a:p>
      </dgm:t>
    </dgm:pt>
    <dgm:pt modelId="{D1B6DB30-76D0-453E-A206-41364AEF8EE5}" type="sibTrans" cxnId="{77C9E4EA-BD49-43CC-989B-7B00E4401335}">
      <dgm:prSet/>
      <dgm:spPr/>
      <dgm:t>
        <a:bodyPr/>
        <a:lstStyle/>
        <a:p>
          <a:endParaRPr lang="en-AU"/>
        </a:p>
      </dgm:t>
    </dgm:pt>
    <dgm:pt modelId="{F95537E8-51AD-49A4-8223-E55D23BEA595}">
      <dgm:prSet custT="1"/>
      <dgm:spPr/>
      <dgm:t>
        <a:bodyPr/>
        <a:lstStyle/>
        <a:p>
          <a:r>
            <a:rPr lang="en-US" sz="1100">
              <a:latin typeface="Times New Roman" panose="02020603050405020304" pitchFamily="18" charset="0"/>
              <a:cs typeface="Times New Roman" panose="02020603050405020304" pitchFamily="18" charset="0"/>
            </a:rPr>
            <a:t>Phone call at days 30, 60 and 90</a:t>
          </a:r>
          <a:endParaRPr lang="en-AU" sz="1100">
            <a:latin typeface="Times New Roman" panose="02020603050405020304" pitchFamily="18" charset="0"/>
            <a:cs typeface="Times New Roman" panose="02020603050405020304" pitchFamily="18" charset="0"/>
          </a:endParaRPr>
        </a:p>
      </dgm:t>
    </dgm:pt>
    <dgm:pt modelId="{137EC2BD-9654-409E-9B4F-805654064F13}" type="parTrans" cxnId="{66B82FE7-B8C3-4C1D-80F2-8749A867E6AF}">
      <dgm:prSet/>
      <dgm:spPr/>
      <dgm:t>
        <a:bodyPr/>
        <a:lstStyle/>
        <a:p>
          <a:endParaRPr lang="en-AU"/>
        </a:p>
      </dgm:t>
    </dgm:pt>
    <dgm:pt modelId="{C47A6096-48BE-4AFC-8D0C-65F7A5A75E8E}" type="sibTrans" cxnId="{66B82FE7-B8C3-4C1D-80F2-8749A867E6AF}">
      <dgm:prSet/>
      <dgm:spPr/>
      <dgm:t>
        <a:bodyPr/>
        <a:lstStyle/>
        <a:p>
          <a:endParaRPr lang="en-AU"/>
        </a:p>
      </dgm:t>
    </dgm:pt>
    <dgm:pt modelId="{C19843D4-A210-4A4B-9CA5-9E308A6FBF19}" type="pres">
      <dgm:prSet presAssocID="{1126C90C-8BB4-43A1-94B9-D74FCF61A466}" presName="Name0" presStyleCnt="0">
        <dgm:presLayoutVars>
          <dgm:dir/>
          <dgm:animLvl val="lvl"/>
          <dgm:resizeHandles val="exact"/>
        </dgm:presLayoutVars>
      </dgm:prSet>
      <dgm:spPr/>
      <dgm:t>
        <a:bodyPr/>
        <a:lstStyle/>
        <a:p>
          <a:endParaRPr lang="en-AU"/>
        </a:p>
      </dgm:t>
    </dgm:pt>
    <dgm:pt modelId="{6E431B78-23B7-408B-9CC1-B01DEE909AC1}" type="pres">
      <dgm:prSet presAssocID="{7D16FE6C-4F29-488A-A029-2A37CF40DF11}" presName="linNode" presStyleCnt="0"/>
      <dgm:spPr/>
    </dgm:pt>
    <dgm:pt modelId="{BEA84FBD-1583-4260-AB72-E804457CEFF3}" type="pres">
      <dgm:prSet presAssocID="{7D16FE6C-4F29-488A-A029-2A37CF40DF11}" presName="parentText" presStyleLbl="node1" presStyleIdx="0" presStyleCnt="6" custScaleX="66422" custScaleY="77105">
        <dgm:presLayoutVars>
          <dgm:chMax val="1"/>
          <dgm:bulletEnabled val="1"/>
        </dgm:presLayoutVars>
      </dgm:prSet>
      <dgm:spPr/>
      <dgm:t>
        <a:bodyPr/>
        <a:lstStyle/>
        <a:p>
          <a:endParaRPr lang="en-AU"/>
        </a:p>
      </dgm:t>
    </dgm:pt>
    <dgm:pt modelId="{7290B8F0-27C8-4433-B2C0-EA9BDDB274D7}" type="pres">
      <dgm:prSet presAssocID="{7D16FE6C-4F29-488A-A029-2A37CF40DF11}" presName="descendantText" presStyleLbl="alignAccFollowNode1" presStyleIdx="0" presStyleCnt="5" custScaleX="111546">
        <dgm:presLayoutVars>
          <dgm:bulletEnabled val="1"/>
        </dgm:presLayoutVars>
      </dgm:prSet>
      <dgm:spPr/>
      <dgm:t>
        <a:bodyPr/>
        <a:lstStyle/>
        <a:p>
          <a:endParaRPr lang="en-AU"/>
        </a:p>
      </dgm:t>
    </dgm:pt>
    <dgm:pt modelId="{102B984E-F023-4206-B4C7-4328EB80EF27}" type="pres">
      <dgm:prSet presAssocID="{1ABFF5C2-8FD2-44E4-A7AE-76EAF0AE849A}" presName="sp" presStyleCnt="0"/>
      <dgm:spPr/>
    </dgm:pt>
    <dgm:pt modelId="{342D9867-6EE4-46C1-B66D-75C39646118B}" type="pres">
      <dgm:prSet presAssocID="{3F8FC507-74E7-469E-AA8F-C5D512DE5D07}" presName="linNode" presStyleCnt="0"/>
      <dgm:spPr/>
    </dgm:pt>
    <dgm:pt modelId="{6CE59F6B-B62A-4279-B4D0-71EE6A4D93C6}" type="pres">
      <dgm:prSet presAssocID="{3F8FC507-74E7-469E-AA8F-C5D512DE5D07}" presName="parentText" presStyleLbl="node1" presStyleIdx="1" presStyleCnt="6" custScaleX="66422" custScaleY="77105">
        <dgm:presLayoutVars>
          <dgm:chMax val="1"/>
          <dgm:bulletEnabled val="1"/>
        </dgm:presLayoutVars>
      </dgm:prSet>
      <dgm:spPr/>
      <dgm:t>
        <a:bodyPr/>
        <a:lstStyle/>
        <a:p>
          <a:endParaRPr lang="en-AU"/>
        </a:p>
      </dgm:t>
    </dgm:pt>
    <dgm:pt modelId="{F62B1C5E-17D0-41EA-8C97-1363DCB9C97E}" type="pres">
      <dgm:prSet presAssocID="{3F8FC507-74E7-469E-AA8F-C5D512DE5D07}" presName="descendantText" presStyleLbl="alignAccFollowNode1" presStyleIdx="1" presStyleCnt="5" custScaleX="111546">
        <dgm:presLayoutVars>
          <dgm:bulletEnabled val="1"/>
        </dgm:presLayoutVars>
      </dgm:prSet>
      <dgm:spPr/>
      <dgm:t>
        <a:bodyPr/>
        <a:lstStyle/>
        <a:p>
          <a:endParaRPr lang="en-AU"/>
        </a:p>
      </dgm:t>
    </dgm:pt>
    <dgm:pt modelId="{310A3104-83BE-4214-82A8-DA6468CDCD2F}" type="pres">
      <dgm:prSet presAssocID="{89800DE3-0F45-4744-A598-EA80EB5DAF8E}" presName="sp" presStyleCnt="0"/>
      <dgm:spPr/>
    </dgm:pt>
    <dgm:pt modelId="{3C571588-60C1-4E9C-85A5-DD7385E5727A}" type="pres">
      <dgm:prSet presAssocID="{35C63D51-993D-4DEA-9ADE-1B86A223A2BF}" presName="linNode" presStyleCnt="0"/>
      <dgm:spPr/>
    </dgm:pt>
    <dgm:pt modelId="{F5F3FE0C-062F-436A-8DBD-37550E4135A5}" type="pres">
      <dgm:prSet presAssocID="{35C63D51-993D-4DEA-9ADE-1B86A223A2BF}" presName="parentText" presStyleLbl="node1" presStyleIdx="2" presStyleCnt="6" custScaleX="66422" custScaleY="77105">
        <dgm:presLayoutVars>
          <dgm:chMax val="1"/>
          <dgm:bulletEnabled val="1"/>
        </dgm:presLayoutVars>
      </dgm:prSet>
      <dgm:spPr/>
      <dgm:t>
        <a:bodyPr/>
        <a:lstStyle/>
        <a:p>
          <a:endParaRPr lang="en-AU"/>
        </a:p>
      </dgm:t>
    </dgm:pt>
    <dgm:pt modelId="{49EC93F2-D6B7-4D78-BB7E-FED0956E20C8}" type="pres">
      <dgm:prSet presAssocID="{35C63D51-993D-4DEA-9ADE-1B86A223A2BF}" presName="descendantText" presStyleLbl="alignAccFollowNode1" presStyleIdx="2" presStyleCnt="5" custScaleX="111546">
        <dgm:presLayoutVars>
          <dgm:bulletEnabled val="1"/>
        </dgm:presLayoutVars>
      </dgm:prSet>
      <dgm:spPr/>
      <dgm:t>
        <a:bodyPr/>
        <a:lstStyle/>
        <a:p>
          <a:endParaRPr lang="en-AU"/>
        </a:p>
      </dgm:t>
    </dgm:pt>
    <dgm:pt modelId="{32D73A77-2F0B-4915-85E5-5FD035A11CE3}" type="pres">
      <dgm:prSet presAssocID="{7106D7C3-A825-4F2D-804D-B5017384A1B6}" presName="sp" presStyleCnt="0"/>
      <dgm:spPr/>
    </dgm:pt>
    <dgm:pt modelId="{5FD16A09-5EDD-4BA0-BBD4-DBBB2645753B}" type="pres">
      <dgm:prSet presAssocID="{B7C08C18-9E4D-4775-BE76-C0E3EEFF0E61}" presName="linNode" presStyleCnt="0"/>
      <dgm:spPr/>
    </dgm:pt>
    <dgm:pt modelId="{283B072D-A398-433A-86EE-4532E2DB5D51}" type="pres">
      <dgm:prSet presAssocID="{B7C08C18-9E4D-4775-BE76-C0E3EEFF0E61}" presName="parentText" presStyleLbl="node1" presStyleIdx="3" presStyleCnt="6" custScaleX="265630" custScaleY="61121">
        <dgm:presLayoutVars>
          <dgm:chMax val="1"/>
          <dgm:bulletEnabled val="1"/>
        </dgm:presLayoutVars>
      </dgm:prSet>
      <dgm:spPr/>
      <dgm:t>
        <a:bodyPr/>
        <a:lstStyle/>
        <a:p>
          <a:endParaRPr lang="en-AU"/>
        </a:p>
      </dgm:t>
    </dgm:pt>
    <dgm:pt modelId="{5BA1EF6F-E5D0-4F9B-9227-B6B87DF92A9A}" type="pres">
      <dgm:prSet presAssocID="{03B0A77A-2605-48A7-94D9-8046EA6B2414}" presName="sp" presStyleCnt="0"/>
      <dgm:spPr/>
    </dgm:pt>
    <dgm:pt modelId="{782F92B1-DABB-47DD-A7B4-C9EB0CA10D03}" type="pres">
      <dgm:prSet presAssocID="{3E92A0DD-D0C3-475F-A7F3-E7063B8B00F3}" presName="linNode" presStyleCnt="0"/>
      <dgm:spPr/>
    </dgm:pt>
    <dgm:pt modelId="{3BBBFFF1-72F6-4F51-A836-43A7D95E232A}" type="pres">
      <dgm:prSet presAssocID="{3E92A0DD-D0C3-475F-A7F3-E7063B8B00F3}" presName="parentText" presStyleLbl="node1" presStyleIdx="4" presStyleCnt="6" custScaleX="66422" custScaleY="95489">
        <dgm:presLayoutVars>
          <dgm:chMax val="1"/>
          <dgm:bulletEnabled val="1"/>
        </dgm:presLayoutVars>
      </dgm:prSet>
      <dgm:spPr/>
      <dgm:t>
        <a:bodyPr/>
        <a:lstStyle/>
        <a:p>
          <a:endParaRPr lang="en-AU"/>
        </a:p>
      </dgm:t>
    </dgm:pt>
    <dgm:pt modelId="{FA5F9871-E12E-4323-8C25-D3EDCFDAB56E}" type="pres">
      <dgm:prSet presAssocID="{3E92A0DD-D0C3-475F-A7F3-E7063B8B00F3}" presName="descendantText" presStyleLbl="alignAccFollowNode1" presStyleIdx="3" presStyleCnt="5" custScaleX="111546" custScaleY="124739">
        <dgm:presLayoutVars>
          <dgm:bulletEnabled val="1"/>
        </dgm:presLayoutVars>
      </dgm:prSet>
      <dgm:spPr/>
      <dgm:t>
        <a:bodyPr/>
        <a:lstStyle/>
        <a:p>
          <a:endParaRPr lang="en-AU"/>
        </a:p>
      </dgm:t>
    </dgm:pt>
    <dgm:pt modelId="{55C7A9C7-758D-4868-9876-6D271222A5B1}" type="pres">
      <dgm:prSet presAssocID="{EED7FD9A-C138-4B11-A569-8698454DFD31}" presName="sp" presStyleCnt="0"/>
      <dgm:spPr/>
    </dgm:pt>
    <dgm:pt modelId="{4C131562-B3B2-4D8A-8131-0274D1C516EA}" type="pres">
      <dgm:prSet presAssocID="{F2EAADC7-5B40-4706-9184-B3929DB030E2}" presName="linNode" presStyleCnt="0"/>
      <dgm:spPr/>
    </dgm:pt>
    <dgm:pt modelId="{95D5A1A5-F993-4D21-B93F-71205CBD1295}" type="pres">
      <dgm:prSet presAssocID="{F2EAADC7-5B40-4706-9184-B3929DB030E2}" presName="parentText" presStyleLbl="node1" presStyleIdx="5" presStyleCnt="6" custScaleX="67238" custScaleY="83050">
        <dgm:presLayoutVars>
          <dgm:chMax val="1"/>
          <dgm:bulletEnabled val="1"/>
        </dgm:presLayoutVars>
      </dgm:prSet>
      <dgm:spPr/>
      <dgm:t>
        <a:bodyPr/>
        <a:lstStyle/>
        <a:p>
          <a:endParaRPr lang="en-AU"/>
        </a:p>
      </dgm:t>
    </dgm:pt>
    <dgm:pt modelId="{DF3652AD-D0E4-4107-95F9-3B7E3AA553FD}" type="pres">
      <dgm:prSet presAssocID="{F2EAADC7-5B40-4706-9184-B3929DB030E2}" presName="descendantText" presStyleLbl="alignAccFollowNode1" presStyleIdx="4" presStyleCnt="5" custScaleX="110737">
        <dgm:presLayoutVars>
          <dgm:bulletEnabled val="1"/>
        </dgm:presLayoutVars>
      </dgm:prSet>
      <dgm:spPr/>
      <dgm:t>
        <a:bodyPr/>
        <a:lstStyle/>
        <a:p>
          <a:endParaRPr lang="en-AU"/>
        </a:p>
      </dgm:t>
    </dgm:pt>
  </dgm:ptLst>
  <dgm:cxnLst>
    <dgm:cxn modelId="{AB015159-213F-42FF-BF4B-3457E946A692}" srcId="{1126C90C-8BB4-43A1-94B9-D74FCF61A466}" destId="{3E92A0DD-D0C3-475F-A7F3-E7063B8B00F3}" srcOrd="4" destOrd="0" parTransId="{330C4A03-AF48-402B-A799-38CDB1D6F0F6}" sibTransId="{EED7FD9A-C138-4B11-A569-8698454DFD31}"/>
    <dgm:cxn modelId="{77C9E4EA-BD49-43CC-989B-7B00E4401335}" srcId="{F2EAADC7-5B40-4706-9184-B3929DB030E2}" destId="{A4E81C27-FD25-4D45-B18A-7372A0E6669C}" srcOrd="0" destOrd="0" parTransId="{F706B957-A20A-4858-AEA8-07821953DE02}" sibTransId="{D1B6DB30-76D0-453E-A206-41364AEF8EE5}"/>
    <dgm:cxn modelId="{2DD82729-CDD8-4271-8957-2764311519D1}" srcId="{35C63D51-993D-4DEA-9ADE-1B86A223A2BF}" destId="{99D56104-C0B9-4355-8FC6-B2C129780C86}" srcOrd="2" destOrd="0" parTransId="{CDFACB4B-591B-48DB-98E3-2551990608CE}" sibTransId="{DC6EFD04-7F78-4FC2-AA69-6947C1C6CA98}"/>
    <dgm:cxn modelId="{414FF74C-63F5-4D16-B247-30348A207359}" type="presOf" srcId="{99D56104-C0B9-4355-8FC6-B2C129780C86}" destId="{49EC93F2-D6B7-4D78-BB7E-FED0956E20C8}" srcOrd="0" destOrd="2" presId="urn:microsoft.com/office/officeart/2005/8/layout/vList5"/>
    <dgm:cxn modelId="{9943B0C3-3E91-4F0B-B404-E34A06A139E4}" type="presOf" srcId="{A2C7545F-DEE6-4C12-ACF4-1A6E7420EC3D}" destId="{F62B1C5E-17D0-41EA-8C97-1363DCB9C97E}" srcOrd="0" destOrd="1" presId="urn:microsoft.com/office/officeart/2005/8/layout/vList5"/>
    <dgm:cxn modelId="{5F8F6AF2-8682-4F22-B3D2-2A50BB869635}" srcId="{7D16FE6C-4F29-488A-A029-2A37CF40DF11}" destId="{B4CC3032-DAE6-4935-BCE6-DB44C06C5FFB}" srcOrd="2" destOrd="0" parTransId="{D203A168-3528-453E-90BF-2EB241353D70}" sibTransId="{74C75F13-15F1-4B15-83A6-4D1BE38AD8C8}"/>
    <dgm:cxn modelId="{93C476F8-140E-4501-AA0F-A441BCADEEAA}" srcId="{7D16FE6C-4F29-488A-A029-2A37CF40DF11}" destId="{0D115F8E-D221-410C-84E9-1708B1FF003C}" srcOrd="1" destOrd="0" parTransId="{F875DF02-AAE8-47B8-B9D9-71D4BFDBA069}" sibTransId="{9B4C8AE3-C294-48BB-8780-6F5D9FE0A282}"/>
    <dgm:cxn modelId="{81BA8D34-F34A-4816-9F74-2D18FE4F7915}" type="presOf" srcId="{C27CC6DE-E5A9-4D38-9E0B-22387FFEF9AD}" destId="{7290B8F0-27C8-4433-B2C0-EA9BDDB274D7}" srcOrd="0" destOrd="0" presId="urn:microsoft.com/office/officeart/2005/8/layout/vList5"/>
    <dgm:cxn modelId="{EA9EDE95-B212-46FA-9382-79B8BC30E1E8}" srcId="{35C63D51-993D-4DEA-9ADE-1B86A223A2BF}" destId="{EF6B53E1-6937-404D-8AE2-000C73E5C013}" srcOrd="0" destOrd="0" parTransId="{F2A6B0AB-F38B-4C86-928A-5E6389A47567}" sibTransId="{28217A9E-1AC4-4C61-87EE-9888D9AB8586}"/>
    <dgm:cxn modelId="{04F0FC1A-2498-46D0-B2C5-2E47D4227FF6}" srcId="{1126C90C-8BB4-43A1-94B9-D74FCF61A466}" destId="{3F8FC507-74E7-469E-AA8F-C5D512DE5D07}" srcOrd="1" destOrd="0" parTransId="{AAA25DE9-346E-4849-B594-647BF1621FF0}" sibTransId="{89800DE3-0F45-4744-A598-EA80EB5DAF8E}"/>
    <dgm:cxn modelId="{900EC4F8-2F43-4E6A-B49F-934223A2CFF7}" type="presOf" srcId="{1126C90C-8BB4-43A1-94B9-D74FCF61A466}" destId="{C19843D4-A210-4A4B-9CA5-9E308A6FBF19}" srcOrd="0" destOrd="0" presId="urn:microsoft.com/office/officeart/2005/8/layout/vList5"/>
    <dgm:cxn modelId="{B46784DC-0C2F-4551-B299-E78C07AB904F}" type="presOf" srcId="{AFB6043E-C32B-489E-9BED-CD8E2B9F8923}" destId="{F62B1C5E-17D0-41EA-8C97-1363DCB9C97E}" srcOrd="0" destOrd="0" presId="urn:microsoft.com/office/officeart/2005/8/layout/vList5"/>
    <dgm:cxn modelId="{56F2EF56-2022-41DF-BA98-2FB3C9F6D135}" type="presOf" srcId="{7D16FE6C-4F29-488A-A029-2A37CF40DF11}" destId="{BEA84FBD-1583-4260-AB72-E804457CEFF3}" srcOrd="0" destOrd="0" presId="urn:microsoft.com/office/officeart/2005/8/layout/vList5"/>
    <dgm:cxn modelId="{AFA83AE8-6FA5-4479-923F-6EB08C475728}" type="presOf" srcId="{3F8FC507-74E7-469E-AA8F-C5D512DE5D07}" destId="{6CE59F6B-B62A-4279-B4D0-71EE6A4D93C6}" srcOrd="0" destOrd="0" presId="urn:microsoft.com/office/officeart/2005/8/layout/vList5"/>
    <dgm:cxn modelId="{6C946B9D-C825-4520-B8A9-4FE4F399873D}" type="presOf" srcId="{A4E81C27-FD25-4D45-B18A-7372A0E6669C}" destId="{DF3652AD-D0E4-4107-95F9-3B7E3AA553FD}" srcOrd="0" destOrd="0" presId="urn:microsoft.com/office/officeart/2005/8/layout/vList5"/>
    <dgm:cxn modelId="{B1CAE1DE-0912-426C-A80F-8F40F9EBA445}" type="presOf" srcId="{0D115F8E-D221-410C-84E9-1708B1FF003C}" destId="{7290B8F0-27C8-4433-B2C0-EA9BDDB274D7}" srcOrd="0" destOrd="1" presId="urn:microsoft.com/office/officeart/2005/8/layout/vList5"/>
    <dgm:cxn modelId="{EEB24772-977D-482E-85D4-595A0587A045}" srcId="{3E92A0DD-D0C3-475F-A7F3-E7063B8B00F3}" destId="{17796103-46E1-4544-B675-8F46881BDCD2}" srcOrd="2" destOrd="0" parTransId="{1FEB009A-2C09-4C90-945F-7903154D6B0E}" sibTransId="{BBB5426C-D87B-4FC8-8EDD-8B5DA7C79630}"/>
    <dgm:cxn modelId="{0BCFA732-C086-4E63-9373-D09CBAA02B1E}" srcId="{1126C90C-8BB4-43A1-94B9-D74FCF61A466}" destId="{35C63D51-993D-4DEA-9ADE-1B86A223A2BF}" srcOrd="2" destOrd="0" parTransId="{3B6C7619-E3B7-422C-9D8A-E3D543E3E366}" sibTransId="{7106D7C3-A825-4F2D-804D-B5017384A1B6}"/>
    <dgm:cxn modelId="{E933B685-7347-4660-B152-D01BA5B282B1}" type="presOf" srcId="{B7C08C18-9E4D-4775-BE76-C0E3EEFF0E61}" destId="{283B072D-A398-433A-86EE-4532E2DB5D51}" srcOrd="0" destOrd="0" presId="urn:microsoft.com/office/officeart/2005/8/layout/vList5"/>
    <dgm:cxn modelId="{87FB4779-1054-4F04-8063-5484BC3FDF85}" type="presOf" srcId="{3E92A0DD-D0C3-475F-A7F3-E7063B8B00F3}" destId="{3BBBFFF1-72F6-4F51-A836-43A7D95E232A}" srcOrd="0" destOrd="0" presId="urn:microsoft.com/office/officeart/2005/8/layout/vList5"/>
    <dgm:cxn modelId="{F82C911A-A43F-4D3B-B970-73BFE4A9C0D2}" type="presOf" srcId="{F95537E8-51AD-49A4-8223-E55D23BEA595}" destId="{DF3652AD-D0E4-4107-95F9-3B7E3AA553FD}" srcOrd="0" destOrd="1" presId="urn:microsoft.com/office/officeart/2005/8/layout/vList5"/>
    <dgm:cxn modelId="{A7F60082-E102-429E-B712-FA5B1B5CC7B1}" type="presOf" srcId="{EF6B53E1-6937-404D-8AE2-000C73E5C013}" destId="{49EC93F2-D6B7-4D78-BB7E-FED0956E20C8}" srcOrd="0" destOrd="0" presId="urn:microsoft.com/office/officeart/2005/8/layout/vList5"/>
    <dgm:cxn modelId="{029F3C8B-FAF8-4BBC-A235-E3D0830A2E8A}" srcId="{3E92A0DD-D0C3-475F-A7F3-E7063B8B00F3}" destId="{81D8642A-2EC3-47C1-9771-8902DB3DF345}" srcOrd="1" destOrd="0" parTransId="{D19C12E7-2B1C-441E-B7C4-602E84B9B373}" sibTransId="{E631A97F-161F-4CB2-867F-B5F0B76EF265}"/>
    <dgm:cxn modelId="{84A270E2-0068-45DB-A93B-8B829460CF03}" srcId="{3F8FC507-74E7-469E-AA8F-C5D512DE5D07}" destId="{A2C7545F-DEE6-4C12-ACF4-1A6E7420EC3D}" srcOrd="1" destOrd="0" parTransId="{F34E2934-09A1-409F-ADC1-1E3CB5691CFD}" sibTransId="{4C681E90-344D-4CA8-8120-447974635EF0}"/>
    <dgm:cxn modelId="{D6084DCF-C2A7-42F9-8134-AD8895F04924}" type="presOf" srcId="{17796103-46E1-4544-B675-8F46881BDCD2}" destId="{FA5F9871-E12E-4323-8C25-D3EDCFDAB56E}" srcOrd="0" destOrd="2" presId="urn:microsoft.com/office/officeart/2005/8/layout/vList5"/>
    <dgm:cxn modelId="{DB5B0543-531F-46F4-9ACF-1058AC00B9AE}" type="presOf" srcId="{B4CC3032-DAE6-4935-BCE6-DB44C06C5FFB}" destId="{7290B8F0-27C8-4433-B2C0-EA9BDDB274D7}" srcOrd="0" destOrd="2" presId="urn:microsoft.com/office/officeart/2005/8/layout/vList5"/>
    <dgm:cxn modelId="{5559329F-FB47-43AD-9014-49746D32A91C}" srcId="{3F8FC507-74E7-469E-AA8F-C5D512DE5D07}" destId="{AFB6043E-C32B-489E-9BED-CD8E2B9F8923}" srcOrd="0" destOrd="0" parTransId="{6DED12BF-5959-47E8-B531-F496C81CC639}" sibTransId="{C624C06C-BFAF-42D6-8BB4-005AF4E5B802}"/>
    <dgm:cxn modelId="{DEDFDA41-919C-4546-AA3B-9FFCEDE94B40}" srcId="{1126C90C-8BB4-43A1-94B9-D74FCF61A466}" destId="{B7C08C18-9E4D-4775-BE76-C0E3EEFF0E61}" srcOrd="3" destOrd="0" parTransId="{C78AD8AE-7C1D-4EA8-AD69-392483DCAB40}" sibTransId="{03B0A77A-2605-48A7-94D9-8046EA6B2414}"/>
    <dgm:cxn modelId="{BD928191-FC78-4FD8-8DE8-26C5435DA0A6}" type="presOf" srcId="{DBD808F4-9D16-4753-8C23-6FA6A46FE3AF}" destId="{49EC93F2-D6B7-4D78-BB7E-FED0956E20C8}" srcOrd="0" destOrd="1" presId="urn:microsoft.com/office/officeart/2005/8/layout/vList5"/>
    <dgm:cxn modelId="{E2EC890D-38FD-4C65-8F96-A319D4A3C07F}" type="presOf" srcId="{35C63D51-993D-4DEA-9ADE-1B86A223A2BF}" destId="{F5F3FE0C-062F-436A-8DBD-37550E4135A5}" srcOrd="0" destOrd="0" presId="urn:microsoft.com/office/officeart/2005/8/layout/vList5"/>
    <dgm:cxn modelId="{F9724725-23D6-43F4-BDA7-E3B839419057}" type="presOf" srcId="{15C66274-0230-47AF-89E1-2E69C39CD79E}" destId="{FA5F9871-E12E-4323-8C25-D3EDCFDAB56E}" srcOrd="0" destOrd="0" presId="urn:microsoft.com/office/officeart/2005/8/layout/vList5"/>
    <dgm:cxn modelId="{ED7F4F44-F869-4032-AC08-33E180207E21}" srcId="{3E92A0DD-D0C3-475F-A7F3-E7063B8B00F3}" destId="{15C66274-0230-47AF-89E1-2E69C39CD79E}" srcOrd="0" destOrd="0" parTransId="{61F62EC7-B184-40B3-8F16-684758975A7A}" sibTransId="{3336C80A-413E-4727-BB43-6A0092A84558}"/>
    <dgm:cxn modelId="{27A2A629-14F8-4D8A-B09F-B4EE9620B73B}" srcId="{1126C90C-8BB4-43A1-94B9-D74FCF61A466}" destId="{7D16FE6C-4F29-488A-A029-2A37CF40DF11}" srcOrd="0" destOrd="0" parTransId="{FB99E66E-7AC5-4B7C-9A7B-14784F5BF083}" sibTransId="{1ABFF5C2-8FD2-44E4-A7AE-76EAF0AE849A}"/>
    <dgm:cxn modelId="{66B82FE7-B8C3-4C1D-80F2-8749A867E6AF}" srcId="{F2EAADC7-5B40-4706-9184-B3929DB030E2}" destId="{F95537E8-51AD-49A4-8223-E55D23BEA595}" srcOrd="1" destOrd="0" parTransId="{137EC2BD-9654-409E-9B4F-805654064F13}" sibTransId="{C47A6096-48BE-4AFC-8D0C-65F7A5A75E8E}"/>
    <dgm:cxn modelId="{283CB61D-D585-4585-B031-D00A32F6E3CD}" srcId="{35C63D51-993D-4DEA-9ADE-1B86A223A2BF}" destId="{DBD808F4-9D16-4753-8C23-6FA6A46FE3AF}" srcOrd="1" destOrd="0" parTransId="{80DBEA21-9B85-4DFD-B86A-8A91D7C22C3E}" sibTransId="{7FB3E2AA-D7A0-4513-AB3F-DE700A344826}"/>
    <dgm:cxn modelId="{7ADAF2AD-F970-4642-9221-783B09F5651D}" type="presOf" srcId="{81D8642A-2EC3-47C1-9771-8902DB3DF345}" destId="{FA5F9871-E12E-4323-8C25-D3EDCFDAB56E}" srcOrd="0" destOrd="1" presId="urn:microsoft.com/office/officeart/2005/8/layout/vList5"/>
    <dgm:cxn modelId="{EF5A8017-C6C6-48CC-916F-6D23E1F7468B}" type="presOf" srcId="{F2EAADC7-5B40-4706-9184-B3929DB030E2}" destId="{95D5A1A5-F993-4D21-B93F-71205CBD1295}" srcOrd="0" destOrd="0" presId="urn:microsoft.com/office/officeart/2005/8/layout/vList5"/>
    <dgm:cxn modelId="{FAC88A75-606C-461D-B66A-FE8D71E55A0E}" srcId="{7D16FE6C-4F29-488A-A029-2A37CF40DF11}" destId="{C27CC6DE-E5A9-4D38-9E0B-22387FFEF9AD}" srcOrd="0" destOrd="0" parTransId="{646AD7CF-DF5C-48E9-A519-9485FED881A4}" sibTransId="{11349E2A-7BBA-4402-841A-DE89A7D575C0}"/>
    <dgm:cxn modelId="{F38DDB3C-4CCA-4EBD-A39B-F2355538BC12}" srcId="{1126C90C-8BB4-43A1-94B9-D74FCF61A466}" destId="{F2EAADC7-5B40-4706-9184-B3929DB030E2}" srcOrd="5" destOrd="0" parTransId="{E02F841B-83CC-465E-B12E-E9A89902DEEC}" sibTransId="{8A16941F-6E81-4C03-9263-1E3803A74296}"/>
    <dgm:cxn modelId="{BA13ED18-2738-4138-ACD8-EFBA53193A33}" type="presParOf" srcId="{C19843D4-A210-4A4B-9CA5-9E308A6FBF19}" destId="{6E431B78-23B7-408B-9CC1-B01DEE909AC1}" srcOrd="0" destOrd="0" presId="urn:microsoft.com/office/officeart/2005/8/layout/vList5"/>
    <dgm:cxn modelId="{4A348D45-C655-4688-8065-6103EE002F85}" type="presParOf" srcId="{6E431B78-23B7-408B-9CC1-B01DEE909AC1}" destId="{BEA84FBD-1583-4260-AB72-E804457CEFF3}" srcOrd="0" destOrd="0" presId="urn:microsoft.com/office/officeart/2005/8/layout/vList5"/>
    <dgm:cxn modelId="{127338DC-DDFA-4DE2-A87C-B24C33103EEA}" type="presParOf" srcId="{6E431B78-23B7-408B-9CC1-B01DEE909AC1}" destId="{7290B8F0-27C8-4433-B2C0-EA9BDDB274D7}" srcOrd="1" destOrd="0" presId="urn:microsoft.com/office/officeart/2005/8/layout/vList5"/>
    <dgm:cxn modelId="{400D38CE-0080-46AD-B4CB-2F9C7362C31B}" type="presParOf" srcId="{C19843D4-A210-4A4B-9CA5-9E308A6FBF19}" destId="{102B984E-F023-4206-B4C7-4328EB80EF27}" srcOrd="1" destOrd="0" presId="urn:microsoft.com/office/officeart/2005/8/layout/vList5"/>
    <dgm:cxn modelId="{EA8F697E-B900-4E95-B612-47C3B19FFF63}" type="presParOf" srcId="{C19843D4-A210-4A4B-9CA5-9E308A6FBF19}" destId="{342D9867-6EE4-46C1-B66D-75C39646118B}" srcOrd="2" destOrd="0" presId="urn:microsoft.com/office/officeart/2005/8/layout/vList5"/>
    <dgm:cxn modelId="{A01A0E49-4297-48FA-B1EA-B87F51C396C1}" type="presParOf" srcId="{342D9867-6EE4-46C1-B66D-75C39646118B}" destId="{6CE59F6B-B62A-4279-B4D0-71EE6A4D93C6}" srcOrd="0" destOrd="0" presId="urn:microsoft.com/office/officeart/2005/8/layout/vList5"/>
    <dgm:cxn modelId="{7B6F3532-B953-4C5A-B2D2-AF0BFF91D27A}" type="presParOf" srcId="{342D9867-6EE4-46C1-B66D-75C39646118B}" destId="{F62B1C5E-17D0-41EA-8C97-1363DCB9C97E}" srcOrd="1" destOrd="0" presId="urn:microsoft.com/office/officeart/2005/8/layout/vList5"/>
    <dgm:cxn modelId="{6B08A995-5A7E-4291-8B73-786875C51E67}" type="presParOf" srcId="{C19843D4-A210-4A4B-9CA5-9E308A6FBF19}" destId="{310A3104-83BE-4214-82A8-DA6468CDCD2F}" srcOrd="3" destOrd="0" presId="urn:microsoft.com/office/officeart/2005/8/layout/vList5"/>
    <dgm:cxn modelId="{24A73E05-1FA3-4869-B4B5-8F6ECB2AFDD3}" type="presParOf" srcId="{C19843D4-A210-4A4B-9CA5-9E308A6FBF19}" destId="{3C571588-60C1-4E9C-85A5-DD7385E5727A}" srcOrd="4" destOrd="0" presId="urn:microsoft.com/office/officeart/2005/8/layout/vList5"/>
    <dgm:cxn modelId="{C3FFFDB5-0402-4784-8774-41C10911D06B}" type="presParOf" srcId="{3C571588-60C1-4E9C-85A5-DD7385E5727A}" destId="{F5F3FE0C-062F-436A-8DBD-37550E4135A5}" srcOrd="0" destOrd="0" presId="urn:microsoft.com/office/officeart/2005/8/layout/vList5"/>
    <dgm:cxn modelId="{4AD9E50D-C78D-47B2-B7F6-82AC73C41FAA}" type="presParOf" srcId="{3C571588-60C1-4E9C-85A5-DD7385E5727A}" destId="{49EC93F2-D6B7-4D78-BB7E-FED0956E20C8}" srcOrd="1" destOrd="0" presId="urn:microsoft.com/office/officeart/2005/8/layout/vList5"/>
    <dgm:cxn modelId="{44A01C95-66E0-45F9-A4E1-7433F152E35E}" type="presParOf" srcId="{C19843D4-A210-4A4B-9CA5-9E308A6FBF19}" destId="{32D73A77-2F0B-4915-85E5-5FD035A11CE3}" srcOrd="5" destOrd="0" presId="urn:microsoft.com/office/officeart/2005/8/layout/vList5"/>
    <dgm:cxn modelId="{46E3FFA2-1C93-4806-A0D0-6D194BF73433}" type="presParOf" srcId="{C19843D4-A210-4A4B-9CA5-9E308A6FBF19}" destId="{5FD16A09-5EDD-4BA0-BBD4-DBBB2645753B}" srcOrd="6" destOrd="0" presId="urn:microsoft.com/office/officeart/2005/8/layout/vList5"/>
    <dgm:cxn modelId="{7561C43B-3D87-4654-8F9C-22DDD3EFA996}" type="presParOf" srcId="{5FD16A09-5EDD-4BA0-BBD4-DBBB2645753B}" destId="{283B072D-A398-433A-86EE-4532E2DB5D51}" srcOrd="0" destOrd="0" presId="urn:microsoft.com/office/officeart/2005/8/layout/vList5"/>
    <dgm:cxn modelId="{D643DAC2-9257-4109-A748-624ED3E9BBB6}" type="presParOf" srcId="{C19843D4-A210-4A4B-9CA5-9E308A6FBF19}" destId="{5BA1EF6F-E5D0-4F9B-9227-B6B87DF92A9A}" srcOrd="7" destOrd="0" presId="urn:microsoft.com/office/officeart/2005/8/layout/vList5"/>
    <dgm:cxn modelId="{6EE1FF05-E3AF-4A77-96AD-7066CD7C1A88}" type="presParOf" srcId="{C19843D4-A210-4A4B-9CA5-9E308A6FBF19}" destId="{782F92B1-DABB-47DD-A7B4-C9EB0CA10D03}" srcOrd="8" destOrd="0" presId="urn:microsoft.com/office/officeart/2005/8/layout/vList5"/>
    <dgm:cxn modelId="{55618E8E-9CDF-4BB5-AC36-509B78BE7D04}" type="presParOf" srcId="{782F92B1-DABB-47DD-A7B4-C9EB0CA10D03}" destId="{3BBBFFF1-72F6-4F51-A836-43A7D95E232A}" srcOrd="0" destOrd="0" presId="urn:microsoft.com/office/officeart/2005/8/layout/vList5"/>
    <dgm:cxn modelId="{63A8C1B8-6DC9-4B9D-A869-4BEC965C6A16}" type="presParOf" srcId="{782F92B1-DABB-47DD-A7B4-C9EB0CA10D03}" destId="{FA5F9871-E12E-4323-8C25-D3EDCFDAB56E}" srcOrd="1" destOrd="0" presId="urn:microsoft.com/office/officeart/2005/8/layout/vList5"/>
    <dgm:cxn modelId="{453F7189-C7B4-4E96-AF71-E4A16EFCF175}" type="presParOf" srcId="{C19843D4-A210-4A4B-9CA5-9E308A6FBF19}" destId="{55C7A9C7-758D-4868-9876-6D271222A5B1}" srcOrd="9" destOrd="0" presId="urn:microsoft.com/office/officeart/2005/8/layout/vList5"/>
    <dgm:cxn modelId="{1D452D87-8BF2-4D29-9766-6E23326DCCEC}" type="presParOf" srcId="{C19843D4-A210-4A4B-9CA5-9E308A6FBF19}" destId="{4C131562-B3B2-4D8A-8131-0274D1C516EA}" srcOrd="10" destOrd="0" presId="urn:microsoft.com/office/officeart/2005/8/layout/vList5"/>
    <dgm:cxn modelId="{D045C566-916C-4A56-9FAF-9C573B7298E0}" type="presParOf" srcId="{4C131562-B3B2-4D8A-8131-0274D1C516EA}" destId="{95D5A1A5-F993-4D21-B93F-71205CBD1295}" srcOrd="0" destOrd="0" presId="urn:microsoft.com/office/officeart/2005/8/layout/vList5"/>
    <dgm:cxn modelId="{034BF5D7-3CC9-471A-BA3E-8FC639E80047}" type="presParOf" srcId="{4C131562-B3B2-4D8A-8131-0274D1C516EA}" destId="{DF3652AD-D0E4-4107-95F9-3B7E3AA553FD}"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90B8F0-27C8-4433-B2C0-EA9BDDB274D7}">
      <dsp:nvSpPr>
        <dsp:cNvPr id="0" name=""/>
        <dsp:cNvSpPr/>
      </dsp:nvSpPr>
      <dsp:spPr>
        <a:xfrm rot="5400000">
          <a:off x="3703661" y="-1996297"/>
          <a:ext cx="668002" cy="4664693"/>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Subcutaneous catheter insertion (D1) with p</a:t>
          </a:r>
          <a:r>
            <a:rPr lang="en-US" sz="1100" kern="1200">
              <a:latin typeface="Times New Roman" panose="02020603050405020304" pitchFamily="18" charset="0"/>
              <a:cs typeface="Times New Roman" panose="02020603050405020304" pitchFamily="18" charset="0"/>
            </a:rPr>
            <a:t>eak aXa levels at days 2, 5 +/- 7*</a:t>
          </a:r>
          <a:endParaRPr lang="en-A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Catheter site assessments at days 2, 5, +/- 7 with phone call day 3</a:t>
          </a: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Patient satisfaction survey at day 5 </a:t>
          </a:r>
        </a:p>
      </dsp:txBody>
      <dsp:txXfrm rot="-5400000">
        <a:off x="1705316" y="34657"/>
        <a:ext cx="4632084" cy="602784"/>
      </dsp:txXfrm>
    </dsp:sp>
    <dsp:sp modelId="{BEA84FBD-1583-4260-AB72-E804457CEFF3}">
      <dsp:nvSpPr>
        <dsp:cNvPr id="0" name=""/>
        <dsp:cNvSpPr/>
      </dsp:nvSpPr>
      <dsp:spPr>
        <a:xfrm>
          <a:off x="142875" y="14134"/>
          <a:ext cx="1562440" cy="6438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AU" sz="1800" kern="1200">
              <a:latin typeface="Times New Roman" panose="02020603050405020304" pitchFamily="18" charset="0"/>
              <a:cs typeface="Times New Roman" panose="02020603050405020304" pitchFamily="18" charset="0"/>
            </a:rPr>
            <a:t>Phase A</a:t>
          </a:r>
        </a:p>
      </dsp:txBody>
      <dsp:txXfrm>
        <a:off x="174304" y="45563"/>
        <a:ext cx="1499582" cy="580971"/>
      </dsp:txXfrm>
    </dsp:sp>
    <dsp:sp modelId="{F62B1C5E-17D0-41EA-8C97-1363DCB9C97E}">
      <dsp:nvSpPr>
        <dsp:cNvPr id="0" name=""/>
        <dsp:cNvSpPr/>
      </dsp:nvSpPr>
      <dsp:spPr>
        <a:xfrm rot="5400000">
          <a:off x="3703661" y="-1286544"/>
          <a:ext cx="668002" cy="4664693"/>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Minimum 5 day "washout period" of subcutaneous injections</a:t>
          </a:r>
          <a:endParaRPr lang="en-A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No anti-Xa levels required</a:t>
          </a:r>
        </a:p>
      </dsp:txBody>
      <dsp:txXfrm rot="-5400000">
        <a:off x="1705316" y="744410"/>
        <a:ext cx="4632084" cy="602784"/>
      </dsp:txXfrm>
    </dsp:sp>
    <dsp:sp modelId="{6CE59F6B-B62A-4279-B4D0-71EE6A4D93C6}">
      <dsp:nvSpPr>
        <dsp:cNvPr id="0" name=""/>
        <dsp:cNvSpPr/>
      </dsp:nvSpPr>
      <dsp:spPr>
        <a:xfrm>
          <a:off x="142875" y="723887"/>
          <a:ext cx="1562440" cy="6438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AU" sz="1800" kern="1200">
              <a:latin typeface="Times New Roman" panose="02020603050405020304" pitchFamily="18" charset="0"/>
              <a:cs typeface="Times New Roman" panose="02020603050405020304" pitchFamily="18" charset="0"/>
            </a:rPr>
            <a:t>Washout</a:t>
          </a:r>
        </a:p>
      </dsp:txBody>
      <dsp:txXfrm>
        <a:off x="174304" y="755316"/>
        <a:ext cx="1499582" cy="580971"/>
      </dsp:txXfrm>
    </dsp:sp>
    <dsp:sp modelId="{49EC93F2-D6B7-4D78-BB7E-FED0956E20C8}">
      <dsp:nvSpPr>
        <dsp:cNvPr id="0" name=""/>
        <dsp:cNvSpPr/>
      </dsp:nvSpPr>
      <dsp:spPr>
        <a:xfrm rot="5400000">
          <a:off x="3703661" y="-576791"/>
          <a:ext cx="668002" cy="4664693"/>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Peak aXa levels at day 2 and 5 (+/-1 day)</a:t>
          </a:r>
          <a:endParaRPr lang="en-A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Review previous catheter site at day 2</a:t>
          </a: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Patient satisfaction survey at day 5</a:t>
          </a:r>
        </a:p>
      </dsp:txBody>
      <dsp:txXfrm rot="-5400000">
        <a:off x="1705316" y="1454163"/>
        <a:ext cx="4632084" cy="602784"/>
      </dsp:txXfrm>
    </dsp:sp>
    <dsp:sp modelId="{F5F3FE0C-062F-436A-8DBD-37550E4135A5}">
      <dsp:nvSpPr>
        <dsp:cNvPr id="0" name=""/>
        <dsp:cNvSpPr/>
      </dsp:nvSpPr>
      <dsp:spPr>
        <a:xfrm>
          <a:off x="142875" y="1433640"/>
          <a:ext cx="1562440" cy="6438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AU" sz="1800" kern="1200">
              <a:latin typeface="Times New Roman" panose="02020603050405020304" pitchFamily="18" charset="0"/>
              <a:cs typeface="Times New Roman" panose="02020603050405020304" pitchFamily="18" charset="0"/>
            </a:rPr>
            <a:t>Phase B</a:t>
          </a:r>
        </a:p>
      </dsp:txBody>
      <dsp:txXfrm>
        <a:off x="174304" y="1465069"/>
        <a:ext cx="1499582" cy="580971"/>
      </dsp:txXfrm>
    </dsp:sp>
    <dsp:sp modelId="{283B072D-A398-433A-86EE-4532E2DB5D51}">
      <dsp:nvSpPr>
        <dsp:cNvPr id="0" name=""/>
        <dsp:cNvSpPr/>
      </dsp:nvSpPr>
      <dsp:spPr>
        <a:xfrm>
          <a:off x="142875" y="2131306"/>
          <a:ext cx="6248398" cy="5103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Option to proceed with Extension phase or Follow-up phase</a:t>
          </a:r>
        </a:p>
      </dsp:txBody>
      <dsp:txXfrm>
        <a:off x="167789" y="2156220"/>
        <a:ext cx="6198570" cy="460534"/>
      </dsp:txXfrm>
    </dsp:sp>
    <dsp:sp modelId="{FA5F9871-E12E-4323-8C25-D3EDCFDAB56E}">
      <dsp:nvSpPr>
        <dsp:cNvPr id="0" name=""/>
        <dsp:cNvSpPr/>
      </dsp:nvSpPr>
      <dsp:spPr>
        <a:xfrm rot="5400000">
          <a:off x="3621033" y="767702"/>
          <a:ext cx="833259" cy="4664693"/>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For those continuing with the subcutaneous catheter following safety assessment**</a:t>
          </a: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5-7 daily catheter change with nursing review. After 4 weeks, option to self-insert insuflon catheters</a:t>
          </a: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4-weekly anti-Xa levels and doctor review***</a:t>
          </a:r>
        </a:p>
      </dsp:txBody>
      <dsp:txXfrm rot="-5400000">
        <a:off x="1705316" y="2724095"/>
        <a:ext cx="4624017" cy="751907"/>
      </dsp:txXfrm>
    </dsp:sp>
    <dsp:sp modelId="{3BBBFFF1-72F6-4F51-A836-43A7D95E232A}">
      <dsp:nvSpPr>
        <dsp:cNvPr id="0" name=""/>
        <dsp:cNvSpPr/>
      </dsp:nvSpPr>
      <dsp:spPr>
        <a:xfrm>
          <a:off x="142875" y="2701381"/>
          <a:ext cx="1562440" cy="7973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AU" sz="1800" kern="1200">
              <a:latin typeface="Times New Roman" panose="02020603050405020304" pitchFamily="18" charset="0"/>
              <a:cs typeface="Times New Roman" panose="02020603050405020304" pitchFamily="18" charset="0"/>
            </a:rPr>
            <a:t>Extension phase</a:t>
          </a:r>
        </a:p>
      </dsp:txBody>
      <dsp:txXfrm>
        <a:off x="181798" y="2740304"/>
        <a:ext cx="1484594" cy="719490"/>
      </dsp:txXfrm>
    </dsp:sp>
    <dsp:sp modelId="{DF3652AD-D0E4-4107-95F9-3B7E3AA553FD}">
      <dsp:nvSpPr>
        <dsp:cNvPr id="0" name=""/>
        <dsp:cNvSpPr/>
      </dsp:nvSpPr>
      <dsp:spPr>
        <a:xfrm rot="5400000">
          <a:off x="3705940" y="1589733"/>
          <a:ext cx="668002" cy="463086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Ongoing subcutaneous injections</a:t>
          </a:r>
          <a:endParaRPr lang="en-A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Phone call at days 30, 60 and 90</a:t>
          </a:r>
          <a:endParaRPr lang="en-AU" sz="1100" kern="1200">
            <a:latin typeface="Times New Roman" panose="02020603050405020304" pitchFamily="18" charset="0"/>
            <a:cs typeface="Times New Roman" panose="02020603050405020304" pitchFamily="18" charset="0"/>
          </a:endParaRPr>
        </a:p>
      </dsp:txBody>
      <dsp:txXfrm rot="-5400000">
        <a:off x="1724511" y="3603772"/>
        <a:ext cx="4598252" cy="602784"/>
      </dsp:txXfrm>
    </dsp:sp>
    <dsp:sp modelId="{95D5A1A5-F993-4D21-B93F-71205CBD1295}">
      <dsp:nvSpPr>
        <dsp:cNvPr id="0" name=""/>
        <dsp:cNvSpPr/>
      </dsp:nvSpPr>
      <dsp:spPr>
        <a:xfrm>
          <a:off x="142875" y="3558429"/>
          <a:ext cx="1581635" cy="6934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AU" sz="1800" kern="1200">
              <a:latin typeface="Times New Roman" panose="02020603050405020304" pitchFamily="18" charset="0"/>
              <a:cs typeface="Times New Roman" panose="02020603050405020304" pitchFamily="18" charset="0"/>
            </a:rPr>
            <a:t>Follow-up</a:t>
          </a:r>
          <a:endParaRPr lang="en-AU" sz="1100" kern="1200">
            <a:latin typeface="Times New Roman" panose="02020603050405020304" pitchFamily="18" charset="0"/>
            <a:cs typeface="Times New Roman" panose="02020603050405020304" pitchFamily="18" charset="0"/>
          </a:endParaRPr>
        </a:p>
      </dsp:txBody>
      <dsp:txXfrm>
        <a:off x="176727" y="3592281"/>
        <a:ext cx="1513931" cy="62576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4696-5484-4889-89E1-21B36DDA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9868</Words>
  <Characters>56250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Leitinger</dc:creator>
  <cp:keywords/>
  <dc:description/>
  <cp:lastModifiedBy>Emma Leitinger</cp:lastModifiedBy>
  <cp:revision>2</cp:revision>
  <dcterms:created xsi:type="dcterms:W3CDTF">2024-09-17T02:54:00Z</dcterms:created>
  <dcterms:modified xsi:type="dcterms:W3CDTF">2024-09-17T02:54:00Z</dcterms:modified>
</cp:coreProperties>
</file>