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0D4F" w14:textId="77777777" w:rsidR="00D81851" w:rsidRDefault="00694FCE" w:rsidP="002E5609">
      <w:pPr>
        <w:pStyle w:val="Title"/>
        <w:jc w:val="both"/>
      </w:pPr>
      <w:r>
        <w:t>Updated s</w:t>
      </w:r>
      <w:r w:rsidR="00D81851" w:rsidRPr="001515E8">
        <w:t>tatistical</w:t>
      </w:r>
      <w:r w:rsidR="00D81851">
        <w:t xml:space="preserve"> analysis plan for FIIX </w:t>
      </w:r>
    </w:p>
    <w:p w14:paraId="45786C3C" w14:textId="77777777" w:rsidR="00D91E8D" w:rsidRDefault="00D91E8D" w:rsidP="002E5609">
      <w:pPr>
        <w:jc w:val="both"/>
      </w:pPr>
    </w:p>
    <w:p w14:paraId="37DD2026" w14:textId="77777777" w:rsidR="00D81851" w:rsidRDefault="00D81851" w:rsidP="002E5609">
      <w:pPr>
        <w:jc w:val="both"/>
        <w:rPr>
          <w:rFonts w:ascii="Calibri" w:hAnsi="Calibri" w:cs="Calibri"/>
        </w:rPr>
      </w:pPr>
      <w:r>
        <w:rPr>
          <w:b/>
        </w:rPr>
        <w:t xml:space="preserve">Trial registration: </w:t>
      </w:r>
      <w:r w:rsidRPr="00D81851">
        <w:rPr>
          <w:rFonts w:ascii="Calibri" w:hAnsi="Calibri" w:cs="Calibri"/>
        </w:rPr>
        <w:t>ACTRN12619001003167.</w:t>
      </w:r>
    </w:p>
    <w:p w14:paraId="3927304A" w14:textId="270CC6AB" w:rsidR="00D81851" w:rsidRDefault="00694FCE" w:rsidP="002E5609">
      <w:pPr>
        <w:jc w:val="both"/>
        <w:rPr>
          <w:rFonts w:ascii="Calibri" w:hAnsi="Calibri" w:cs="Calibri"/>
        </w:rPr>
      </w:pPr>
      <w:r>
        <w:rPr>
          <w:rFonts w:ascii="Calibri" w:hAnsi="Calibri" w:cs="Calibri"/>
        </w:rPr>
        <w:t xml:space="preserve">This draft authored by Jack </w:t>
      </w:r>
      <w:r w:rsidR="001A2911">
        <w:rPr>
          <w:rFonts w:ascii="Calibri" w:hAnsi="Calibri" w:cs="Calibri"/>
        </w:rPr>
        <w:t>Wilkinson</w:t>
      </w:r>
      <w:r w:rsidR="00423EEE">
        <w:rPr>
          <w:rFonts w:ascii="Calibri" w:hAnsi="Calibri" w:cs="Calibri"/>
        </w:rPr>
        <w:t>, with input from Melissa Vercoe</w:t>
      </w:r>
      <w:r w:rsidR="004E7563">
        <w:rPr>
          <w:rFonts w:ascii="Calibri" w:hAnsi="Calibri" w:cs="Calibri"/>
        </w:rPr>
        <w:t>,</w:t>
      </w:r>
      <w:r w:rsidR="001A2911">
        <w:rPr>
          <w:rFonts w:ascii="Calibri" w:hAnsi="Calibri" w:cs="Calibri"/>
        </w:rPr>
        <w:t xml:space="preserve"> </w:t>
      </w:r>
      <w:r w:rsidR="002727E9">
        <w:rPr>
          <w:rFonts w:ascii="Calibri" w:hAnsi="Calibri" w:cs="Calibri"/>
        </w:rPr>
        <w:t>15/11/22.</w:t>
      </w:r>
      <w:r w:rsidR="001A2911">
        <w:rPr>
          <w:rFonts w:ascii="Calibri" w:hAnsi="Calibri" w:cs="Calibri"/>
        </w:rPr>
        <w:t xml:space="preserve"> </w:t>
      </w:r>
    </w:p>
    <w:p w14:paraId="2F746299" w14:textId="77777777" w:rsidR="001A2911" w:rsidRDefault="001A2911" w:rsidP="002E5609">
      <w:pPr>
        <w:jc w:val="both"/>
        <w:rPr>
          <w:rFonts w:ascii="Calibri" w:hAnsi="Calibri" w:cs="Calibri"/>
        </w:rPr>
      </w:pPr>
      <w:r>
        <w:rPr>
          <w:rFonts w:ascii="Calibri" w:hAnsi="Calibri" w:cs="Calibri"/>
        </w:rPr>
        <w:t>This version supersedes the original statistical analysis plan dated 5/5/20.</w:t>
      </w:r>
    </w:p>
    <w:p w14:paraId="1EF747A6" w14:textId="4781180D" w:rsidR="001A2911" w:rsidRDefault="001A2911" w:rsidP="002E5609">
      <w:pPr>
        <w:jc w:val="both"/>
        <w:rPr>
          <w:rFonts w:ascii="Calibri" w:hAnsi="Calibri" w:cs="Calibri"/>
        </w:rPr>
      </w:pPr>
    </w:p>
    <w:p w14:paraId="1FC82B8F" w14:textId="77777777" w:rsidR="00092DD0" w:rsidRPr="00092DD0" w:rsidRDefault="00092DD0" w:rsidP="002E5609">
      <w:pPr>
        <w:keepNext/>
        <w:keepLines/>
        <w:spacing w:before="240" w:after="0"/>
        <w:jc w:val="both"/>
        <w:outlineLvl w:val="0"/>
        <w:rPr>
          <w:rFonts w:asciiTheme="majorHAnsi" w:eastAsiaTheme="majorEastAsia" w:hAnsiTheme="majorHAnsi" w:cstheme="majorBidi"/>
          <w:color w:val="2E74B5" w:themeColor="accent1" w:themeShade="BF"/>
          <w:sz w:val="32"/>
          <w:szCs w:val="32"/>
        </w:rPr>
      </w:pPr>
      <w:r w:rsidRPr="00092DD0">
        <w:rPr>
          <w:rFonts w:asciiTheme="majorHAnsi" w:eastAsiaTheme="majorEastAsia" w:hAnsiTheme="majorHAnsi" w:cstheme="majorBidi"/>
          <w:color w:val="2E74B5" w:themeColor="accent1" w:themeShade="BF"/>
          <w:sz w:val="32"/>
          <w:szCs w:val="32"/>
        </w:rPr>
        <w:t>Introduction</w:t>
      </w:r>
    </w:p>
    <w:p w14:paraId="3E84762D" w14:textId="77777777" w:rsidR="00092DD0" w:rsidRDefault="00092DD0" w:rsidP="002E5609">
      <w:pPr>
        <w:jc w:val="both"/>
        <w:rPr>
          <w:rFonts w:ascii="Calibri" w:hAnsi="Calibri" w:cs="Calibri"/>
        </w:rPr>
      </w:pPr>
    </w:p>
    <w:p w14:paraId="0F846A66" w14:textId="18058CB6" w:rsidR="001A2911" w:rsidRDefault="00CB1460" w:rsidP="002E5609">
      <w:pPr>
        <w:pStyle w:val="Heading2"/>
        <w:jc w:val="both"/>
      </w:pPr>
      <w:r>
        <w:t>Rationale for update to the statistical analysis plan</w:t>
      </w:r>
    </w:p>
    <w:p w14:paraId="27F3F3DE" w14:textId="77777777" w:rsidR="00047295" w:rsidRPr="00047295" w:rsidRDefault="00047295" w:rsidP="002E5609">
      <w:pPr>
        <w:jc w:val="both"/>
      </w:pPr>
    </w:p>
    <w:p w14:paraId="65F27C48" w14:textId="366AB060" w:rsidR="00CB1460" w:rsidRDefault="00484DB5" w:rsidP="002E5609">
      <w:pPr>
        <w:jc w:val="both"/>
      </w:pPr>
      <w:r>
        <w:t>The FIIX study is a multicentre, open-label, two-arm parallel non-inferiority randomised contr</w:t>
      </w:r>
      <w:r w:rsidR="009C53D4">
        <w:t>olled trial with 1:1 allocation in New Zealand.</w:t>
      </w:r>
      <w:r>
        <w:t xml:space="preserve"> Participants </w:t>
      </w:r>
      <w:r w:rsidR="00B82BC3">
        <w:t xml:space="preserve">are </w:t>
      </w:r>
      <w:r>
        <w:t xml:space="preserve">allocated to receive either up to four cycles of IUI followed by two complete cycles of IVF, or two complete cycles of IVF. </w:t>
      </w:r>
      <w:r w:rsidR="00E25555">
        <w:t>The study was conceived before the COVID-19 pandemic</w:t>
      </w:r>
      <w:r w:rsidR="005C33F8">
        <w:t xml:space="preserve">. </w:t>
      </w:r>
      <w:r w:rsidR="00B82BC3">
        <w:t xml:space="preserve">Measures to </w:t>
      </w:r>
      <w:r w:rsidR="00520792">
        <w:t xml:space="preserve">control the spread of COVID-19 </w:t>
      </w:r>
      <w:r w:rsidR="00405831">
        <w:t xml:space="preserve">have affected the </w:t>
      </w:r>
      <w:r w:rsidR="00755F81">
        <w:t xml:space="preserve">delivery of the study interventions in such a way that </w:t>
      </w:r>
      <w:r w:rsidR="00785573">
        <w:t xml:space="preserve">the originally planned analysis may not provide a useful answer to the study question. </w:t>
      </w:r>
      <w:r w:rsidR="00EE0AFB">
        <w:t xml:space="preserve">The planned analyses have been updated </w:t>
      </w:r>
      <w:r w:rsidR="004D42E8">
        <w:t xml:space="preserve">in response to the pandemic, to ensure that the study provides useful information about the relative effectiveness of the study interventions. </w:t>
      </w:r>
      <w:r w:rsidR="0050690B">
        <w:t>The updated analyses have been informed by published guidance for analysis of randomised tria</w:t>
      </w:r>
      <w:r w:rsidR="00557E6E">
        <w:t xml:space="preserve">ls affected by a pandemic </w:t>
      </w:r>
      <w:r w:rsidR="00557E6E">
        <w:fldChar w:fldCharType="begin">
          <w:fldData xml:space="preserve">PEVuZE5vdGU+PENpdGU+PEF1dGhvcj5Dcm88L0F1dGhvcj48WWVhcj4yMDIwPC9ZZWFyPjxSZWNO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</w:fldData>
        </w:fldChar>
      </w:r>
      <w:r w:rsidR="00557E6E">
        <w:instrText xml:space="preserve"> ADDIN EN.CITE </w:instrText>
      </w:r>
      <w:r w:rsidR="00557E6E">
        <w:fldChar w:fldCharType="begin">
          <w:fldData xml:space="preserve">PEVuZE5vdGU+PENpdGU+PEF1dGhvcj5Dcm88L0F1dGhvcj48WWVhcj4yMDIwPC9ZZWFyPjxSZWNO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</w:fldData>
        </w:fldChar>
      </w:r>
      <w:r w:rsidR="00557E6E">
        <w:instrText xml:space="preserve"> ADDIN EN.CITE.DATA </w:instrText>
      </w:r>
      <w:r w:rsidR="00557E6E">
        <w:fldChar w:fldCharType="end"/>
      </w:r>
      <w:r w:rsidR="00557E6E">
        <w:fldChar w:fldCharType="separate"/>
      </w:r>
      <w:r w:rsidR="00557E6E">
        <w:rPr>
          <w:noProof/>
        </w:rPr>
        <w:t>[1]</w:t>
      </w:r>
      <w:r w:rsidR="00557E6E">
        <w:fldChar w:fldCharType="end"/>
      </w:r>
      <w:r w:rsidR="00557E6E">
        <w:t>.</w:t>
      </w:r>
    </w:p>
    <w:p w14:paraId="2296BCF6" w14:textId="48FEC959" w:rsidR="0050690B" w:rsidRDefault="0050690B" w:rsidP="002E5609">
      <w:pPr>
        <w:jc w:val="both"/>
      </w:pPr>
    </w:p>
    <w:p w14:paraId="717F34B8" w14:textId="02E2ED82" w:rsidR="00F0216F" w:rsidRPr="00CB1460" w:rsidRDefault="00047295" w:rsidP="002E5609">
      <w:pPr>
        <w:pStyle w:val="Heading2"/>
        <w:jc w:val="both"/>
      </w:pPr>
      <w:r>
        <w:t>Impact of the pandemic on the conduct of the trial</w:t>
      </w:r>
    </w:p>
    <w:p w14:paraId="0BDBE4F0" w14:textId="77777777" w:rsidR="00D81851" w:rsidRDefault="00D81851" w:rsidP="002E5609">
      <w:pPr>
        <w:jc w:val="both"/>
        <w:rPr>
          <w:b/>
        </w:rPr>
      </w:pPr>
    </w:p>
    <w:p w14:paraId="0DEA8E2D" w14:textId="6B977B0A" w:rsidR="00D81851" w:rsidRDefault="00294B90" w:rsidP="002E5609">
      <w:pPr>
        <w:jc w:val="both"/>
      </w:pPr>
      <w:r>
        <w:t>Due to pandemic control measures, the st</w:t>
      </w:r>
      <w:r w:rsidR="00DC3062">
        <w:t>udy treatments were paused</w:t>
      </w:r>
      <w:r>
        <w:t xml:space="preserve"> </w:t>
      </w:r>
      <w:r w:rsidR="007942E8">
        <w:t>in two periods</w:t>
      </w:r>
      <w:r w:rsidR="00880A9E">
        <w:t xml:space="preserve"> while the study was active</w:t>
      </w:r>
      <w:r w:rsidR="007942E8">
        <w:t xml:space="preserve">. </w:t>
      </w:r>
      <w:r w:rsidR="00F825DF">
        <w:t>This means that some participants who had been recruited to the study and randomised to one of the study arms</w:t>
      </w:r>
      <w:r w:rsidR="00EC0B4E">
        <w:t xml:space="preserve"> faced a considerable delay to the start of their treatment</w:t>
      </w:r>
      <w:r w:rsidR="00880A9E">
        <w:t>.</w:t>
      </w:r>
      <w:r w:rsidR="00236D38">
        <w:t xml:space="preserve"> Some p</w:t>
      </w:r>
      <w:r w:rsidR="00880A9E">
        <w:t xml:space="preserve">articipants who had not yet received </w:t>
      </w:r>
      <w:r w:rsidR="00236D38">
        <w:t>any study treatment did not commence treatment</w:t>
      </w:r>
      <w:r w:rsidR="00EC0B4E">
        <w:t xml:space="preserve"> during this period</w:t>
      </w:r>
      <w:r w:rsidR="00236D38">
        <w:t xml:space="preserve">, while participants who had commenced treatment </w:t>
      </w:r>
      <w:r w:rsidR="00231BBB">
        <w:t>but were not yet pregnant</w:t>
      </w:r>
      <w:r w:rsidR="00236D38">
        <w:t xml:space="preserve"> </w:t>
      </w:r>
      <w:r w:rsidR="00360A44">
        <w:t>had to wait to undergo</w:t>
      </w:r>
      <w:r w:rsidR="00F22EC8">
        <w:t xml:space="preserve"> </w:t>
      </w:r>
      <w:r w:rsidR="00DD0AD7">
        <w:t xml:space="preserve">further attempts (further frozen embryo transfers in the IVF arm, or further insemination cycles in the IUI arm). </w:t>
      </w:r>
      <w:r w:rsidR="00FC3966">
        <w:t xml:space="preserve">Moreover, </w:t>
      </w:r>
      <w:r w:rsidR="00DC3062">
        <w:t>treatments</w:t>
      </w:r>
      <w:r w:rsidR="00141E9A">
        <w:t xml:space="preserve"> in the two arms</w:t>
      </w:r>
      <w:r w:rsidR="00DC3062">
        <w:t xml:space="preserve"> </w:t>
      </w:r>
      <w:r w:rsidR="00141E9A">
        <w:t>were</w:t>
      </w:r>
      <w:r w:rsidR="00422DA0">
        <w:t xml:space="preserve"> </w:t>
      </w:r>
      <w:r w:rsidR="00141E9A">
        <w:t xml:space="preserve">paused for differing lengths of time, such that there were periods where clinics continued to perform </w:t>
      </w:r>
      <w:proofErr w:type="gramStart"/>
      <w:r w:rsidR="00141E9A">
        <w:t>IVF, but</w:t>
      </w:r>
      <w:proofErr w:type="gramEnd"/>
      <w:r w:rsidR="00141E9A">
        <w:t xml:space="preserve"> did not perform IUI. This means that there are periods where participants</w:t>
      </w:r>
      <w:r w:rsidR="0099232F">
        <w:t xml:space="preserve"> </w:t>
      </w:r>
      <w:r w:rsidR="00141E9A">
        <w:t>receive</w:t>
      </w:r>
      <w:r w:rsidR="0099232F">
        <w:t>d</w:t>
      </w:r>
      <w:r w:rsidR="00141E9A">
        <w:t xml:space="preserve"> IVF if they were randomised to the IVF arm, but receive</w:t>
      </w:r>
      <w:r w:rsidR="0099232F">
        <w:t>d</w:t>
      </w:r>
      <w:r w:rsidR="00141E9A">
        <w:t xml:space="preserve"> no treatment if they were randomised to the IUI arm. </w:t>
      </w:r>
      <w:r w:rsidR="0029096B">
        <w:t>We therefore</w:t>
      </w:r>
      <w:r w:rsidR="00422DA0">
        <w:t xml:space="preserve"> </w:t>
      </w:r>
      <w:r w:rsidR="006E6709">
        <w:t xml:space="preserve">have periods in the study where </w:t>
      </w:r>
      <w:r w:rsidR="009B53DC">
        <w:t xml:space="preserve">the difference in outcomes between the groups reflects a comparison of ‘IVF versus no IUI’. </w:t>
      </w:r>
      <w:r w:rsidR="00BD38D6">
        <w:t xml:space="preserve">While this might yield useful information about the relative effectiveness of these two interventions </w:t>
      </w:r>
      <w:r w:rsidR="005F4D69">
        <w:t xml:space="preserve">during a pandemic, </w:t>
      </w:r>
      <w:r w:rsidR="00FD73F0">
        <w:t xml:space="preserve">the goal of the study is to provide information about the relative effectiveness of the two interventions outside of a pandemic. </w:t>
      </w:r>
    </w:p>
    <w:p w14:paraId="309816E7" w14:textId="73CE7707" w:rsidR="005604EC" w:rsidRDefault="005604EC" w:rsidP="002E5609">
      <w:pPr>
        <w:jc w:val="both"/>
      </w:pPr>
    </w:p>
    <w:p w14:paraId="52B92AAC" w14:textId="24A6EE50" w:rsidR="00704E59" w:rsidRDefault="00704E59" w:rsidP="002E5609">
      <w:pPr>
        <w:jc w:val="both"/>
      </w:pPr>
    </w:p>
    <w:p w14:paraId="33114722" w14:textId="311E8AB1" w:rsidR="00704E59" w:rsidRDefault="00080164" w:rsidP="002E5609">
      <w:pPr>
        <w:jc w:val="both"/>
      </w:pPr>
      <w:r>
        <w:lastRenderedPageBreak/>
        <w:t xml:space="preserve">We anticipate that an additional consequence of the pandemic, albeit one that is harder to quantify, is that there will have been delays to treatments in both arms throughout the study period. </w:t>
      </w:r>
      <w:r w:rsidR="00C96817">
        <w:t xml:space="preserve">This could arise due to illness in clinic staff or in patients, for example. This could plausibly affect the two arms </w:t>
      </w:r>
      <w:r w:rsidR="00E718AF">
        <w:t xml:space="preserve">in the study differently. </w:t>
      </w:r>
    </w:p>
    <w:p w14:paraId="7BBB649D" w14:textId="5F0FE3B4" w:rsidR="00E718AF" w:rsidRDefault="00E718AF" w:rsidP="002E5609">
      <w:pPr>
        <w:jc w:val="both"/>
      </w:pPr>
    </w:p>
    <w:p w14:paraId="7F9F5637" w14:textId="44C8DBF1" w:rsidR="00E718AF" w:rsidRDefault="00EE7379" w:rsidP="002E5609">
      <w:pPr>
        <w:jc w:val="both"/>
      </w:pPr>
      <w:r>
        <w:t xml:space="preserve">In the following sections, we </w:t>
      </w:r>
      <w:r w:rsidR="00814287">
        <w:t>describe the updated statistical analysis plan, highlighting departures from the previous version.</w:t>
      </w:r>
    </w:p>
    <w:p w14:paraId="68AA942D" w14:textId="73036434" w:rsidR="00814287" w:rsidRDefault="00814287" w:rsidP="002E5609">
      <w:pPr>
        <w:jc w:val="both"/>
      </w:pPr>
    </w:p>
    <w:p w14:paraId="55C365CC" w14:textId="77777777" w:rsidR="004A429C" w:rsidRPr="004A429C" w:rsidRDefault="004A429C" w:rsidP="002E5609">
      <w:pPr>
        <w:keepNext/>
        <w:keepLines/>
        <w:spacing w:before="240" w:after="0"/>
        <w:jc w:val="both"/>
        <w:outlineLvl w:val="0"/>
        <w:rPr>
          <w:rFonts w:asciiTheme="majorHAnsi" w:eastAsiaTheme="majorEastAsia" w:hAnsiTheme="majorHAnsi" w:cstheme="majorBidi"/>
          <w:color w:val="2E74B5" w:themeColor="accent1" w:themeShade="BF"/>
          <w:sz w:val="32"/>
          <w:szCs w:val="32"/>
        </w:rPr>
      </w:pPr>
      <w:r w:rsidRPr="004A429C">
        <w:rPr>
          <w:rFonts w:asciiTheme="majorHAnsi" w:eastAsiaTheme="majorEastAsia" w:hAnsiTheme="majorHAnsi" w:cstheme="majorBidi"/>
          <w:color w:val="2E74B5" w:themeColor="accent1" w:themeShade="BF"/>
          <w:sz w:val="32"/>
          <w:szCs w:val="32"/>
        </w:rPr>
        <w:t>Study methods</w:t>
      </w:r>
    </w:p>
    <w:p w14:paraId="64280145" w14:textId="5D841714" w:rsidR="00814287" w:rsidRDefault="00814287" w:rsidP="002E5609">
      <w:pPr>
        <w:jc w:val="both"/>
      </w:pPr>
    </w:p>
    <w:p w14:paraId="67ECFC9F" w14:textId="168B90DD" w:rsidR="004A429C" w:rsidRDefault="004A429C" w:rsidP="002E5609">
      <w:pPr>
        <w:keepNext/>
        <w:keepLines/>
        <w:spacing w:before="40" w:after="0"/>
        <w:jc w:val="both"/>
        <w:outlineLvl w:val="1"/>
        <w:rPr>
          <w:rFonts w:asciiTheme="majorHAnsi" w:eastAsiaTheme="majorEastAsia" w:hAnsiTheme="majorHAnsi" w:cstheme="majorBidi"/>
          <w:color w:val="2E74B5" w:themeColor="accent1" w:themeShade="BF"/>
          <w:sz w:val="26"/>
          <w:szCs w:val="26"/>
        </w:rPr>
      </w:pPr>
      <w:proofErr w:type="spellStart"/>
      <w:r>
        <w:rPr>
          <w:rFonts w:asciiTheme="majorHAnsi" w:eastAsiaTheme="majorEastAsia" w:hAnsiTheme="majorHAnsi" w:cstheme="majorBidi"/>
          <w:color w:val="2E74B5" w:themeColor="accent1" w:themeShade="BF"/>
          <w:sz w:val="26"/>
          <w:szCs w:val="26"/>
        </w:rPr>
        <w:t>Estimand</w:t>
      </w:r>
      <w:proofErr w:type="spellEnd"/>
    </w:p>
    <w:p w14:paraId="03413758" w14:textId="77777777" w:rsidR="006D4957" w:rsidRDefault="006D4957" w:rsidP="002E5609">
      <w:pPr>
        <w:keepNext/>
        <w:keepLines/>
        <w:spacing w:before="40" w:after="0"/>
        <w:jc w:val="both"/>
        <w:outlineLvl w:val="1"/>
        <w:rPr>
          <w:rFonts w:asciiTheme="majorHAnsi" w:eastAsiaTheme="majorEastAsia" w:hAnsiTheme="majorHAnsi" w:cstheme="majorBidi"/>
          <w:color w:val="2E74B5" w:themeColor="accent1" w:themeShade="BF"/>
          <w:sz w:val="26"/>
          <w:szCs w:val="26"/>
        </w:rPr>
      </w:pPr>
    </w:p>
    <w:p w14:paraId="4BBC30BC" w14:textId="144A26D1" w:rsidR="004A429C" w:rsidRPr="004A429C" w:rsidRDefault="000734B7" w:rsidP="002E5609">
      <w:pPr>
        <w:jc w:val="both"/>
      </w:pPr>
      <w:r w:rsidRPr="000734B7">
        <w:t>We</w:t>
      </w:r>
      <w:r>
        <w:t xml:space="preserve"> </w:t>
      </w:r>
      <w:r w:rsidR="003B46F0">
        <w:t xml:space="preserve">are interested in </w:t>
      </w:r>
      <w:r w:rsidR="00F30CFD">
        <w:t xml:space="preserve">the effect of IVF and IUI as </w:t>
      </w:r>
      <w:r w:rsidR="00F30CFD" w:rsidRPr="00F30CFD">
        <w:rPr>
          <w:i/>
        </w:rPr>
        <w:t>treatment policies</w:t>
      </w:r>
      <w:r w:rsidR="00BA3E14">
        <w:t xml:space="preserve"> </w:t>
      </w:r>
      <w:r w:rsidR="008558D4">
        <w:fldChar w:fldCharType="begin"/>
      </w:r>
      <w:r w:rsidR="008558D4">
        <w:instrText xml:space="preserve"> ADDIN EN.CITE &lt;EndNote&gt;&lt;Cite&gt;&lt;Author&gt;European Medicines Agency&lt;/Author&gt;&lt;Year&gt;2020&lt;/Year&gt;&lt;RecNum&gt;4138&lt;/RecNum&gt;&lt;DisplayText&gt;[2]&lt;/DisplayText&gt;&lt;record&gt;&lt;rec-number&gt;4138&lt;/rec-number&gt;&lt;foreign-keys&gt;&lt;key app="EN" db-id="a9ds2pt5dsz0wredsx6ptxw8dx2w5wrwrfra" timestamp="1668504876"&gt;4138&lt;/key&gt;&lt;/foreign-keys&gt;&lt;ref-type name="Report"&gt;27&lt;/ref-type&gt;&lt;contributors&gt;&lt;authors&gt;&lt;author&gt;European Medicines Agency,&lt;/author&gt;&lt;/authors&gt;&lt;/contributors&gt;&lt;titles&gt;&lt;title&gt;ICH E9 (R1) addendum on estimands and sensitivity analysis in clinical trials to the guideline on statistical principles for clinical trials &lt;/title&gt;&lt;/titles&gt;&lt;dates&gt;&lt;year&gt;2020&lt;/year&gt;&lt;/dates&gt;&lt;urls&gt;&lt;related-urls&gt;&lt;url&gt;https://www.ema.europa.eu/en/documents/scientific-guideline/ich-e9-r1-addendum-estimands-sensitivity-analysis-clinical-trials-guideline-statistical-principles_en.pdf&lt;/url&gt;&lt;/related-urls&gt;&lt;/urls&gt;&lt;/record&gt;&lt;/Cite&gt;&lt;/EndNote&gt;</w:instrText>
      </w:r>
      <w:r w:rsidR="008558D4">
        <w:fldChar w:fldCharType="separate"/>
      </w:r>
      <w:r w:rsidR="008558D4">
        <w:rPr>
          <w:noProof/>
        </w:rPr>
        <w:t>[2]</w:t>
      </w:r>
      <w:r w:rsidR="008558D4">
        <w:fldChar w:fldCharType="end"/>
      </w:r>
      <w:r w:rsidR="00F30CFD">
        <w:t>.</w:t>
      </w:r>
      <w:r w:rsidR="00BA3E14">
        <w:t xml:space="preserve"> </w:t>
      </w:r>
      <w:r w:rsidR="005A4DE7">
        <w:t>This would usually mean that we are interested in the outcome measures in all participants, regardless of whether they are adherent to the intended treatment protocols</w:t>
      </w:r>
      <w:r w:rsidR="00C63FF5">
        <w:t xml:space="preserve">. Moreover, participants would be </w:t>
      </w:r>
      <w:r w:rsidR="00680282">
        <w:t xml:space="preserve">analysed in their allocated groups, regardless of what they </w:t>
      </w:r>
      <w:proofErr w:type="gramStart"/>
      <w:r w:rsidR="00680282">
        <w:t xml:space="preserve">actually </w:t>
      </w:r>
      <w:r w:rsidR="003D0DB3">
        <w:t>received</w:t>
      </w:r>
      <w:proofErr w:type="gramEnd"/>
      <w:r w:rsidR="003D0DB3">
        <w:t xml:space="preserve">. These two principles amount to a description of </w:t>
      </w:r>
      <w:r w:rsidR="00C63FF5">
        <w:t>what has traditionally, albeit inconsistently, referred to</w:t>
      </w:r>
      <w:r w:rsidR="003D0DB3">
        <w:t xml:space="preserve"> as the ‘intention to treat effect’</w:t>
      </w:r>
      <w:r w:rsidR="005A4DE7">
        <w:t xml:space="preserve">. </w:t>
      </w:r>
      <w:r w:rsidR="00C63FF5">
        <w:t xml:space="preserve">However, </w:t>
      </w:r>
      <w:proofErr w:type="gramStart"/>
      <w:r w:rsidR="00C63FF5">
        <w:t>in light of</w:t>
      </w:r>
      <w:proofErr w:type="gramEnd"/>
      <w:r w:rsidR="00C63FF5">
        <w:t xml:space="preserve"> the COVID-19 pandemic, this description </w:t>
      </w:r>
      <w:r w:rsidR="007A6B00">
        <w:t xml:space="preserve">requires further elaboration </w:t>
      </w:r>
      <w:r w:rsidR="005157E8">
        <w:fldChar w:fldCharType="begin">
          <w:fldData xml:space="preserve">PEVuZE5vdGU+PENpdGU+PEF1dGhvcj5Dcm88L0F1dGhvcj48WWVhcj4yMDIwPC9ZZWFyPjxSZWNO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</w:fldData>
        </w:fldChar>
      </w:r>
      <w:r w:rsidR="005157E8">
        <w:instrText xml:space="preserve"> ADDIN EN.CITE </w:instrText>
      </w:r>
      <w:r w:rsidR="005157E8">
        <w:fldChar w:fldCharType="begin">
          <w:fldData xml:space="preserve">PEVuZE5vdGU+PENpdGU+PEF1dGhvcj5Dcm88L0F1dGhvcj48WWVhcj4yMDIwPC9ZZWFyPjxSZWNO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</w:fldData>
        </w:fldChar>
      </w:r>
      <w:r w:rsidR="005157E8">
        <w:instrText xml:space="preserve"> ADDIN EN.CITE.DATA </w:instrText>
      </w:r>
      <w:r w:rsidR="005157E8">
        <w:fldChar w:fldCharType="end"/>
      </w:r>
      <w:r w:rsidR="005157E8">
        <w:fldChar w:fldCharType="separate"/>
      </w:r>
      <w:r w:rsidR="005157E8">
        <w:rPr>
          <w:noProof/>
        </w:rPr>
        <w:t>[1]</w:t>
      </w:r>
      <w:r w:rsidR="005157E8">
        <w:fldChar w:fldCharType="end"/>
      </w:r>
      <w:r w:rsidR="007A6B00">
        <w:t xml:space="preserve">. </w:t>
      </w:r>
      <w:r w:rsidR="00C34A33">
        <w:t>Specifically,</w:t>
      </w:r>
      <w:r w:rsidR="00FB2EBC">
        <w:t xml:space="preserve"> given the impact of the pandemic on the trial,</w:t>
      </w:r>
      <w:r w:rsidR="00C34A33">
        <w:t xml:space="preserve"> </w:t>
      </w:r>
      <w:r w:rsidR="00FE666E">
        <w:t xml:space="preserve">we </w:t>
      </w:r>
      <w:r w:rsidR="00FB2EBC">
        <w:t xml:space="preserve">must indicate whether </w:t>
      </w:r>
      <w:r w:rsidR="00757DA6">
        <w:t>our interest is in estimating the relative effect of the study interventions within or outside of a pandemic context.</w:t>
      </w:r>
      <w:r w:rsidR="0000637C">
        <w:t xml:space="preserve"> </w:t>
      </w:r>
      <w:r w:rsidR="00C01DE1">
        <w:t xml:space="preserve">Anticipating that the delivery of care will not continue to be interrupted in the same manner (or at least, not the same extent) </w:t>
      </w:r>
      <w:r w:rsidR="001B39BE">
        <w:t xml:space="preserve">by the COVID-19 pandemic in future, our primary interest </w:t>
      </w:r>
      <w:r w:rsidR="00404404">
        <w:t xml:space="preserve">is in </w:t>
      </w:r>
      <w:r w:rsidR="00BD6F47">
        <w:t>estimating the relative effect of IUI compared to IVF outside of a pandemic context</w:t>
      </w:r>
      <w:r w:rsidR="00C42BB1">
        <w:t xml:space="preserve"> (or, more accurately, in a scenario where the treatments are not seriously disrupted by a pandemic)</w:t>
      </w:r>
      <w:r w:rsidR="00BD6F47">
        <w:t xml:space="preserve">. </w:t>
      </w:r>
      <w:r w:rsidR="00AF0A35">
        <w:t xml:space="preserve">We have </w:t>
      </w:r>
      <w:r w:rsidR="00F74A66">
        <w:t xml:space="preserve">updated our primary analysis to </w:t>
      </w:r>
      <w:r w:rsidR="001E51D6">
        <w:t xml:space="preserve">reflect this </w:t>
      </w:r>
      <w:proofErr w:type="spellStart"/>
      <w:r w:rsidR="001E51D6">
        <w:t>estimand</w:t>
      </w:r>
      <w:proofErr w:type="spellEnd"/>
      <w:r w:rsidR="00C51447">
        <w:t xml:space="preserve"> (</w:t>
      </w:r>
      <w:proofErr w:type="spellStart"/>
      <w:r w:rsidR="00C51447">
        <w:t>estimand</w:t>
      </w:r>
      <w:proofErr w:type="spellEnd"/>
      <w:r w:rsidR="00C51447">
        <w:t xml:space="preserve"> 1)</w:t>
      </w:r>
      <w:r w:rsidR="00027524">
        <w:t>. An additional analysi</w:t>
      </w:r>
      <w:r w:rsidR="001E51D6">
        <w:t>s</w:t>
      </w:r>
      <w:r w:rsidR="00027524">
        <w:t xml:space="preserve"> of the outcome ‘live birth’ is</w:t>
      </w:r>
      <w:r w:rsidR="001E51D6">
        <w:t xml:space="preserve"> planned </w:t>
      </w:r>
      <w:r w:rsidR="002404B3">
        <w:t>corresponding to</w:t>
      </w:r>
      <w:r w:rsidR="00027524">
        <w:t xml:space="preserve"> a</w:t>
      </w:r>
      <w:r w:rsidR="002404B3">
        <w:t xml:space="preserve"> different </w:t>
      </w:r>
      <w:proofErr w:type="spellStart"/>
      <w:r w:rsidR="00027524">
        <w:t>estimand</w:t>
      </w:r>
      <w:proofErr w:type="spellEnd"/>
      <w:r w:rsidR="002404B3" w:rsidRPr="00EA1B6A">
        <w:t>:</w:t>
      </w:r>
      <w:r w:rsidR="002404B3">
        <w:t xml:space="preserve"> </w:t>
      </w:r>
      <w:r w:rsidR="00C51447">
        <w:t xml:space="preserve">the relative effect of IUI compared to IVF in </w:t>
      </w:r>
      <w:r w:rsidR="00EB3066">
        <w:t xml:space="preserve">the </w:t>
      </w:r>
      <w:r w:rsidR="00C51447">
        <w:t xml:space="preserve">context </w:t>
      </w:r>
      <w:r w:rsidR="00EB3066">
        <w:t xml:space="preserve">of an ongoing pandemic </w:t>
      </w:r>
      <w:r w:rsidR="00C51447">
        <w:t>(</w:t>
      </w:r>
      <w:proofErr w:type="spellStart"/>
      <w:r w:rsidR="00C51447">
        <w:t>estimand</w:t>
      </w:r>
      <w:proofErr w:type="spellEnd"/>
      <w:r w:rsidR="00C51447">
        <w:t xml:space="preserve"> 2)</w:t>
      </w:r>
      <w:r w:rsidR="00516E0E">
        <w:t>.</w:t>
      </w:r>
    </w:p>
    <w:p w14:paraId="2F764976" w14:textId="1DE1ACAB" w:rsidR="004A429C" w:rsidRDefault="004A429C" w:rsidP="002E5609">
      <w:pPr>
        <w:jc w:val="both"/>
      </w:pPr>
    </w:p>
    <w:p w14:paraId="2BE1A36C" w14:textId="4E0AFDB6" w:rsidR="002241C0" w:rsidRDefault="002241C0" w:rsidP="002E5609">
      <w:pPr>
        <w:keepNext/>
        <w:keepLines/>
        <w:spacing w:before="40" w:after="0"/>
        <w:jc w:val="both"/>
        <w:outlineLvl w:val="1"/>
        <w:rPr>
          <w:rFonts w:asciiTheme="majorHAnsi" w:eastAsiaTheme="majorEastAsia" w:hAnsiTheme="majorHAnsi" w:cstheme="majorBidi"/>
          <w:color w:val="2E74B5" w:themeColor="accent1" w:themeShade="BF"/>
          <w:sz w:val="26"/>
          <w:szCs w:val="26"/>
        </w:rPr>
      </w:pPr>
      <w:r w:rsidRPr="002241C0">
        <w:rPr>
          <w:rFonts w:asciiTheme="majorHAnsi" w:eastAsiaTheme="majorEastAsia" w:hAnsiTheme="majorHAnsi" w:cstheme="majorBidi"/>
          <w:color w:val="2E74B5" w:themeColor="accent1" w:themeShade="BF"/>
          <w:sz w:val="26"/>
          <w:szCs w:val="26"/>
        </w:rPr>
        <w:t>Trial design</w:t>
      </w:r>
    </w:p>
    <w:p w14:paraId="16B41B64" w14:textId="77777777" w:rsidR="006D4957" w:rsidRPr="002241C0" w:rsidRDefault="006D4957" w:rsidP="002E5609">
      <w:pPr>
        <w:keepNext/>
        <w:keepLines/>
        <w:spacing w:before="40" w:after="0"/>
        <w:jc w:val="both"/>
        <w:outlineLvl w:val="1"/>
        <w:rPr>
          <w:rFonts w:asciiTheme="majorHAnsi" w:eastAsiaTheme="majorEastAsia" w:hAnsiTheme="majorHAnsi" w:cstheme="majorBidi"/>
          <w:color w:val="2E74B5" w:themeColor="accent1" w:themeShade="BF"/>
          <w:sz w:val="26"/>
          <w:szCs w:val="26"/>
        </w:rPr>
      </w:pPr>
    </w:p>
    <w:p w14:paraId="5759E0F8" w14:textId="4A3C6B32" w:rsidR="000056CE" w:rsidRDefault="002962E7" w:rsidP="002E5609">
      <w:pPr>
        <w:jc w:val="both"/>
      </w:pPr>
      <w:r>
        <w:t xml:space="preserve">The overall trial design remains unchanged. </w:t>
      </w:r>
      <w:r w:rsidR="000056CE">
        <w:t>A multicentre, open label, two-arm parallel non-inferiority randomised controlled trial with 1:1 allocation.</w:t>
      </w:r>
      <w:r w:rsidR="00A276ED">
        <w:t xml:space="preserve"> Participants are</w:t>
      </w:r>
      <w:r w:rsidR="000056CE">
        <w:t xml:space="preserve"> allocated to receive either up to four cycles of IUI followed by two complete cycles of IVF, or two complete cycles of IVF.</w:t>
      </w:r>
    </w:p>
    <w:p w14:paraId="75A9D9EF" w14:textId="0AE94757" w:rsidR="00936E6D" w:rsidRDefault="00936E6D" w:rsidP="002E5609">
      <w:pPr>
        <w:jc w:val="both"/>
      </w:pPr>
    </w:p>
    <w:p w14:paraId="0B41A5D4" w14:textId="77777777" w:rsidR="00A276ED" w:rsidRDefault="00A276ED" w:rsidP="002E5609">
      <w:pPr>
        <w:pStyle w:val="Heading2"/>
        <w:jc w:val="both"/>
      </w:pPr>
      <w:r>
        <w:t>Randomisation</w:t>
      </w:r>
    </w:p>
    <w:p w14:paraId="708362D2" w14:textId="77777777" w:rsidR="00A276ED" w:rsidRDefault="00A276ED" w:rsidP="002E5609">
      <w:pPr>
        <w:jc w:val="both"/>
      </w:pPr>
    </w:p>
    <w:p w14:paraId="7B7303F4" w14:textId="0DB48D27" w:rsidR="00A276ED" w:rsidRDefault="00A276ED" w:rsidP="002E5609">
      <w:pPr>
        <w:jc w:val="both"/>
        <w:rPr>
          <w:rFonts w:ascii="Calibri" w:hAnsi="Calibri" w:cs="Calibri"/>
        </w:rPr>
      </w:pPr>
      <w:r>
        <w:rPr>
          <w:rFonts w:ascii="Calibri" w:hAnsi="Calibri" w:cs="Calibri"/>
        </w:rPr>
        <w:t xml:space="preserve">Randomisation remains unchanged. </w:t>
      </w:r>
      <w:r w:rsidRPr="00C37189">
        <w:rPr>
          <w:rFonts w:ascii="Calibri" w:hAnsi="Calibri" w:cs="Calibri"/>
        </w:rPr>
        <w:t>Couple</w:t>
      </w:r>
      <w:r>
        <w:rPr>
          <w:rFonts w:ascii="Calibri" w:hAnsi="Calibri" w:cs="Calibri"/>
        </w:rPr>
        <w:t>s are</w:t>
      </w:r>
      <w:r w:rsidRPr="00C37189">
        <w:rPr>
          <w:rFonts w:ascii="Calibri" w:hAnsi="Calibri" w:cs="Calibri"/>
        </w:rPr>
        <w:t xml:space="preserve"> randomly assigned to either the IUI followed by IVF arm or the IVF arm with a 1:1 allocation using a variable block de</w:t>
      </w:r>
      <w:r>
        <w:rPr>
          <w:rFonts w:ascii="Calibri" w:hAnsi="Calibri" w:cs="Calibri"/>
        </w:rPr>
        <w:t>sign</w:t>
      </w:r>
      <w:r w:rsidRPr="00C37189">
        <w:rPr>
          <w:rFonts w:ascii="Calibri" w:hAnsi="Calibri" w:cs="Calibri"/>
        </w:rPr>
        <w:t xml:space="preserve">. The block sizes </w:t>
      </w:r>
      <w:r>
        <w:rPr>
          <w:rFonts w:ascii="Calibri" w:hAnsi="Calibri" w:cs="Calibri"/>
        </w:rPr>
        <w:t>are not</w:t>
      </w:r>
      <w:r w:rsidRPr="00C37189">
        <w:rPr>
          <w:rFonts w:ascii="Calibri" w:hAnsi="Calibri" w:cs="Calibri"/>
        </w:rPr>
        <w:t xml:space="preserve"> disclosed, to ensure concealment. </w:t>
      </w:r>
      <w:r w:rsidR="000642E3">
        <w:rPr>
          <w:rFonts w:ascii="Calibri" w:hAnsi="Calibri" w:cs="Calibri"/>
        </w:rPr>
        <w:t>The randomisation is</w:t>
      </w:r>
      <w:r>
        <w:rPr>
          <w:rFonts w:ascii="Calibri" w:hAnsi="Calibri" w:cs="Calibri"/>
        </w:rPr>
        <w:t xml:space="preserve"> stratified by centre and by age (&lt;36 OR &gt;=36).</w:t>
      </w:r>
    </w:p>
    <w:p w14:paraId="6297D2CE" w14:textId="757F072B" w:rsidR="0002248A" w:rsidRDefault="0002248A" w:rsidP="002E5609">
      <w:pPr>
        <w:jc w:val="both"/>
        <w:rPr>
          <w:rFonts w:ascii="Calibri" w:hAnsi="Calibri" w:cs="Calibri"/>
        </w:rPr>
      </w:pPr>
    </w:p>
    <w:p w14:paraId="2542F0C3" w14:textId="6613AF3A" w:rsidR="0002248A" w:rsidRDefault="00287786" w:rsidP="002E5609">
      <w:pPr>
        <w:pStyle w:val="Heading2"/>
        <w:jc w:val="both"/>
      </w:pPr>
      <w:r>
        <w:lastRenderedPageBreak/>
        <w:t>Timing of the p</w:t>
      </w:r>
      <w:r w:rsidR="0077270E">
        <w:t>rimary outcome</w:t>
      </w:r>
    </w:p>
    <w:p w14:paraId="1C3620AF" w14:textId="77777777" w:rsidR="002566AE" w:rsidRPr="002566AE" w:rsidRDefault="002566AE" w:rsidP="002E5609">
      <w:pPr>
        <w:jc w:val="both"/>
      </w:pPr>
    </w:p>
    <w:p w14:paraId="2C6EE6F0" w14:textId="64BCE0B4" w:rsidR="00926575" w:rsidRDefault="000A2BFB" w:rsidP="002E5609">
      <w:pPr>
        <w:jc w:val="both"/>
      </w:pPr>
      <w:r>
        <w:t xml:space="preserve">The timing of the primary outcome has been changed for participants randomised from </w:t>
      </w:r>
      <w:r w:rsidR="004D56AA">
        <w:t>19</w:t>
      </w:r>
      <w:r w:rsidR="004D56AA" w:rsidRPr="005726D3">
        <w:rPr>
          <w:vertAlign w:val="superscript"/>
        </w:rPr>
        <w:t>th</w:t>
      </w:r>
      <w:r w:rsidR="004D56AA">
        <w:t xml:space="preserve"> August 2021 </w:t>
      </w:r>
      <w:r>
        <w:t>onwards</w:t>
      </w:r>
      <w:r w:rsidR="003061B8">
        <w:t>. For these participants, the primary outcome, cumulative live birth rate</w:t>
      </w:r>
      <w:r w:rsidR="00BF6BB0">
        <w:t xml:space="preserve"> (CLBR)</w:t>
      </w:r>
      <w:r w:rsidR="007E4E1C">
        <w:t>, will be assessed at</w:t>
      </w:r>
      <w:r w:rsidR="003061B8">
        <w:t xml:space="preserve"> 7 months</w:t>
      </w:r>
      <w:r w:rsidR="004D56AA">
        <w:t xml:space="preserve"> (215 days)</w:t>
      </w:r>
      <w:r w:rsidR="003061B8">
        <w:t xml:space="preserve"> post-randomisation.</w:t>
      </w:r>
      <w:r w:rsidR="007E4E1C">
        <w:t xml:space="preserve"> Specifically, any live birth arising from a pregnancy initiated in the first 7 months from randomisation will be included.</w:t>
      </w:r>
      <w:r w:rsidR="003061B8">
        <w:t xml:space="preserve"> For participants randomised prior to this date, the timing of the primary outcome assessment remains unchanged (6 months</w:t>
      </w:r>
      <w:r w:rsidR="004D56AA">
        <w:t>/185 days</w:t>
      </w:r>
      <w:r w:rsidR="003061B8">
        <w:t xml:space="preserve">). </w:t>
      </w:r>
      <w:r w:rsidR="00844A69">
        <w:t>This change was made to accommodate</w:t>
      </w:r>
      <w:r w:rsidR="00926575">
        <w:t xml:space="preserve"> the delays to treatment</w:t>
      </w:r>
      <w:r w:rsidR="00856719">
        <w:t xml:space="preserve"> in both arms of the trial which was evident before and exacerbated</w:t>
      </w:r>
      <w:r w:rsidR="00926575">
        <w:t xml:space="preserve"> by COVID-19. </w:t>
      </w:r>
      <w:r w:rsidR="00524FD7" w:rsidRPr="00524FD7">
        <w:t>This amendment was approved by HDEC (reference code: 2022 AM 8410) February 2022.</w:t>
      </w:r>
    </w:p>
    <w:p w14:paraId="60A6ADAB" w14:textId="77777777" w:rsidR="0090029B" w:rsidRPr="0090029B" w:rsidRDefault="0090029B" w:rsidP="002E5609">
      <w:pPr>
        <w:keepNext/>
        <w:keepLines/>
        <w:spacing w:before="40" w:after="0"/>
        <w:jc w:val="both"/>
        <w:outlineLvl w:val="1"/>
        <w:rPr>
          <w:rFonts w:asciiTheme="majorHAnsi" w:eastAsiaTheme="majorEastAsia" w:hAnsiTheme="majorHAnsi" w:cstheme="majorBidi"/>
          <w:color w:val="2E74B5" w:themeColor="accent1" w:themeShade="BF"/>
          <w:sz w:val="26"/>
          <w:szCs w:val="26"/>
        </w:rPr>
      </w:pPr>
      <w:r w:rsidRPr="0090029B">
        <w:rPr>
          <w:rFonts w:asciiTheme="majorHAnsi" w:eastAsiaTheme="majorEastAsia" w:hAnsiTheme="majorHAnsi" w:cstheme="majorBidi"/>
          <w:color w:val="2E74B5" w:themeColor="accent1" w:themeShade="BF"/>
          <w:sz w:val="26"/>
          <w:szCs w:val="26"/>
        </w:rPr>
        <w:t>Sample size</w:t>
      </w:r>
    </w:p>
    <w:p w14:paraId="15D6168E" w14:textId="75616A2F" w:rsidR="00926575" w:rsidRDefault="00926575" w:rsidP="002E5609">
      <w:pPr>
        <w:jc w:val="both"/>
      </w:pPr>
    </w:p>
    <w:p w14:paraId="43998C35" w14:textId="77777777" w:rsidR="00BF6BB0" w:rsidRPr="00C37189" w:rsidRDefault="00BF6BB0" w:rsidP="002E5609">
      <w:pPr>
        <w:jc w:val="both"/>
        <w:rPr>
          <w:rFonts w:ascii="Calibri" w:hAnsi="Calibri" w:cs="Calibri"/>
          <w:bCs/>
          <w:color w:val="000000" w:themeColor="text1"/>
        </w:rPr>
      </w:pPr>
      <w:r>
        <w:t xml:space="preserve">The originally planned sample size was 580 participants. This was based on the primary outcome, CLBR at 6 months from randomisation, using </w:t>
      </w:r>
      <w:r w:rsidRPr="00C37189">
        <w:rPr>
          <w:rFonts w:ascii="Calibri" w:hAnsi="Calibri" w:cs="Calibri"/>
          <w:bCs/>
          <w:color w:val="000000" w:themeColor="text1"/>
        </w:rPr>
        <w:t>the following estimates from the literature:</w:t>
      </w:r>
    </w:p>
    <w:p w14:paraId="74A4AD02" w14:textId="77777777" w:rsidR="00BF6BB0" w:rsidRPr="00C37189" w:rsidRDefault="00BF6BB0" w:rsidP="002E5609">
      <w:pPr>
        <w:numPr>
          <w:ilvl w:val="0"/>
          <w:numId w:val="1"/>
        </w:numPr>
        <w:spacing w:after="0" w:line="240" w:lineRule="auto"/>
        <w:jc w:val="both"/>
        <w:rPr>
          <w:rFonts w:ascii="Calibri" w:hAnsi="Calibri" w:cs="Calibri"/>
          <w:bCs/>
          <w:color w:val="000000" w:themeColor="text1"/>
        </w:rPr>
      </w:pPr>
      <w:r w:rsidRPr="00C37189">
        <w:rPr>
          <w:rFonts w:ascii="Calibri" w:hAnsi="Calibri" w:cs="Calibri"/>
          <w:bCs/>
          <w:color w:val="000000" w:themeColor="text1"/>
        </w:rPr>
        <w:t>Estimated cumulative live birth rate (CLBR) of 30% after four cycles of IUI at 185 days (6 months).</w:t>
      </w:r>
    </w:p>
    <w:p w14:paraId="6C8E2B2C" w14:textId="77777777" w:rsidR="00BF6BB0" w:rsidRPr="00C37189" w:rsidRDefault="00BF6BB0" w:rsidP="002E5609">
      <w:pPr>
        <w:numPr>
          <w:ilvl w:val="0"/>
          <w:numId w:val="1"/>
        </w:numPr>
        <w:spacing w:after="0" w:line="240" w:lineRule="auto"/>
        <w:jc w:val="both"/>
        <w:rPr>
          <w:rFonts w:ascii="Calibri" w:hAnsi="Calibri" w:cs="Calibri"/>
          <w:bCs/>
          <w:color w:val="000000" w:themeColor="text1"/>
        </w:rPr>
      </w:pPr>
      <w:r w:rsidRPr="00C37189">
        <w:rPr>
          <w:rFonts w:ascii="Calibri" w:hAnsi="Calibri" w:cs="Calibri"/>
          <w:bCs/>
          <w:color w:val="000000" w:themeColor="text1"/>
        </w:rPr>
        <w:t>Estimate CLBR of 30% for a single completed IVF cycle at 185 days (6 months).</w:t>
      </w:r>
    </w:p>
    <w:p w14:paraId="39A7DC82" w14:textId="755D709D" w:rsidR="0052241E" w:rsidRPr="0052241E" w:rsidRDefault="00BF6BB0" w:rsidP="0052241E">
      <w:pPr>
        <w:pStyle w:val="ListParagraph"/>
        <w:numPr>
          <w:ilvl w:val="0"/>
          <w:numId w:val="1"/>
        </w:numPr>
      </w:pPr>
      <w:r w:rsidRPr="00C37189">
        <w:rPr>
          <w:rFonts w:ascii="Calibri" w:hAnsi="Calibri" w:cs="Calibri"/>
          <w:bCs/>
          <w:color w:val="000000" w:themeColor="text1"/>
        </w:rPr>
        <w:t xml:space="preserve">Sample size calculated based on the hypothesis of </w:t>
      </w:r>
      <w:r>
        <w:rPr>
          <w:rFonts w:ascii="Calibri" w:hAnsi="Calibri" w:cs="Calibri"/>
          <w:bCs/>
          <w:color w:val="000000" w:themeColor="text1"/>
        </w:rPr>
        <w:t>noninferiority</w:t>
      </w:r>
      <w:r w:rsidRPr="00C37189">
        <w:rPr>
          <w:rFonts w:ascii="Calibri" w:hAnsi="Calibri" w:cs="Calibri"/>
          <w:bCs/>
          <w:color w:val="000000" w:themeColor="text1"/>
        </w:rPr>
        <w:t xml:space="preserve"> for CLBR</w:t>
      </w:r>
      <w:r w:rsidRPr="00C37189" w:rsidDel="00E04EF9">
        <w:rPr>
          <w:rFonts w:ascii="Calibri" w:hAnsi="Calibri" w:cs="Calibri"/>
          <w:bCs/>
          <w:color w:val="000000" w:themeColor="text1"/>
        </w:rPr>
        <w:t xml:space="preserve"> </w:t>
      </w:r>
      <w:r w:rsidRPr="00C37189">
        <w:rPr>
          <w:rFonts w:ascii="Calibri" w:hAnsi="Calibri" w:cs="Calibri"/>
          <w:bCs/>
          <w:color w:val="000000" w:themeColor="text1"/>
        </w:rPr>
        <w:t xml:space="preserve">at 6 months. Estimated CLBR is 30% in each </w:t>
      </w:r>
      <w:proofErr w:type="gramStart"/>
      <w:r w:rsidRPr="00C37189">
        <w:rPr>
          <w:rFonts w:ascii="Calibri" w:hAnsi="Calibri" w:cs="Calibri"/>
          <w:bCs/>
          <w:color w:val="000000" w:themeColor="text1"/>
        </w:rPr>
        <w:t>group, and</w:t>
      </w:r>
      <w:proofErr w:type="gramEnd"/>
      <w:r w:rsidRPr="00C37189">
        <w:rPr>
          <w:rFonts w:ascii="Calibri" w:hAnsi="Calibri" w:cs="Calibri"/>
          <w:bCs/>
          <w:color w:val="000000" w:themeColor="text1"/>
        </w:rPr>
        <w:t xml:space="preserve"> requires 580 patients (290 in each arm) for 80% power to reject the null hypothesis that the groups differ by more than 10 percentage points </w:t>
      </w:r>
      <w:r>
        <w:rPr>
          <w:rFonts w:ascii="Calibri" w:hAnsi="Calibri" w:cs="Calibri"/>
          <w:bCs/>
          <w:color w:val="000000" w:themeColor="text1"/>
        </w:rPr>
        <w:t xml:space="preserve">in favour of IVF </w:t>
      </w:r>
      <w:r w:rsidRPr="00C37189">
        <w:rPr>
          <w:rFonts w:ascii="Calibri" w:hAnsi="Calibri" w:cs="Calibri"/>
          <w:bCs/>
          <w:color w:val="000000" w:themeColor="text1"/>
        </w:rPr>
        <w:t xml:space="preserve">at the 5% level, allowing for 10% withdrawals. </w:t>
      </w:r>
    </w:p>
    <w:p w14:paraId="353390F3" w14:textId="17DFC194" w:rsidR="0090029B" w:rsidRDefault="0090029B" w:rsidP="002E5609">
      <w:pPr>
        <w:jc w:val="both"/>
      </w:pPr>
    </w:p>
    <w:p w14:paraId="7E12079B" w14:textId="02571ABD" w:rsidR="00F14C76" w:rsidRDefault="00F14C76" w:rsidP="002E5609">
      <w:pPr>
        <w:jc w:val="both"/>
      </w:pPr>
      <w:r>
        <w:t xml:space="preserve">However, </w:t>
      </w:r>
      <w:r w:rsidR="00A27326">
        <w:t>both</w:t>
      </w:r>
      <w:r w:rsidR="001A4F03">
        <w:t xml:space="preserve"> of the planned analyses in the updated SAP will reduce power, either by excluding some of the randomised</w:t>
      </w:r>
      <w:r w:rsidR="0066141F">
        <w:t xml:space="preserve"> participants from the analysis, or by including data from participants </w:t>
      </w:r>
      <w:proofErr w:type="gramStart"/>
      <w:r w:rsidR="0066141F">
        <w:t>during  periods</w:t>
      </w:r>
      <w:proofErr w:type="gramEnd"/>
      <w:r w:rsidR="0066141F">
        <w:t xml:space="preserve"> in which IUI was paused but IVF was not (such that we anticipate participants in the IUI arm to have inferior outcomes during these periods). </w:t>
      </w:r>
      <w:r w:rsidR="003C7CD5">
        <w:t xml:space="preserve">We increased the recruitment target as a result, although </w:t>
      </w:r>
      <w:r w:rsidR="00BC0650">
        <w:t xml:space="preserve">anticipate that this may not be achieved due to </w:t>
      </w:r>
      <w:r w:rsidR="003C7CD5">
        <w:t>resource limitations (</w:t>
      </w:r>
      <w:r w:rsidR="004C536A">
        <w:t>cost and time</w:t>
      </w:r>
      <w:r w:rsidR="003C7CD5">
        <w:t>)</w:t>
      </w:r>
      <w:r w:rsidR="004C536A">
        <w:t xml:space="preserve">. We targeted a sample size of </w:t>
      </w:r>
      <w:r w:rsidR="0052241E">
        <w:t>730</w:t>
      </w:r>
      <w:r w:rsidR="009160CD">
        <w:t>.</w:t>
      </w:r>
      <w:r w:rsidR="0052241E">
        <w:t xml:space="preserve"> </w:t>
      </w:r>
    </w:p>
    <w:p w14:paraId="4F964533" w14:textId="52E99642" w:rsidR="004C536A" w:rsidRDefault="004C536A" w:rsidP="002E5609">
      <w:pPr>
        <w:jc w:val="both"/>
      </w:pPr>
    </w:p>
    <w:p w14:paraId="46170B34" w14:textId="77777777" w:rsidR="003E7981" w:rsidRPr="003E7981" w:rsidRDefault="003E7981" w:rsidP="002E5609">
      <w:pPr>
        <w:keepNext/>
        <w:keepLines/>
        <w:spacing w:before="40" w:after="0"/>
        <w:jc w:val="both"/>
        <w:outlineLvl w:val="1"/>
        <w:rPr>
          <w:rFonts w:asciiTheme="majorHAnsi" w:eastAsiaTheme="majorEastAsia" w:hAnsiTheme="majorHAnsi" w:cstheme="majorBidi"/>
          <w:color w:val="2E74B5" w:themeColor="accent1" w:themeShade="BF"/>
          <w:sz w:val="26"/>
          <w:szCs w:val="26"/>
        </w:rPr>
      </w:pPr>
      <w:r w:rsidRPr="003E7981">
        <w:rPr>
          <w:rFonts w:asciiTheme="majorHAnsi" w:eastAsiaTheme="majorEastAsia" w:hAnsiTheme="majorHAnsi" w:cstheme="majorBidi"/>
          <w:color w:val="2E74B5" w:themeColor="accent1" w:themeShade="BF"/>
          <w:sz w:val="26"/>
          <w:szCs w:val="26"/>
        </w:rPr>
        <w:t>Confidence and Significance</w:t>
      </w:r>
    </w:p>
    <w:p w14:paraId="66364EEC" w14:textId="7D159F28" w:rsidR="004C536A" w:rsidRDefault="004C536A" w:rsidP="002E5609">
      <w:pPr>
        <w:jc w:val="both"/>
      </w:pPr>
    </w:p>
    <w:p w14:paraId="248CB5AD" w14:textId="78AC0E78" w:rsidR="003E7981" w:rsidRDefault="003E7981" w:rsidP="002E5609">
      <w:pPr>
        <w:jc w:val="both"/>
      </w:pPr>
      <w:r>
        <w:t xml:space="preserve">Type 1 error of the primary analysis will be controlled at 5%, by comparing the lower limit of a 90% two-sided confidence interval to the inferiority margin. A significance threshold of 1% will be used for secondary outcomes, which will be analysed using 99% confidence intervals. </w:t>
      </w:r>
    </w:p>
    <w:p w14:paraId="452261A0" w14:textId="74C794DB" w:rsidR="003E7981" w:rsidRDefault="003E7981" w:rsidP="002E5609">
      <w:pPr>
        <w:jc w:val="both"/>
      </w:pPr>
      <w:r>
        <w:t>No adjustment for multiplicity will be made for sensitivity analyses</w:t>
      </w:r>
      <w:r w:rsidR="007B1CF1">
        <w:t xml:space="preserve"> or for the alternative analyses of the primary outcome variable, CLBR, added in response to COVID-19 pandemic</w:t>
      </w:r>
      <w:r>
        <w:t>.</w:t>
      </w:r>
    </w:p>
    <w:p w14:paraId="27A690AB" w14:textId="3C08B462" w:rsidR="00A73344" w:rsidRDefault="00A73344" w:rsidP="002E5609">
      <w:pPr>
        <w:jc w:val="both"/>
      </w:pPr>
    </w:p>
    <w:p w14:paraId="28092303" w14:textId="77777777" w:rsidR="00A73344" w:rsidRPr="00A73344" w:rsidRDefault="00A73344" w:rsidP="002E5609">
      <w:pPr>
        <w:keepNext/>
        <w:keepLines/>
        <w:spacing w:before="40" w:after="0"/>
        <w:jc w:val="both"/>
        <w:outlineLvl w:val="1"/>
        <w:rPr>
          <w:rFonts w:asciiTheme="majorHAnsi" w:eastAsiaTheme="majorEastAsia" w:hAnsiTheme="majorHAnsi" w:cstheme="majorBidi"/>
          <w:color w:val="2E74B5" w:themeColor="accent1" w:themeShade="BF"/>
          <w:sz w:val="26"/>
          <w:szCs w:val="26"/>
        </w:rPr>
      </w:pPr>
      <w:r w:rsidRPr="00A73344">
        <w:rPr>
          <w:rFonts w:asciiTheme="majorHAnsi" w:eastAsiaTheme="majorEastAsia" w:hAnsiTheme="majorHAnsi" w:cstheme="majorBidi"/>
          <w:color w:val="2E74B5" w:themeColor="accent1" w:themeShade="BF"/>
          <w:sz w:val="26"/>
          <w:szCs w:val="26"/>
        </w:rPr>
        <w:t>Compliance and protocol violation</w:t>
      </w:r>
    </w:p>
    <w:p w14:paraId="34FCD949" w14:textId="33B60E83" w:rsidR="00A73344" w:rsidRDefault="00A73344" w:rsidP="002E5609">
      <w:pPr>
        <w:jc w:val="both"/>
      </w:pPr>
    </w:p>
    <w:p w14:paraId="6A577734" w14:textId="5CC9FDC6" w:rsidR="003C6C58" w:rsidRDefault="00D4522E" w:rsidP="002E5609">
      <w:pPr>
        <w:jc w:val="both"/>
        <w:rPr>
          <w:rFonts w:cstheme="minorHAnsi"/>
          <w:lang w:val="en-US"/>
        </w:rPr>
      </w:pPr>
      <w:r>
        <w:lastRenderedPageBreak/>
        <w:t xml:space="preserve">This section details major changes to the planned analysis due to COVID-19 interruption. </w:t>
      </w:r>
      <w:r w:rsidR="00FC0F73">
        <w:t xml:space="preserve">The primary analysis </w:t>
      </w:r>
      <w:r w:rsidR="00017550">
        <w:t xml:space="preserve">of CLBR </w:t>
      </w:r>
      <w:r w:rsidR="00FC0F73">
        <w:t xml:space="preserve">will </w:t>
      </w:r>
      <w:r w:rsidR="004828AF">
        <w:t xml:space="preserve">exclude all participants during periods where treatment was impacted by COVID-19 lockdowns. </w:t>
      </w:r>
      <w:r w:rsidR="00086CE5">
        <w:rPr>
          <w:rFonts w:cstheme="minorHAnsi"/>
          <w:lang w:val="en-US"/>
        </w:rPr>
        <w:t xml:space="preserve">This means 151 participants will be removed from the analysis. </w:t>
      </w:r>
      <w:r w:rsidR="00086CE5" w:rsidRPr="00335296">
        <w:rPr>
          <w:rFonts w:cstheme="minorHAnsi"/>
          <w:lang w:val="en-US"/>
        </w:rPr>
        <w:t xml:space="preserve">March 2020 lockdown affected participants </w:t>
      </w:r>
      <w:proofErr w:type="spellStart"/>
      <w:r w:rsidR="00086CE5" w:rsidRPr="00335296">
        <w:rPr>
          <w:rFonts w:cstheme="minorHAnsi"/>
          <w:lang w:val="en-US"/>
        </w:rPr>
        <w:t>randomised</w:t>
      </w:r>
      <w:proofErr w:type="spellEnd"/>
      <w:r w:rsidR="00086CE5" w:rsidRPr="00335296">
        <w:rPr>
          <w:rFonts w:cstheme="minorHAnsi"/>
          <w:lang w:val="en-US"/>
        </w:rPr>
        <w:t xml:space="preserve"> between 22/09/2019 – 25/03/2020</w:t>
      </w:r>
      <w:r w:rsidR="00086CE5">
        <w:rPr>
          <w:rFonts w:cstheme="minorHAnsi"/>
          <w:lang w:val="en-US"/>
        </w:rPr>
        <w:t xml:space="preserve">. </w:t>
      </w:r>
      <w:r w:rsidR="00086CE5" w:rsidRPr="00335296">
        <w:rPr>
          <w:rFonts w:cstheme="minorHAnsi"/>
          <w:lang w:val="en-US"/>
        </w:rPr>
        <w:t xml:space="preserve">August 2021 lockdown affected participants </w:t>
      </w:r>
      <w:proofErr w:type="spellStart"/>
      <w:r w:rsidR="00086CE5" w:rsidRPr="00335296">
        <w:rPr>
          <w:rFonts w:cstheme="minorHAnsi"/>
          <w:lang w:val="en-US"/>
        </w:rPr>
        <w:t>randomised</w:t>
      </w:r>
      <w:proofErr w:type="spellEnd"/>
      <w:r w:rsidR="00086CE5" w:rsidRPr="00335296">
        <w:rPr>
          <w:rFonts w:cstheme="minorHAnsi"/>
          <w:lang w:val="en-US"/>
        </w:rPr>
        <w:t xml:space="preserve"> between 14/02/2021 – 18/08/2021.</w:t>
      </w:r>
      <w:r w:rsidR="000D2BD4">
        <w:rPr>
          <w:rFonts w:cstheme="minorHAnsi"/>
          <w:lang w:val="en-US"/>
        </w:rPr>
        <w:t xml:space="preserve"> </w:t>
      </w:r>
      <w:r w:rsidR="00A91BFB">
        <w:rPr>
          <w:rFonts w:cstheme="minorHAnsi"/>
          <w:lang w:val="en-US"/>
        </w:rPr>
        <w:t xml:space="preserve">The exclusions are based on date of randomization. Participants randomized in these periods will be excluded regardless of whether their individual treatment was or was not successful, and whether it was or was not significantly delayed. </w:t>
      </w:r>
      <w:r w:rsidR="00CF0917">
        <w:rPr>
          <w:rFonts w:cstheme="minorHAnsi"/>
          <w:lang w:val="en-US"/>
        </w:rPr>
        <w:t>This decision is intended to p</w:t>
      </w:r>
      <w:r w:rsidR="00ED1DEE">
        <w:rPr>
          <w:rFonts w:cstheme="minorHAnsi"/>
          <w:lang w:val="en-US"/>
        </w:rPr>
        <w:t xml:space="preserve">revent the introduction of bias, which would be a concern if we implicitly selected participants to exclude </w:t>
      </w:r>
      <w:proofErr w:type="gramStart"/>
      <w:r w:rsidR="00ED1DEE">
        <w:rPr>
          <w:rFonts w:cstheme="minorHAnsi"/>
          <w:lang w:val="en-US"/>
        </w:rPr>
        <w:t>on the basis of</w:t>
      </w:r>
      <w:proofErr w:type="gramEnd"/>
      <w:r w:rsidR="00ED1DEE">
        <w:rPr>
          <w:rFonts w:cstheme="minorHAnsi"/>
          <w:lang w:val="en-US"/>
        </w:rPr>
        <w:t xml:space="preserve"> their outcome (if we </w:t>
      </w:r>
      <w:r w:rsidR="00A07B19">
        <w:rPr>
          <w:rFonts w:cstheme="minorHAnsi"/>
          <w:lang w:val="en-US"/>
        </w:rPr>
        <w:t>opted to include participants if they fell pregnant, for example).</w:t>
      </w:r>
      <w:r w:rsidR="0014628D">
        <w:rPr>
          <w:rFonts w:cstheme="minorHAnsi"/>
          <w:lang w:val="en-US"/>
        </w:rPr>
        <w:t xml:space="preserve"> </w:t>
      </w:r>
      <w:r w:rsidR="000D2BD4">
        <w:rPr>
          <w:rFonts w:cstheme="minorHAnsi"/>
          <w:lang w:val="en-US"/>
        </w:rPr>
        <w:t>This analysis is intended to target the relative effect of IUI compared to IVF as treatment policies</w:t>
      </w:r>
      <w:r w:rsidR="00FC0730">
        <w:rPr>
          <w:rFonts w:cstheme="minorHAnsi"/>
          <w:lang w:val="en-US"/>
        </w:rPr>
        <w:t xml:space="preserve"> outside of a pandemic context</w:t>
      </w:r>
      <w:r w:rsidR="002F014D">
        <w:rPr>
          <w:rFonts w:cstheme="minorHAnsi"/>
          <w:lang w:val="en-US"/>
        </w:rPr>
        <w:t xml:space="preserve"> (or more specifically, in a scenario where there are not major disruptions to the treatments due to a pandemic</w:t>
      </w:r>
      <w:r w:rsidR="00705FD7">
        <w:rPr>
          <w:rFonts w:cstheme="minorHAnsi"/>
          <w:lang w:val="en-US"/>
        </w:rPr>
        <w:t xml:space="preserve"> (</w:t>
      </w:r>
      <w:proofErr w:type="spellStart"/>
      <w:r w:rsidR="00705FD7">
        <w:rPr>
          <w:rFonts w:cstheme="minorHAnsi"/>
          <w:lang w:val="en-US"/>
        </w:rPr>
        <w:t>estimand</w:t>
      </w:r>
      <w:proofErr w:type="spellEnd"/>
      <w:r w:rsidR="00705FD7">
        <w:rPr>
          <w:rFonts w:cstheme="minorHAnsi"/>
          <w:lang w:val="en-US"/>
        </w:rPr>
        <w:t xml:space="preserve"> 1)</w:t>
      </w:r>
      <w:r w:rsidR="002F014D">
        <w:rPr>
          <w:rFonts w:cstheme="minorHAnsi"/>
          <w:lang w:val="en-US"/>
        </w:rPr>
        <w:t>)</w:t>
      </w:r>
      <w:r w:rsidR="00FC0730">
        <w:rPr>
          <w:rFonts w:cstheme="minorHAnsi"/>
          <w:lang w:val="en-US"/>
        </w:rPr>
        <w:t xml:space="preserve">. </w:t>
      </w:r>
    </w:p>
    <w:p w14:paraId="35603C21" w14:textId="55764152" w:rsidR="001E4447" w:rsidRDefault="002C6A37" w:rsidP="002E5609">
      <w:pPr>
        <w:jc w:val="both"/>
      </w:pPr>
      <w:r>
        <w:t>A second</w:t>
      </w:r>
      <w:r w:rsidR="001F2A78">
        <w:t>ary</w:t>
      </w:r>
      <w:r>
        <w:t xml:space="preserve"> analysis</w:t>
      </w:r>
      <w:r w:rsidR="00A714EB">
        <w:t xml:space="preserve"> of CLBR </w:t>
      </w:r>
      <w:r>
        <w:t xml:space="preserve">will </w:t>
      </w:r>
      <w:r w:rsidR="000C4F29">
        <w:t>include all randomised participants, regardless of COVID interruptions. This analysis is intended to target the relative effect of IUI compared to IVF in the context of an ongoing pandemic (</w:t>
      </w:r>
      <w:proofErr w:type="spellStart"/>
      <w:r w:rsidR="000C4F29">
        <w:t>estimand</w:t>
      </w:r>
      <w:proofErr w:type="spellEnd"/>
      <w:r w:rsidR="000C4F29">
        <w:t xml:space="preserve"> 2).</w:t>
      </w:r>
    </w:p>
    <w:p w14:paraId="4BF9E4B3" w14:textId="77777777" w:rsidR="001E4447" w:rsidRDefault="001E4447" w:rsidP="002E5609">
      <w:pPr>
        <w:jc w:val="both"/>
      </w:pPr>
    </w:p>
    <w:p w14:paraId="0ACF0B88" w14:textId="77777777" w:rsidR="00295D0A" w:rsidRDefault="00295D0A" w:rsidP="00295D0A">
      <w:pPr>
        <w:pStyle w:val="Heading2"/>
      </w:pPr>
      <w:r>
        <w:t>Interim analysis</w:t>
      </w:r>
    </w:p>
    <w:p w14:paraId="43FA1B73" w14:textId="77777777" w:rsidR="00295D0A" w:rsidRDefault="00295D0A" w:rsidP="00295D0A"/>
    <w:p w14:paraId="6CFBE9B6" w14:textId="77777777" w:rsidR="00295D0A" w:rsidRDefault="00295D0A" w:rsidP="00295D0A">
      <w:r>
        <w:t>No formal interim analysis is planned. Summaries of outcome data to date will be included in reports for the DMC.</w:t>
      </w:r>
    </w:p>
    <w:p w14:paraId="1741CA47" w14:textId="77777777" w:rsidR="00295D0A" w:rsidRDefault="00295D0A" w:rsidP="00295D0A"/>
    <w:p w14:paraId="51F9D3A5" w14:textId="77777777" w:rsidR="00295D0A" w:rsidRPr="00172FB8" w:rsidRDefault="00295D0A" w:rsidP="00295D0A">
      <w:pPr>
        <w:pStyle w:val="Heading2"/>
      </w:pPr>
      <w:r>
        <w:t>Timing of analysis</w:t>
      </w:r>
    </w:p>
    <w:p w14:paraId="78393036" w14:textId="77777777" w:rsidR="00295D0A" w:rsidRDefault="00295D0A" w:rsidP="00295D0A"/>
    <w:p w14:paraId="44FB8E90" w14:textId="352D6B93" w:rsidR="00295D0A" w:rsidRDefault="00295D0A" w:rsidP="00295D0A">
      <w:r>
        <w:t>Statistical analysis for the final report will commence following the end of follow up of the final participant. However, analysis of 6</w:t>
      </w:r>
      <w:r w:rsidR="00743907">
        <w:t>/7</w:t>
      </w:r>
      <w:r>
        <w:t xml:space="preserve"> month</w:t>
      </w:r>
      <w:r w:rsidR="00985BD4">
        <w:t xml:space="preserve"> (185/215 days)</w:t>
      </w:r>
      <w:r>
        <w:t xml:space="preserve"> data (the primary outcome timepoint) may commence once the </w:t>
      </w:r>
      <w:proofErr w:type="gramStart"/>
      <w:r>
        <w:t>6</w:t>
      </w:r>
      <w:r w:rsidR="00743907">
        <w:t>/7</w:t>
      </w:r>
      <w:r>
        <w:t xml:space="preserve"> month</w:t>
      </w:r>
      <w:proofErr w:type="gramEnd"/>
      <w:r>
        <w:t xml:space="preserve"> outcome has been obtained in all participants.</w:t>
      </w:r>
    </w:p>
    <w:p w14:paraId="74FAD806" w14:textId="01990967" w:rsidR="001F2A78" w:rsidRDefault="001F2A78" w:rsidP="002E5609">
      <w:pPr>
        <w:jc w:val="both"/>
      </w:pPr>
    </w:p>
    <w:p w14:paraId="670A54C9" w14:textId="77777777" w:rsidR="00295D0A" w:rsidRDefault="00295D0A" w:rsidP="002E5609">
      <w:pPr>
        <w:jc w:val="both"/>
      </w:pPr>
    </w:p>
    <w:p w14:paraId="0459C006" w14:textId="77777777" w:rsidR="00FE249E" w:rsidRPr="00FE249E" w:rsidRDefault="00FE249E" w:rsidP="00FE249E">
      <w:pPr>
        <w:keepNext/>
        <w:keepLines/>
        <w:spacing w:before="40" w:after="0"/>
        <w:outlineLvl w:val="1"/>
        <w:rPr>
          <w:rFonts w:asciiTheme="majorHAnsi" w:eastAsiaTheme="majorEastAsia" w:hAnsiTheme="majorHAnsi" w:cstheme="majorBidi"/>
          <w:color w:val="2E74B5" w:themeColor="accent1" w:themeShade="BF"/>
          <w:sz w:val="26"/>
          <w:szCs w:val="26"/>
        </w:rPr>
      </w:pPr>
      <w:r w:rsidRPr="00FE249E">
        <w:rPr>
          <w:rFonts w:asciiTheme="majorHAnsi" w:eastAsiaTheme="majorEastAsia" w:hAnsiTheme="majorHAnsi" w:cstheme="majorBidi"/>
          <w:color w:val="2E74B5" w:themeColor="accent1" w:themeShade="BF"/>
          <w:sz w:val="26"/>
          <w:szCs w:val="26"/>
        </w:rPr>
        <w:t>Missing Data</w:t>
      </w:r>
    </w:p>
    <w:p w14:paraId="02284D99" w14:textId="77777777" w:rsidR="00FE249E" w:rsidRPr="00FE249E" w:rsidRDefault="00FE249E" w:rsidP="00FE249E">
      <w:pPr>
        <w:keepNext/>
        <w:keepLines/>
        <w:spacing w:before="40" w:after="0"/>
        <w:outlineLvl w:val="2"/>
        <w:rPr>
          <w:rFonts w:asciiTheme="majorHAnsi" w:eastAsiaTheme="majorEastAsia" w:hAnsiTheme="majorHAnsi" w:cstheme="majorBidi"/>
          <w:color w:val="1F4D78" w:themeColor="accent1" w:themeShade="7F"/>
          <w:sz w:val="24"/>
          <w:szCs w:val="24"/>
        </w:rPr>
      </w:pPr>
      <w:r w:rsidRPr="00FE249E">
        <w:rPr>
          <w:rFonts w:asciiTheme="majorHAnsi" w:eastAsiaTheme="majorEastAsia" w:hAnsiTheme="majorHAnsi" w:cstheme="majorBidi"/>
          <w:color w:val="1F4D78" w:themeColor="accent1" w:themeShade="7F"/>
          <w:sz w:val="24"/>
          <w:szCs w:val="24"/>
        </w:rPr>
        <w:t>Missing covariate data</w:t>
      </w:r>
    </w:p>
    <w:p w14:paraId="5F358886" w14:textId="77777777" w:rsidR="00FE249E" w:rsidRPr="00FE249E" w:rsidRDefault="00FE249E" w:rsidP="00FE249E"/>
    <w:p w14:paraId="23C36163" w14:textId="77777777" w:rsidR="00FE249E" w:rsidRPr="00FE249E" w:rsidRDefault="00FE249E" w:rsidP="00FE249E">
      <w:r w:rsidRPr="00FE249E">
        <w:t>Since only the stratification variables are to be adjusted for in analyses, and these are anticipated to be complete (since they are required for randomisation), no action is required for missing covariate data.</w:t>
      </w:r>
    </w:p>
    <w:p w14:paraId="197BE23E" w14:textId="77777777" w:rsidR="00FE249E" w:rsidRPr="00FE249E" w:rsidRDefault="00FE249E" w:rsidP="00FE249E"/>
    <w:p w14:paraId="40A31EBE" w14:textId="77777777" w:rsidR="00FE249E" w:rsidRPr="00FE249E" w:rsidRDefault="00FE249E" w:rsidP="00FE249E">
      <w:pPr>
        <w:keepNext/>
        <w:keepLines/>
        <w:spacing w:before="40" w:after="0"/>
        <w:outlineLvl w:val="2"/>
        <w:rPr>
          <w:rFonts w:asciiTheme="majorHAnsi" w:eastAsiaTheme="majorEastAsia" w:hAnsiTheme="majorHAnsi" w:cstheme="majorBidi"/>
          <w:color w:val="1F4D78" w:themeColor="accent1" w:themeShade="7F"/>
          <w:sz w:val="24"/>
          <w:szCs w:val="24"/>
        </w:rPr>
      </w:pPr>
      <w:r w:rsidRPr="00FE249E">
        <w:rPr>
          <w:rFonts w:asciiTheme="majorHAnsi" w:eastAsiaTheme="majorEastAsia" w:hAnsiTheme="majorHAnsi" w:cstheme="majorBidi"/>
          <w:color w:val="1F4D78" w:themeColor="accent1" w:themeShade="7F"/>
          <w:sz w:val="24"/>
          <w:szCs w:val="24"/>
        </w:rPr>
        <w:t>Missing outcome data</w:t>
      </w:r>
    </w:p>
    <w:p w14:paraId="4187B67F" w14:textId="3DE7C6D5" w:rsidR="003E7981" w:rsidRDefault="003E7981" w:rsidP="002E5609">
      <w:pPr>
        <w:jc w:val="both"/>
      </w:pPr>
    </w:p>
    <w:p w14:paraId="114F2210" w14:textId="77777777" w:rsidR="00EF58AD" w:rsidRDefault="00EF58AD" w:rsidP="00EF58AD">
      <w:r>
        <w:lastRenderedPageBreak/>
        <w:t xml:space="preserve">Missing outcome data are anticipated due to the duration of the study. Any analysis in the presence of missing data will be subject to assumptions. We will conduct the primary analysis under one set of </w:t>
      </w:r>
      <w:proofErr w:type="gramStart"/>
      <w:r>
        <w:t>assumptions, but</w:t>
      </w:r>
      <w:proofErr w:type="gramEnd"/>
      <w:r>
        <w:t xml:space="preserve"> will perform sensitivity analyses allowing the assumption to vary. </w:t>
      </w:r>
    </w:p>
    <w:p w14:paraId="23DA7A2F" w14:textId="2BCDCFD8" w:rsidR="00EF58AD" w:rsidRDefault="00EF58AD" w:rsidP="00EF58AD">
      <w:r>
        <w:t xml:space="preserve">For the analysis of CLBR at 6 </w:t>
      </w:r>
      <w:r w:rsidR="001A0569">
        <w:t xml:space="preserve">and 7 </w:t>
      </w:r>
      <w:r>
        <w:t>months, we will perform analyses assuming:</w:t>
      </w:r>
    </w:p>
    <w:p w14:paraId="0F8E23A9" w14:textId="77777777" w:rsidR="00EF58AD" w:rsidRDefault="00EF58AD" w:rsidP="00EF58AD">
      <w:pPr>
        <w:pStyle w:val="ListParagraph"/>
        <w:numPr>
          <w:ilvl w:val="0"/>
          <w:numId w:val="2"/>
        </w:numPr>
      </w:pPr>
      <w:r>
        <w:t>That the data are ‘missing at random’ given site and age (complete case analysis).</w:t>
      </w:r>
    </w:p>
    <w:p w14:paraId="5AFAC1EA" w14:textId="77777777" w:rsidR="00EF58AD" w:rsidRDefault="00EF58AD" w:rsidP="00EF58AD">
      <w:pPr>
        <w:pStyle w:val="ListParagraph"/>
        <w:numPr>
          <w:ilvl w:val="0"/>
          <w:numId w:val="2"/>
        </w:numPr>
      </w:pPr>
      <w:r>
        <w:t>That the patients with missing outcome data did not have a live birth, unless they were pregnant at the time of loss to follow up.</w:t>
      </w:r>
    </w:p>
    <w:p w14:paraId="7FC3B04B" w14:textId="2D119D67" w:rsidR="00EF58AD" w:rsidRDefault="00EF58AD" w:rsidP="002E5609">
      <w:pPr>
        <w:jc w:val="both"/>
      </w:pPr>
    </w:p>
    <w:p w14:paraId="19F29EA3" w14:textId="77777777" w:rsidR="004E42BA" w:rsidRDefault="004E42BA" w:rsidP="004E42BA">
      <w:pPr>
        <w:pStyle w:val="Heading2"/>
      </w:pPr>
      <w:r>
        <w:t>Assumptions</w:t>
      </w:r>
    </w:p>
    <w:p w14:paraId="0BBC88B8" w14:textId="77777777" w:rsidR="004E42BA" w:rsidRDefault="004E42BA" w:rsidP="004E42BA"/>
    <w:p w14:paraId="17D04B5E" w14:textId="5AD5A27B" w:rsidR="004E42BA" w:rsidRDefault="004E42BA" w:rsidP="004E42BA">
      <w:pPr>
        <w:jc w:val="both"/>
      </w:pPr>
      <w:r>
        <w:t>The specified primary analysis is not contingent on checking of assumptions.</w:t>
      </w:r>
    </w:p>
    <w:p w14:paraId="75796FF7" w14:textId="389D86F1" w:rsidR="003061B8" w:rsidRDefault="003061B8" w:rsidP="002E5609">
      <w:pPr>
        <w:jc w:val="both"/>
      </w:pPr>
    </w:p>
    <w:p w14:paraId="0E4E95BC" w14:textId="77D2FA07" w:rsidR="00064DE5" w:rsidRDefault="00064DE5" w:rsidP="002E5609">
      <w:pPr>
        <w:jc w:val="both"/>
      </w:pPr>
    </w:p>
    <w:p w14:paraId="5F0B1C2C" w14:textId="77777777" w:rsidR="00064DE5" w:rsidRPr="002675DE" w:rsidRDefault="00064DE5" w:rsidP="00064DE5">
      <w:pPr>
        <w:pStyle w:val="Heading1"/>
        <w:rPr>
          <w:b/>
        </w:rPr>
      </w:pPr>
      <w:r w:rsidRPr="002675DE">
        <w:rPr>
          <w:b/>
        </w:rPr>
        <w:t>Study population</w:t>
      </w:r>
    </w:p>
    <w:p w14:paraId="4844BD4B" w14:textId="77777777" w:rsidR="00064DE5" w:rsidRPr="002675DE" w:rsidRDefault="00064DE5" w:rsidP="00064DE5">
      <w:pPr>
        <w:pStyle w:val="Heading2"/>
      </w:pPr>
      <w:r w:rsidRPr="002675DE">
        <w:t>Screening data</w:t>
      </w:r>
    </w:p>
    <w:p w14:paraId="101EC303" w14:textId="77777777" w:rsidR="00064DE5" w:rsidRDefault="00064DE5" w:rsidP="00064DE5">
      <w:pPr>
        <w:rPr>
          <w:rFonts w:ascii="Calibri" w:hAnsi="Calibri"/>
        </w:rPr>
      </w:pPr>
      <w:r>
        <w:rPr>
          <w:rFonts w:ascii="Calibri" w:hAnsi="Calibri"/>
        </w:rPr>
        <w:t>No formal analysis of factors associated with participation are planned.</w:t>
      </w:r>
    </w:p>
    <w:p w14:paraId="072BF8A0" w14:textId="77777777" w:rsidR="00064DE5" w:rsidRPr="002675DE" w:rsidRDefault="00064DE5" w:rsidP="00064DE5">
      <w:pPr>
        <w:pStyle w:val="Heading2"/>
      </w:pPr>
      <w:r w:rsidRPr="002675DE">
        <w:t>Eligibility</w:t>
      </w:r>
    </w:p>
    <w:p w14:paraId="3CEDBDE2" w14:textId="77777777" w:rsidR="00064DE5" w:rsidRDefault="00064DE5" w:rsidP="00064DE5">
      <w:pPr>
        <w:rPr>
          <w:rFonts w:ascii="Calibri" w:hAnsi="Calibri"/>
        </w:rPr>
      </w:pPr>
      <w:r>
        <w:rPr>
          <w:rFonts w:ascii="Calibri" w:hAnsi="Calibri"/>
        </w:rPr>
        <w:t>The proportion of eligible participants from those screened, and reasons for ineligibility, will be tabulated.</w:t>
      </w:r>
    </w:p>
    <w:p w14:paraId="079A63F1" w14:textId="77777777" w:rsidR="00064DE5" w:rsidRPr="002675DE" w:rsidRDefault="00064DE5" w:rsidP="00064DE5">
      <w:pPr>
        <w:pStyle w:val="Heading2"/>
      </w:pPr>
      <w:r w:rsidRPr="002675DE">
        <w:t>Recruitment and Attrition</w:t>
      </w:r>
    </w:p>
    <w:p w14:paraId="48F8CA0D" w14:textId="186B8DE6" w:rsidR="00064DE5" w:rsidRDefault="00064DE5" w:rsidP="00064DE5">
      <w:pPr>
        <w:rPr>
          <w:rFonts w:ascii="Calibri" w:hAnsi="Calibri"/>
        </w:rPr>
      </w:pPr>
      <w:r>
        <w:rPr>
          <w:rFonts w:ascii="Calibri" w:hAnsi="Calibri"/>
        </w:rPr>
        <w:t>The numbers screened, eligible, consenting, participating and contributing outcome data at each point (</w:t>
      </w:r>
      <w:proofErr w:type="gramStart"/>
      <w:r>
        <w:rPr>
          <w:rFonts w:ascii="Calibri" w:hAnsi="Calibri"/>
        </w:rPr>
        <w:t>6</w:t>
      </w:r>
      <w:r w:rsidR="000D3D25">
        <w:rPr>
          <w:rFonts w:ascii="Calibri" w:hAnsi="Calibri"/>
        </w:rPr>
        <w:t>/7</w:t>
      </w:r>
      <w:r>
        <w:rPr>
          <w:rFonts w:ascii="Calibri" w:hAnsi="Calibri"/>
        </w:rPr>
        <w:t xml:space="preserve"> and 18</w:t>
      </w:r>
      <w:r w:rsidR="000D3D25">
        <w:rPr>
          <w:rFonts w:ascii="Calibri" w:hAnsi="Calibri"/>
        </w:rPr>
        <w:t>/20</w:t>
      </w:r>
      <w:r>
        <w:rPr>
          <w:rFonts w:ascii="Calibri" w:hAnsi="Calibri"/>
        </w:rPr>
        <w:t xml:space="preserve"> month</w:t>
      </w:r>
      <w:proofErr w:type="gramEnd"/>
      <w:r>
        <w:rPr>
          <w:rFonts w:ascii="Calibri" w:hAnsi="Calibri"/>
        </w:rPr>
        <w:t xml:space="preserve"> assessments) will be presented in the form of a CONSORT flow diagram.  </w:t>
      </w:r>
    </w:p>
    <w:p w14:paraId="0B6C22BA" w14:textId="77777777" w:rsidR="00064DE5" w:rsidRPr="002675DE" w:rsidRDefault="00064DE5" w:rsidP="00064DE5">
      <w:pPr>
        <w:pStyle w:val="Heading2"/>
      </w:pPr>
      <w:r w:rsidRPr="002675DE">
        <w:t>Baseline Characteristics</w:t>
      </w:r>
    </w:p>
    <w:p w14:paraId="4E7CF06B" w14:textId="77777777" w:rsidR="00064DE5" w:rsidRDefault="00064DE5" w:rsidP="00064DE5">
      <w:pPr>
        <w:rPr>
          <w:rFonts w:ascii="Calibri" w:hAnsi="Calibri"/>
        </w:rPr>
      </w:pPr>
      <w:r>
        <w:rPr>
          <w:rFonts w:ascii="Calibri" w:hAnsi="Calibri"/>
        </w:rPr>
        <w:t>The following table will be presented to summarise baseline characteristics of all randomised participants.</w:t>
      </w:r>
    </w:p>
    <w:p w14:paraId="2A201137" w14:textId="77777777" w:rsidR="00064DE5" w:rsidRPr="00FA455B" w:rsidRDefault="00064DE5" w:rsidP="00064DE5"/>
    <w:tbl>
      <w:tblPr>
        <w:tblStyle w:val="TableGrid"/>
        <w:tblW w:w="0" w:type="auto"/>
        <w:tblLook w:val="04A0" w:firstRow="1" w:lastRow="0" w:firstColumn="1" w:lastColumn="0" w:noHBand="0" w:noVBand="1"/>
      </w:tblPr>
      <w:tblGrid>
        <w:gridCol w:w="2093"/>
        <w:gridCol w:w="1858"/>
        <w:gridCol w:w="2000"/>
        <w:gridCol w:w="2000"/>
      </w:tblGrid>
      <w:tr w:rsidR="00064DE5" w14:paraId="3081B55F" w14:textId="77777777" w:rsidTr="00042ECF">
        <w:tc>
          <w:tcPr>
            <w:tcW w:w="2093" w:type="dxa"/>
          </w:tcPr>
          <w:p w14:paraId="2B412461" w14:textId="77777777" w:rsidR="00064DE5" w:rsidRPr="0057449B" w:rsidRDefault="00064DE5" w:rsidP="00042ECF">
            <w:pPr>
              <w:rPr>
                <w:rFonts w:cstheme="minorHAnsi"/>
                <w:iCs/>
                <w:color w:val="000000" w:themeColor="text1"/>
                <w:sz w:val="20"/>
                <w:szCs w:val="20"/>
              </w:rPr>
            </w:pPr>
          </w:p>
        </w:tc>
        <w:tc>
          <w:tcPr>
            <w:tcW w:w="1858" w:type="dxa"/>
          </w:tcPr>
          <w:p w14:paraId="7D1D55F5" w14:textId="77777777" w:rsidR="00064DE5" w:rsidRPr="0057449B" w:rsidRDefault="00064DE5" w:rsidP="00042ECF">
            <w:pPr>
              <w:jc w:val="center"/>
              <w:rPr>
                <w:rFonts w:cstheme="minorHAnsi"/>
                <w:iCs/>
                <w:color w:val="000000" w:themeColor="text1"/>
                <w:sz w:val="20"/>
                <w:szCs w:val="20"/>
              </w:rPr>
            </w:pPr>
            <w:r w:rsidRPr="0057449B">
              <w:rPr>
                <w:rFonts w:cstheme="minorHAnsi"/>
                <w:iCs/>
                <w:color w:val="000000" w:themeColor="text1"/>
                <w:sz w:val="20"/>
                <w:szCs w:val="20"/>
              </w:rPr>
              <w:t>Total</w:t>
            </w:r>
          </w:p>
        </w:tc>
        <w:tc>
          <w:tcPr>
            <w:tcW w:w="2000" w:type="dxa"/>
          </w:tcPr>
          <w:p w14:paraId="69778519" w14:textId="77777777" w:rsidR="00064DE5" w:rsidRPr="0057449B" w:rsidRDefault="00064DE5" w:rsidP="00042ECF">
            <w:pPr>
              <w:jc w:val="center"/>
              <w:rPr>
                <w:rFonts w:cstheme="minorHAnsi"/>
                <w:iCs/>
                <w:color w:val="000000" w:themeColor="text1"/>
                <w:sz w:val="20"/>
                <w:szCs w:val="20"/>
              </w:rPr>
            </w:pPr>
            <w:r w:rsidRPr="0057449B">
              <w:rPr>
                <w:rFonts w:cstheme="minorHAnsi"/>
                <w:iCs/>
                <w:color w:val="000000" w:themeColor="text1"/>
                <w:sz w:val="20"/>
                <w:szCs w:val="20"/>
              </w:rPr>
              <w:t>Group A</w:t>
            </w:r>
          </w:p>
        </w:tc>
        <w:tc>
          <w:tcPr>
            <w:tcW w:w="2000" w:type="dxa"/>
          </w:tcPr>
          <w:p w14:paraId="2939FBE8" w14:textId="77777777" w:rsidR="00064DE5" w:rsidRPr="0057449B" w:rsidRDefault="00064DE5" w:rsidP="00042ECF">
            <w:pPr>
              <w:jc w:val="center"/>
              <w:rPr>
                <w:rFonts w:cstheme="minorHAnsi"/>
                <w:iCs/>
                <w:color w:val="000000" w:themeColor="text1"/>
                <w:sz w:val="20"/>
                <w:szCs w:val="20"/>
              </w:rPr>
            </w:pPr>
            <w:r w:rsidRPr="0057449B">
              <w:rPr>
                <w:rFonts w:cstheme="minorHAnsi"/>
                <w:iCs/>
                <w:color w:val="000000" w:themeColor="text1"/>
                <w:sz w:val="20"/>
                <w:szCs w:val="20"/>
              </w:rPr>
              <w:t>Group B</w:t>
            </w:r>
          </w:p>
        </w:tc>
      </w:tr>
      <w:tr w:rsidR="00064DE5" w14:paraId="3B9AC55D" w14:textId="77777777" w:rsidTr="00042ECF">
        <w:tc>
          <w:tcPr>
            <w:tcW w:w="2093" w:type="dxa"/>
          </w:tcPr>
          <w:p w14:paraId="7B17B8ED" w14:textId="77777777" w:rsidR="00064DE5" w:rsidRPr="0057449B" w:rsidRDefault="00064DE5" w:rsidP="00042ECF">
            <w:pPr>
              <w:rPr>
                <w:rFonts w:cstheme="minorHAnsi"/>
                <w:iCs/>
                <w:color w:val="000000" w:themeColor="text1"/>
                <w:sz w:val="20"/>
                <w:szCs w:val="20"/>
              </w:rPr>
            </w:pPr>
            <w:r w:rsidRPr="0057449B">
              <w:rPr>
                <w:rFonts w:cstheme="minorHAnsi"/>
                <w:iCs/>
                <w:color w:val="000000" w:themeColor="text1"/>
                <w:sz w:val="20"/>
                <w:szCs w:val="20"/>
              </w:rPr>
              <w:t>Randomized</w:t>
            </w:r>
          </w:p>
        </w:tc>
        <w:tc>
          <w:tcPr>
            <w:tcW w:w="1858" w:type="dxa"/>
          </w:tcPr>
          <w:p w14:paraId="581E5DDF" w14:textId="77777777" w:rsidR="00064DE5" w:rsidRPr="0057449B" w:rsidRDefault="00064DE5" w:rsidP="00042ECF">
            <w:pPr>
              <w:jc w:val="center"/>
              <w:rPr>
                <w:rFonts w:cstheme="minorHAnsi"/>
                <w:iCs/>
                <w:color w:val="000000" w:themeColor="text1"/>
                <w:sz w:val="20"/>
                <w:szCs w:val="20"/>
              </w:rPr>
            </w:pPr>
            <w:r w:rsidRPr="0057449B">
              <w:rPr>
                <w:rFonts w:cstheme="minorHAnsi"/>
                <w:iCs/>
                <w:color w:val="000000" w:themeColor="text1"/>
                <w:sz w:val="20"/>
                <w:szCs w:val="20"/>
              </w:rPr>
              <w:t>N</w:t>
            </w:r>
          </w:p>
        </w:tc>
        <w:tc>
          <w:tcPr>
            <w:tcW w:w="2000" w:type="dxa"/>
          </w:tcPr>
          <w:p w14:paraId="200424EE" w14:textId="77777777" w:rsidR="00064DE5" w:rsidRPr="0057449B" w:rsidRDefault="00064DE5" w:rsidP="00042ECF">
            <w:pPr>
              <w:jc w:val="center"/>
              <w:rPr>
                <w:rFonts w:cstheme="minorHAnsi"/>
                <w:iCs/>
                <w:color w:val="000000" w:themeColor="text1"/>
                <w:sz w:val="20"/>
                <w:szCs w:val="20"/>
              </w:rPr>
            </w:pPr>
            <w:r w:rsidRPr="0057449B">
              <w:rPr>
                <w:rFonts w:cstheme="minorHAnsi"/>
                <w:iCs/>
                <w:color w:val="000000" w:themeColor="text1"/>
                <w:sz w:val="20"/>
                <w:szCs w:val="20"/>
              </w:rPr>
              <w:t>N</w:t>
            </w:r>
          </w:p>
        </w:tc>
        <w:tc>
          <w:tcPr>
            <w:tcW w:w="2000" w:type="dxa"/>
          </w:tcPr>
          <w:p w14:paraId="5A098E09" w14:textId="77777777" w:rsidR="00064DE5" w:rsidRPr="0057449B" w:rsidRDefault="00064DE5" w:rsidP="00042ECF">
            <w:pPr>
              <w:jc w:val="center"/>
              <w:rPr>
                <w:rFonts w:cstheme="minorHAnsi"/>
                <w:iCs/>
                <w:color w:val="000000" w:themeColor="text1"/>
                <w:sz w:val="20"/>
                <w:szCs w:val="20"/>
              </w:rPr>
            </w:pPr>
            <w:r w:rsidRPr="0057449B">
              <w:rPr>
                <w:rFonts w:cstheme="minorHAnsi"/>
                <w:iCs/>
                <w:color w:val="000000" w:themeColor="text1"/>
                <w:sz w:val="20"/>
                <w:szCs w:val="20"/>
              </w:rPr>
              <w:t>N</w:t>
            </w:r>
          </w:p>
        </w:tc>
      </w:tr>
      <w:tr w:rsidR="00064DE5" w14:paraId="606D6258" w14:textId="77777777" w:rsidTr="00042ECF">
        <w:tc>
          <w:tcPr>
            <w:tcW w:w="2093" w:type="dxa"/>
          </w:tcPr>
          <w:p w14:paraId="3B924F50" w14:textId="77777777" w:rsidR="00064DE5" w:rsidRPr="0057449B" w:rsidRDefault="00064DE5" w:rsidP="00042ECF">
            <w:pPr>
              <w:rPr>
                <w:rFonts w:cstheme="minorHAnsi"/>
                <w:iCs/>
                <w:color w:val="000000" w:themeColor="text1"/>
                <w:sz w:val="20"/>
                <w:szCs w:val="20"/>
              </w:rPr>
            </w:pPr>
            <w:r>
              <w:rPr>
                <w:rFonts w:cstheme="minorHAnsi"/>
                <w:iCs/>
                <w:color w:val="000000" w:themeColor="text1"/>
                <w:sz w:val="20"/>
                <w:szCs w:val="20"/>
              </w:rPr>
              <w:t>Age</w:t>
            </w:r>
          </w:p>
        </w:tc>
        <w:tc>
          <w:tcPr>
            <w:tcW w:w="1858" w:type="dxa"/>
          </w:tcPr>
          <w:p w14:paraId="76F97152" w14:textId="77777777" w:rsidR="00064DE5" w:rsidRPr="007019F0" w:rsidRDefault="00064DE5" w:rsidP="00042ECF">
            <w:pPr>
              <w:jc w:val="center"/>
              <w:rPr>
                <w:rFonts w:cstheme="minorHAnsi"/>
                <w:color w:val="000000" w:themeColor="text1"/>
                <w:sz w:val="20"/>
                <w:szCs w:val="20"/>
              </w:rPr>
            </w:pPr>
            <w:r>
              <w:rPr>
                <w:rFonts w:cstheme="minorHAnsi"/>
                <w:color w:val="000000" w:themeColor="text1"/>
                <w:sz w:val="20"/>
                <w:szCs w:val="20"/>
              </w:rPr>
              <w:t>Mean</w:t>
            </w:r>
          </w:p>
        </w:tc>
        <w:tc>
          <w:tcPr>
            <w:tcW w:w="2000" w:type="dxa"/>
          </w:tcPr>
          <w:p w14:paraId="5A7D5F02" w14:textId="77777777" w:rsidR="00064DE5" w:rsidRPr="007019F0" w:rsidRDefault="00064DE5" w:rsidP="00042ECF">
            <w:pPr>
              <w:jc w:val="center"/>
              <w:rPr>
                <w:rFonts w:cstheme="minorHAnsi"/>
                <w:color w:val="000000" w:themeColor="text1"/>
                <w:sz w:val="20"/>
                <w:szCs w:val="20"/>
              </w:rPr>
            </w:pPr>
            <w:r>
              <w:rPr>
                <w:rFonts w:cstheme="minorHAnsi"/>
                <w:color w:val="000000" w:themeColor="text1"/>
                <w:sz w:val="20"/>
                <w:szCs w:val="20"/>
              </w:rPr>
              <w:t>Mean</w:t>
            </w:r>
          </w:p>
        </w:tc>
        <w:tc>
          <w:tcPr>
            <w:tcW w:w="2000" w:type="dxa"/>
          </w:tcPr>
          <w:p w14:paraId="16B2B243" w14:textId="77777777" w:rsidR="00064DE5" w:rsidRPr="007019F0" w:rsidRDefault="00064DE5" w:rsidP="00042ECF">
            <w:pPr>
              <w:jc w:val="center"/>
              <w:rPr>
                <w:rFonts w:cstheme="minorHAnsi"/>
                <w:color w:val="000000" w:themeColor="text1"/>
                <w:sz w:val="20"/>
                <w:szCs w:val="20"/>
              </w:rPr>
            </w:pPr>
            <w:r>
              <w:rPr>
                <w:rFonts w:cstheme="minorHAnsi"/>
                <w:color w:val="000000" w:themeColor="text1"/>
                <w:sz w:val="20"/>
                <w:szCs w:val="20"/>
              </w:rPr>
              <w:t>Mean</w:t>
            </w:r>
          </w:p>
        </w:tc>
      </w:tr>
      <w:tr w:rsidR="00064DE5" w14:paraId="76C77952" w14:textId="77777777" w:rsidTr="00042ECF">
        <w:trPr>
          <w:trHeight w:val="246"/>
        </w:trPr>
        <w:tc>
          <w:tcPr>
            <w:tcW w:w="2093" w:type="dxa"/>
          </w:tcPr>
          <w:p w14:paraId="5F62B809" w14:textId="77777777" w:rsidR="00064DE5" w:rsidRPr="00193845" w:rsidRDefault="00064DE5" w:rsidP="00042ECF">
            <w:pPr>
              <w:rPr>
                <w:rFonts w:cstheme="minorHAnsi"/>
                <w:color w:val="000000" w:themeColor="text1"/>
                <w:sz w:val="20"/>
                <w:szCs w:val="20"/>
              </w:rPr>
            </w:pPr>
            <w:r>
              <w:rPr>
                <w:rFonts w:cstheme="minorHAnsi"/>
                <w:color w:val="000000" w:themeColor="text1"/>
                <w:sz w:val="20"/>
                <w:szCs w:val="20"/>
              </w:rPr>
              <w:t>Age by strata &lt;36yo</w:t>
            </w:r>
          </w:p>
        </w:tc>
        <w:tc>
          <w:tcPr>
            <w:tcW w:w="1858" w:type="dxa"/>
          </w:tcPr>
          <w:p w14:paraId="693B2AF3" w14:textId="77777777" w:rsidR="00064DE5" w:rsidRPr="007019F0" w:rsidRDefault="00064DE5" w:rsidP="00042ECF">
            <w:pPr>
              <w:jc w:val="center"/>
              <w:rPr>
                <w:rFonts w:cstheme="minorHAnsi"/>
                <w:color w:val="000000" w:themeColor="text1"/>
                <w:sz w:val="20"/>
                <w:szCs w:val="20"/>
              </w:rPr>
            </w:pPr>
            <w:r>
              <w:rPr>
                <w:rFonts w:cstheme="minorHAnsi"/>
                <w:color w:val="000000" w:themeColor="text1"/>
                <w:sz w:val="20"/>
                <w:szCs w:val="20"/>
              </w:rPr>
              <w:t>%</w:t>
            </w:r>
          </w:p>
        </w:tc>
        <w:tc>
          <w:tcPr>
            <w:tcW w:w="2000" w:type="dxa"/>
          </w:tcPr>
          <w:p w14:paraId="1DEBABE2" w14:textId="77777777" w:rsidR="00064DE5" w:rsidRPr="0057449B" w:rsidRDefault="00064DE5" w:rsidP="00042ECF">
            <w:pPr>
              <w:jc w:val="center"/>
              <w:rPr>
                <w:rFonts w:cstheme="minorHAnsi"/>
                <w:i/>
                <w:color w:val="000000" w:themeColor="text1"/>
                <w:sz w:val="20"/>
                <w:szCs w:val="20"/>
              </w:rPr>
            </w:pPr>
            <w:r>
              <w:rPr>
                <w:rFonts w:cstheme="minorHAnsi"/>
                <w:i/>
                <w:color w:val="000000" w:themeColor="text1"/>
                <w:sz w:val="20"/>
                <w:szCs w:val="20"/>
              </w:rPr>
              <w:t>%</w:t>
            </w:r>
          </w:p>
        </w:tc>
        <w:tc>
          <w:tcPr>
            <w:tcW w:w="2000" w:type="dxa"/>
          </w:tcPr>
          <w:p w14:paraId="752DBD63" w14:textId="77777777" w:rsidR="00064DE5" w:rsidRPr="0057449B" w:rsidRDefault="00064DE5" w:rsidP="00042ECF">
            <w:pPr>
              <w:jc w:val="center"/>
              <w:rPr>
                <w:rFonts w:cstheme="minorHAnsi"/>
                <w:i/>
                <w:color w:val="000000" w:themeColor="text1"/>
                <w:sz w:val="20"/>
                <w:szCs w:val="20"/>
              </w:rPr>
            </w:pPr>
            <w:r>
              <w:rPr>
                <w:rFonts w:cstheme="minorHAnsi"/>
                <w:i/>
                <w:color w:val="000000" w:themeColor="text1"/>
                <w:sz w:val="20"/>
                <w:szCs w:val="20"/>
              </w:rPr>
              <w:t>%</w:t>
            </w:r>
          </w:p>
        </w:tc>
      </w:tr>
      <w:tr w:rsidR="00064DE5" w14:paraId="2A6F08AF" w14:textId="77777777" w:rsidTr="00042ECF">
        <w:trPr>
          <w:trHeight w:val="246"/>
        </w:trPr>
        <w:tc>
          <w:tcPr>
            <w:tcW w:w="2093" w:type="dxa"/>
          </w:tcPr>
          <w:p w14:paraId="5D863074" w14:textId="77777777" w:rsidR="00064DE5" w:rsidRPr="00193845" w:rsidRDefault="00064DE5" w:rsidP="00042ECF">
            <w:pPr>
              <w:rPr>
                <w:rFonts w:cstheme="minorHAnsi"/>
                <w:color w:val="000000" w:themeColor="text1"/>
                <w:sz w:val="20"/>
                <w:szCs w:val="20"/>
              </w:rPr>
            </w:pPr>
            <w:r>
              <w:rPr>
                <w:rFonts w:cstheme="minorHAnsi"/>
                <w:color w:val="000000" w:themeColor="text1"/>
                <w:sz w:val="20"/>
                <w:szCs w:val="20"/>
              </w:rPr>
              <w:t>Age by strata &gt;/= 36yo</w:t>
            </w:r>
          </w:p>
        </w:tc>
        <w:tc>
          <w:tcPr>
            <w:tcW w:w="1858" w:type="dxa"/>
          </w:tcPr>
          <w:p w14:paraId="7FFDC11B" w14:textId="77777777" w:rsidR="00064DE5" w:rsidRPr="0057449B" w:rsidRDefault="00064DE5" w:rsidP="00042ECF">
            <w:pPr>
              <w:jc w:val="center"/>
              <w:rPr>
                <w:rFonts w:cstheme="minorHAnsi"/>
                <w:i/>
                <w:color w:val="000000" w:themeColor="text1"/>
                <w:sz w:val="20"/>
                <w:szCs w:val="20"/>
              </w:rPr>
            </w:pPr>
            <w:r>
              <w:rPr>
                <w:rFonts w:cstheme="minorHAnsi"/>
                <w:i/>
                <w:color w:val="000000" w:themeColor="text1"/>
                <w:sz w:val="20"/>
                <w:szCs w:val="20"/>
              </w:rPr>
              <w:t>%</w:t>
            </w:r>
          </w:p>
        </w:tc>
        <w:tc>
          <w:tcPr>
            <w:tcW w:w="2000" w:type="dxa"/>
          </w:tcPr>
          <w:p w14:paraId="44E62963" w14:textId="77777777" w:rsidR="00064DE5" w:rsidRPr="0057449B" w:rsidRDefault="00064DE5" w:rsidP="00042ECF">
            <w:pPr>
              <w:jc w:val="center"/>
              <w:rPr>
                <w:rFonts w:cstheme="minorHAnsi"/>
                <w:i/>
                <w:color w:val="000000" w:themeColor="text1"/>
                <w:sz w:val="20"/>
                <w:szCs w:val="20"/>
              </w:rPr>
            </w:pPr>
            <w:r>
              <w:rPr>
                <w:rFonts w:cstheme="minorHAnsi"/>
                <w:i/>
                <w:color w:val="000000" w:themeColor="text1"/>
                <w:sz w:val="20"/>
                <w:szCs w:val="20"/>
              </w:rPr>
              <w:t>%</w:t>
            </w:r>
          </w:p>
        </w:tc>
        <w:tc>
          <w:tcPr>
            <w:tcW w:w="2000" w:type="dxa"/>
          </w:tcPr>
          <w:p w14:paraId="4CCE891D" w14:textId="77777777" w:rsidR="00064DE5" w:rsidRPr="0057449B" w:rsidRDefault="00064DE5" w:rsidP="00042ECF">
            <w:pPr>
              <w:jc w:val="center"/>
              <w:rPr>
                <w:rFonts w:cstheme="minorHAnsi"/>
                <w:i/>
                <w:color w:val="000000" w:themeColor="text1"/>
                <w:sz w:val="20"/>
                <w:szCs w:val="20"/>
              </w:rPr>
            </w:pPr>
            <w:r>
              <w:rPr>
                <w:rFonts w:cstheme="minorHAnsi"/>
                <w:i/>
                <w:color w:val="000000" w:themeColor="text1"/>
                <w:sz w:val="20"/>
                <w:szCs w:val="20"/>
              </w:rPr>
              <w:t>%</w:t>
            </w:r>
          </w:p>
        </w:tc>
      </w:tr>
      <w:tr w:rsidR="00064DE5" w14:paraId="7D00E672" w14:textId="77777777" w:rsidTr="00042ECF">
        <w:trPr>
          <w:trHeight w:val="246"/>
        </w:trPr>
        <w:tc>
          <w:tcPr>
            <w:tcW w:w="2093" w:type="dxa"/>
          </w:tcPr>
          <w:p w14:paraId="00ACF1AD" w14:textId="77777777" w:rsidR="00064DE5" w:rsidRDefault="00064DE5" w:rsidP="00042ECF">
            <w:pPr>
              <w:rPr>
                <w:rFonts w:cstheme="minorHAnsi"/>
                <w:color w:val="000000" w:themeColor="text1"/>
                <w:sz w:val="20"/>
                <w:szCs w:val="20"/>
              </w:rPr>
            </w:pPr>
            <w:r>
              <w:rPr>
                <w:rFonts w:cstheme="minorHAnsi"/>
                <w:color w:val="000000" w:themeColor="text1"/>
                <w:sz w:val="20"/>
                <w:szCs w:val="20"/>
              </w:rPr>
              <w:t>BMI (kg/m2)</w:t>
            </w:r>
          </w:p>
        </w:tc>
        <w:tc>
          <w:tcPr>
            <w:tcW w:w="1858" w:type="dxa"/>
          </w:tcPr>
          <w:p w14:paraId="05C033FF" w14:textId="77777777" w:rsidR="00064DE5" w:rsidRDefault="00064DE5" w:rsidP="00042ECF">
            <w:pPr>
              <w:jc w:val="center"/>
              <w:rPr>
                <w:rFonts w:cstheme="minorHAnsi"/>
                <w:i/>
                <w:color w:val="000000" w:themeColor="text1"/>
                <w:sz w:val="20"/>
                <w:szCs w:val="20"/>
              </w:rPr>
            </w:pPr>
            <w:r>
              <w:rPr>
                <w:rFonts w:cstheme="minorHAnsi"/>
                <w:i/>
                <w:color w:val="000000" w:themeColor="text1"/>
                <w:sz w:val="20"/>
                <w:szCs w:val="20"/>
              </w:rPr>
              <w:t>mean</w:t>
            </w:r>
          </w:p>
        </w:tc>
        <w:tc>
          <w:tcPr>
            <w:tcW w:w="2000" w:type="dxa"/>
          </w:tcPr>
          <w:p w14:paraId="39976F51" w14:textId="77777777" w:rsidR="00064DE5" w:rsidRDefault="00064DE5" w:rsidP="00042ECF">
            <w:pPr>
              <w:jc w:val="center"/>
              <w:rPr>
                <w:rFonts w:cstheme="minorHAnsi"/>
                <w:i/>
                <w:color w:val="000000" w:themeColor="text1"/>
                <w:sz w:val="20"/>
                <w:szCs w:val="20"/>
              </w:rPr>
            </w:pPr>
            <w:r>
              <w:rPr>
                <w:rFonts w:cstheme="minorHAnsi"/>
                <w:i/>
                <w:color w:val="000000" w:themeColor="text1"/>
                <w:sz w:val="20"/>
                <w:szCs w:val="20"/>
              </w:rPr>
              <w:t>mean</w:t>
            </w:r>
          </w:p>
        </w:tc>
        <w:tc>
          <w:tcPr>
            <w:tcW w:w="2000" w:type="dxa"/>
          </w:tcPr>
          <w:p w14:paraId="019645D0" w14:textId="77777777" w:rsidR="00064DE5" w:rsidRDefault="00064DE5" w:rsidP="00042ECF">
            <w:pPr>
              <w:jc w:val="center"/>
              <w:rPr>
                <w:rFonts w:cstheme="minorHAnsi"/>
                <w:i/>
                <w:color w:val="000000" w:themeColor="text1"/>
                <w:sz w:val="20"/>
                <w:szCs w:val="20"/>
              </w:rPr>
            </w:pPr>
            <w:r>
              <w:rPr>
                <w:rFonts w:cstheme="minorHAnsi"/>
                <w:i/>
                <w:color w:val="000000" w:themeColor="text1"/>
                <w:sz w:val="20"/>
                <w:szCs w:val="20"/>
              </w:rPr>
              <w:t>mean</w:t>
            </w:r>
          </w:p>
        </w:tc>
      </w:tr>
      <w:tr w:rsidR="00064DE5" w14:paraId="41145177" w14:textId="77777777" w:rsidTr="00042ECF">
        <w:trPr>
          <w:trHeight w:val="246"/>
        </w:trPr>
        <w:tc>
          <w:tcPr>
            <w:tcW w:w="2093" w:type="dxa"/>
          </w:tcPr>
          <w:p w14:paraId="269591DD" w14:textId="77777777" w:rsidR="00064DE5" w:rsidRPr="00193845" w:rsidRDefault="00064DE5" w:rsidP="00042ECF">
            <w:pPr>
              <w:rPr>
                <w:rFonts w:cstheme="minorHAnsi"/>
                <w:color w:val="000000" w:themeColor="text1"/>
                <w:sz w:val="20"/>
                <w:szCs w:val="20"/>
              </w:rPr>
            </w:pPr>
            <w:r w:rsidRPr="00193845">
              <w:rPr>
                <w:rFonts w:cstheme="minorHAnsi"/>
                <w:color w:val="000000" w:themeColor="text1"/>
                <w:sz w:val="20"/>
                <w:szCs w:val="20"/>
              </w:rPr>
              <w:t xml:space="preserve">Duration of </w:t>
            </w:r>
            <w:proofErr w:type="gramStart"/>
            <w:r w:rsidRPr="00193845">
              <w:rPr>
                <w:rFonts w:cstheme="minorHAnsi"/>
                <w:color w:val="000000" w:themeColor="text1"/>
                <w:sz w:val="20"/>
                <w:szCs w:val="20"/>
              </w:rPr>
              <w:t xml:space="preserve">infertility </w:t>
            </w:r>
            <w:r>
              <w:rPr>
                <w:rFonts w:cstheme="minorHAnsi"/>
                <w:color w:val="000000" w:themeColor="text1"/>
                <w:sz w:val="20"/>
                <w:szCs w:val="20"/>
              </w:rPr>
              <w:t xml:space="preserve"> (</w:t>
            </w:r>
            <w:proofErr w:type="spellStart"/>
            <w:proofErr w:type="gramEnd"/>
            <w:r>
              <w:rPr>
                <w:rFonts w:cstheme="minorHAnsi"/>
                <w:color w:val="000000" w:themeColor="text1"/>
                <w:sz w:val="20"/>
                <w:szCs w:val="20"/>
              </w:rPr>
              <w:t>mo</w:t>
            </w:r>
            <w:proofErr w:type="spellEnd"/>
            <w:r>
              <w:rPr>
                <w:rFonts w:cstheme="minorHAnsi"/>
                <w:color w:val="000000" w:themeColor="text1"/>
                <w:sz w:val="20"/>
                <w:szCs w:val="20"/>
              </w:rPr>
              <w:t>)</w:t>
            </w:r>
          </w:p>
        </w:tc>
        <w:tc>
          <w:tcPr>
            <w:tcW w:w="1858" w:type="dxa"/>
          </w:tcPr>
          <w:p w14:paraId="53098042" w14:textId="77777777" w:rsidR="00064DE5" w:rsidRPr="00702027" w:rsidRDefault="00064DE5" w:rsidP="00042ECF">
            <w:pPr>
              <w:jc w:val="center"/>
              <w:rPr>
                <w:rFonts w:cstheme="minorHAnsi"/>
                <w:color w:val="000000" w:themeColor="text1"/>
                <w:sz w:val="20"/>
                <w:szCs w:val="20"/>
              </w:rPr>
            </w:pPr>
            <w:r w:rsidRPr="00702027">
              <w:rPr>
                <w:rFonts w:cstheme="minorHAnsi"/>
                <w:color w:val="000000" w:themeColor="text1"/>
                <w:sz w:val="20"/>
                <w:szCs w:val="20"/>
              </w:rPr>
              <w:t>Me</w:t>
            </w:r>
            <w:r>
              <w:rPr>
                <w:rFonts w:cstheme="minorHAnsi"/>
                <w:color w:val="000000" w:themeColor="text1"/>
                <w:sz w:val="20"/>
                <w:szCs w:val="20"/>
              </w:rPr>
              <w:t>dian</w:t>
            </w:r>
          </w:p>
        </w:tc>
        <w:tc>
          <w:tcPr>
            <w:tcW w:w="2000" w:type="dxa"/>
          </w:tcPr>
          <w:p w14:paraId="2E8A4DED" w14:textId="77777777" w:rsidR="00064DE5" w:rsidRPr="0057449B" w:rsidRDefault="00064DE5" w:rsidP="00042ECF">
            <w:pPr>
              <w:jc w:val="center"/>
              <w:rPr>
                <w:rFonts w:cstheme="minorHAnsi"/>
                <w:i/>
                <w:color w:val="000000" w:themeColor="text1"/>
                <w:sz w:val="20"/>
                <w:szCs w:val="20"/>
              </w:rPr>
            </w:pPr>
            <w:r w:rsidRPr="00702027">
              <w:rPr>
                <w:rFonts w:cstheme="minorHAnsi"/>
                <w:color w:val="000000" w:themeColor="text1"/>
                <w:sz w:val="20"/>
                <w:szCs w:val="20"/>
              </w:rPr>
              <w:t>Me</w:t>
            </w:r>
            <w:r>
              <w:rPr>
                <w:rFonts w:cstheme="minorHAnsi"/>
                <w:color w:val="000000" w:themeColor="text1"/>
                <w:sz w:val="20"/>
                <w:szCs w:val="20"/>
              </w:rPr>
              <w:t>dian</w:t>
            </w:r>
          </w:p>
        </w:tc>
        <w:tc>
          <w:tcPr>
            <w:tcW w:w="2000" w:type="dxa"/>
          </w:tcPr>
          <w:p w14:paraId="0ADC50CC" w14:textId="77777777" w:rsidR="00064DE5" w:rsidRPr="0057449B" w:rsidRDefault="00064DE5" w:rsidP="00042ECF">
            <w:pPr>
              <w:jc w:val="center"/>
              <w:rPr>
                <w:rFonts w:cstheme="minorHAnsi"/>
                <w:i/>
                <w:color w:val="000000" w:themeColor="text1"/>
                <w:sz w:val="20"/>
                <w:szCs w:val="20"/>
              </w:rPr>
            </w:pPr>
            <w:r w:rsidRPr="00702027">
              <w:rPr>
                <w:rFonts w:cstheme="minorHAnsi"/>
                <w:color w:val="000000" w:themeColor="text1"/>
                <w:sz w:val="20"/>
                <w:szCs w:val="20"/>
              </w:rPr>
              <w:t>Me</w:t>
            </w:r>
            <w:r>
              <w:rPr>
                <w:rFonts w:cstheme="minorHAnsi"/>
                <w:color w:val="000000" w:themeColor="text1"/>
                <w:sz w:val="20"/>
                <w:szCs w:val="20"/>
              </w:rPr>
              <w:t>dian</w:t>
            </w:r>
          </w:p>
        </w:tc>
      </w:tr>
      <w:tr w:rsidR="00064DE5" w14:paraId="4004F905" w14:textId="77777777" w:rsidTr="00042ECF">
        <w:trPr>
          <w:trHeight w:val="246"/>
        </w:trPr>
        <w:tc>
          <w:tcPr>
            <w:tcW w:w="2093" w:type="dxa"/>
          </w:tcPr>
          <w:p w14:paraId="43861447" w14:textId="77777777" w:rsidR="00064DE5" w:rsidRPr="00193845" w:rsidRDefault="00064DE5" w:rsidP="00042ECF">
            <w:pPr>
              <w:rPr>
                <w:rFonts w:cstheme="minorHAnsi"/>
                <w:color w:val="000000" w:themeColor="text1"/>
                <w:sz w:val="20"/>
                <w:szCs w:val="20"/>
              </w:rPr>
            </w:pPr>
            <w:r>
              <w:rPr>
                <w:rFonts w:cstheme="minorHAnsi"/>
                <w:color w:val="000000" w:themeColor="text1"/>
                <w:sz w:val="20"/>
                <w:szCs w:val="20"/>
              </w:rPr>
              <w:t>Ethnicity</w:t>
            </w:r>
          </w:p>
        </w:tc>
        <w:tc>
          <w:tcPr>
            <w:tcW w:w="1858" w:type="dxa"/>
          </w:tcPr>
          <w:p w14:paraId="09C4BDAA"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c>
          <w:tcPr>
            <w:tcW w:w="2000" w:type="dxa"/>
          </w:tcPr>
          <w:p w14:paraId="5BACDC60"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c>
          <w:tcPr>
            <w:tcW w:w="2000" w:type="dxa"/>
          </w:tcPr>
          <w:p w14:paraId="118F42DE"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r>
      <w:tr w:rsidR="00985BD4" w14:paraId="7A3FA805" w14:textId="77777777" w:rsidTr="0093493E">
        <w:trPr>
          <w:trHeight w:val="246"/>
        </w:trPr>
        <w:tc>
          <w:tcPr>
            <w:tcW w:w="2093" w:type="dxa"/>
            <w:vAlign w:val="bottom"/>
          </w:tcPr>
          <w:p w14:paraId="19D1FB67" w14:textId="46F7E95B" w:rsidR="00985BD4" w:rsidRPr="0093493E" w:rsidRDefault="00985BD4" w:rsidP="00985BD4">
            <w:pPr>
              <w:rPr>
                <w:rFonts w:cstheme="minorHAnsi"/>
                <w:color w:val="000000" w:themeColor="text1"/>
                <w:sz w:val="20"/>
                <w:szCs w:val="20"/>
              </w:rPr>
            </w:pPr>
            <w:r w:rsidRPr="0093493E">
              <w:rPr>
                <w:rFonts w:ascii="Calibri" w:eastAsia="Times New Roman" w:hAnsi="Calibri" w:cs="Calibri"/>
                <w:color w:val="000000"/>
                <w:sz w:val="20"/>
                <w:szCs w:val="20"/>
                <w:lang w:eastAsia="en-NZ"/>
              </w:rPr>
              <w:t>Māori</w:t>
            </w:r>
          </w:p>
        </w:tc>
        <w:tc>
          <w:tcPr>
            <w:tcW w:w="1858" w:type="dxa"/>
          </w:tcPr>
          <w:p w14:paraId="27A655F1" w14:textId="77777777" w:rsidR="00985BD4" w:rsidRDefault="00985BD4" w:rsidP="00985BD4">
            <w:pPr>
              <w:jc w:val="center"/>
              <w:rPr>
                <w:rFonts w:cstheme="minorHAnsi"/>
                <w:color w:val="000000" w:themeColor="text1"/>
                <w:sz w:val="20"/>
                <w:szCs w:val="20"/>
              </w:rPr>
            </w:pPr>
          </w:p>
        </w:tc>
        <w:tc>
          <w:tcPr>
            <w:tcW w:w="2000" w:type="dxa"/>
          </w:tcPr>
          <w:p w14:paraId="333BC8E1" w14:textId="77777777" w:rsidR="00985BD4" w:rsidRDefault="00985BD4" w:rsidP="00985BD4">
            <w:pPr>
              <w:jc w:val="center"/>
              <w:rPr>
                <w:rFonts w:cstheme="minorHAnsi"/>
                <w:color w:val="000000" w:themeColor="text1"/>
                <w:sz w:val="20"/>
                <w:szCs w:val="20"/>
              </w:rPr>
            </w:pPr>
          </w:p>
        </w:tc>
        <w:tc>
          <w:tcPr>
            <w:tcW w:w="2000" w:type="dxa"/>
          </w:tcPr>
          <w:p w14:paraId="179640C6" w14:textId="77777777" w:rsidR="00985BD4" w:rsidRDefault="00985BD4" w:rsidP="00985BD4">
            <w:pPr>
              <w:jc w:val="center"/>
              <w:rPr>
                <w:rFonts w:cstheme="minorHAnsi"/>
                <w:color w:val="000000" w:themeColor="text1"/>
                <w:sz w:val="20"/>
                <w:szCs w:val="20"/>
              </w:rPr>
            </w:pPr>
          </w:p>
        </w:tc>
      </w:tr>
      <w:tr w:rsidR="00985BD4" w14:paraId="7B85B09E" w14:textId="77777777" w:rsidTr="0093493E">
        <w:trPr>
          <w:trHeight w:val="246"/>
        </w:trPr>
        <w:tc>
          <w:tcPr>
            <w:tcW w:w="2093" w:type="dxa"/>
            <w:vAlign w:val="bottom"/>
          </w:tcPr>
          <w:p w14:paraId="771DBB94" w14:textId="7C06780E" w:rsidR="00985BD4" w:rsidRPr="0093493E" w:rsidRDefault="00985BD4" w:rsidP="00985BD4">
            <w:pPr>
              <w:rPr>
                <w:rFonts w:cstheme="minorHAnsi"/>
                <w:color w:val="000000" w:themeColor="text1"/>
                <w:sz w:val="20"/>
                <w:szCs w:val="20"/>
              </w:rPr>
            </w:pPr>
            <w:r w:rsidRPr="0093493E">
              <w:rPr>
                <w:rFonts w:ascii="Calibri" w:eastAsia="Times New Roman" w:hAnsi="Calibri" w:cs="Calibri"/>
                <w:color w:val="000000"/>
                <w:sz w:val="20"/>
                <w:szCs w:val="20"/>
                <w:lang w:eastAsia="en-NZ"/>
              </w:rPr>
              <w:t>Pacific</w:t>
            </w:r>
          </w:p>
        </w:tc>
        <w:tc>
          <w:tcPr>
            <w:tcW w:w="1858" w:type="dxa"/>
          </w:tcPr>
          <w:p w14:paraId="4AB20F08" w14:textId="77777777" w:rsidR="00985BD4" w:rsidRDefault="00985BD4" w:rsidP="00985BD4">
            <w:pPr>
              <w:jc w:val="center"/>
              <w:rPr>
                <w:rFonts w:cstheme="minorHAnsi"/>
                <w:color w:val="000000" w:themeColor="text1"/>
                <w:sz w:val="20"/>
                <w:szCs w:val="20"/>
              </w:rPr>
            </w:pPr>
          </w:p>
        </w:tc>
        <w:tc>
          <w:tcPr>
            <w:tcW w:w="2000" w:type="dxa"/>
          </w:tcPr>
          <w:p w14:paraId="2BF77FE6" w14:textId="77777777" w:rsidR="00985BD4" w:rsidRDefault="00985BD4" w:rsidP="00985BD4">
            <w:pPr>
              <w:jc w:val="center"/>
              <w:rPr>
                <w:rFonts w:cstheme="minorHAnsi"/>
                <w:color w:val="000000" w:themeColor="text1"/>
                <w:sz w:val="20"/>
                <w:szCs w:val="20"/>
              </w:rPr>
            </w:pPr>
          </w:p>
        </w:tc>
        <w:tc>
          <w:tcPr>
            <w:tcW w:w="2000" w:type="dxa"/>
          </w:tcPr>
          <w:p w14:paraId="50F253CD" w14:textId="77777777" w:rsidR="00985BD4" w:rsidRDefault="00985BD4" w:rsidP="00985BD4">
            <w:pPr>
              <w:jc w:val="center"/>
              <w:rPr>
                <w:rFonts w:cstheme="minorHAnsi"/>
                <w:color w:val="000000" w:themeColor="text1"/>
                <w:sz w:val="20"/>
                <w:szCs w:val="20"/>
              </w:rPr>
            </w:pPr>
          </w:p>
        </w:tc>
      </w:tr>
      <w:tr w:rsidR="00985BD4" w14:paraId="68E19353" w14:textId="77777777" w:rsidTr="0093493E">
        <w:trPr>
          <w:trHeight w:val="246"/>
        </w:trPr>
        <w:tc>
          <w:tcPr>
            <w:tcW w:w="2093" w:type="dxa"/>
            <w:vAlign w:val="bottom"/>
          </w:tcPr>
          <w:p w14:paraId="52D592BC" w14:textId="21094B57" w:rsidR="00985BD4" w:rsidRPr="0093493E" w:rsidRDefault="00985BD4" w:rsidP="00985BD4">
            <w:pPr>
              <w:rPr>
                <w:rFonts w:cstheme="minorHAnsi"/>
                <w:color w:val="000000" w:themeColor="text1"/>
                <w:sz w:val="20"/>
                <w:szCs w:val="20"/>
              </w:rPr>
            </w:pPr>
            <w:r w:rsidRPr="0093493E">
              <w:rPr>
                <w:rFonts w:ascii="Calibri" w:eastAsia="Times New Roman" w:hAnsi="Calibri" w:cs="Calibri"/>
                <w:color w:val="000000"/>
                <w:sz w:val="20"/>
                <w:szCs w:val="20"/>
                <w:lang w:eastAsia="en-NZ"/>
              </w:rPr>
              <w:t>Asian</w:t>
            </w:r>
          </w:p>
        </w:tc>
        <w:tc>
          <w:tcPr>
            <w:tcW w:w="1858" w:type="dxa"/>
          </w:tcPr>
          <w:p w14:paraId="666B2184" w14:textId="77777777" w:rsidR="00985BD4" w:rsidRDefault="00985BD4" w:rsidP="00985BD4">
            <w:pPr>
              <w:jc w:val="center"/>
              <w:rPr>
                <w:rFonts w:cstheme="minorHAnsi"/>
                <w:color w:val="000000" w:themeColor="text1"/>
                <w:sz w:val="20"/>
                <w:szCs w:val="20"/>
              </w:rPr>
            </w:pPr>
          </w:p>
        </w:tc>
        <w:tc>
          <w:tcPr>
            <w:tcW w:w="2000" w:type="dxa"/>
          </w:tcPr>
          <w:p w14:paraId="36F1C262" w14:textId="77777777" w:rsidR="00985BD4" w:rsidRDefault="00985BD4" w:rsidP="00985BD4">
            <w:pPr>
              <w:jc w:val="center"/>
              <w:rPr>
                <w:rFonts w:cstheme="minorHAnsi"/>
                <w:color w:val="000000" w:themeColor="text1"/>
                <w:sz w:val="20"/>
                <w:szCs w:val="20"/>
              </w:rPr>
            </w:pPr>
          </w:p>
        </w:tc>
        <w:tc>
          <w:tcPr>
            <w:tcW w:w="2000" w:type="dxa"/>
          </w:tcPr>
          <w:p w14:paraId="73BB05FC" w14:textId="77777777" w:rsidR="00985BD4" w:rsidRDefault="00985BD4" w:rsidP="00985BD4">
            <w:pPr>
              <w:jc w:val="center"/>
              <w:rPr>
                <w:rFonts w:cstheme="minorHAnsi"/>
                <w:color w:val="000000" w:themeColor="text1"/>
                <w:sz w:val="20"/>
                <w:szCs w:val="20"/>
              </w:rPr>
            </w:pPr>
          </w:p>
        </w:tc>
      </w:tr>
      <w:tr w:rsidR="00985BD4" w14:paraId="1A58B389" w14:textId="77777777" w:rsidTr="0093493E">
        <w:trPr>
          <w:trHeight w:val="246"/>
        </w:trPr>
        <w:tc>
          <w:tcPr>
            <w:tcW w:w="2093" w:type="dxa"/>
            <w:vAlign w:val="bottom"/>
          </w:tcPr>
          <w:p w14:paraId="30DDBDE1" w14:textId="030CB886" w:rsidR="00985BD4" w:rsidRPr="0093493E" w:rsidRDefault="00985BD4" w:rsidP="00985BD4">
            <w:pPr>
              <w:rPr>
                <w:rFonts w:cstheme="minorHAnsi"/>
                <w:color w:val="000000" w:themeColor="text1"/>
                <w:sz w:val="20"/>
                <w:szCs w:val="20"/>
              </w:rPr>
            </w:pPr>
            <w:r w:rsidRPr="0093493E">
              <w:rPr>
                <w:rFonts w:ascii="Calibri" w:eastAsia="Times New Roman" w:hAnsi="Calibri" w:cs="Calibri"/>
                <w:color w:val="000000"/>
                <w:sz w:val="20"/>
                <w:szCs w:val="20"/>
                <w:lang w:eastAsia="en-NZ"/>
              </w:rPr>
              <w:t>MELAA</w:t>
            </w:r>
          </w:p>
        </w:tc>
        <w:tc>
          <w:tcPr>
            <w:tcW w:w="1858" w:type="dxa"/>
          </w:tcPr>
          <w:p w14:paraId="45CA3BB4" w14:textId="77777777" w:rsidR="00985BD4" w:rsidRDefault="00985BD4" w:rsidP="00985BD4">
            <w:pPr>
              <w:jc w:val="center"/>
              <w:rPr>
                <w:rFonts w:cstheme="minorHAnsi"/>
                <w:color w:val="000000" w:themeColor="text1"/>
                <w:sz w:val="20"/>
                <w:szCs w:val="20"/>
              </w:rPr>
            </w:pPr>
          </w:p>
        </w:tc>
        <w:tc>
          <w:tcPr>
            <w:tcW w:w="2000" w:type="dxa"/>
          </w:tcPr>
          <w:p w14:paraId="7A612F7F" w14:textId="77777777" w:rsidR="00985BD4" w:rsidRDefault="00985BD4" w:rsidP="00985BD4">
            <w:pPr>
              <w:jc w:val="center"/>
              <w:rPr>
                <w:rFonts w:cstheme="minorHAnsi"/>
                <w:color w:val="000000" w:themeColor="text1"/>
                <w:sz w:val="20"/>
                <w:szCs w:val="20"/>
              </w:rPr>
            </w:pPr>
          </w:p>
        </w:tc>
        <w:tc>
          <w:tcPr>
            <w:tcW w:w="2000" w:type="dxa"/>
          </w:tcPr>
          <w:p w14:paraId="7D68036F" w14:textId="77777777" w:rsidR="00985BD4" w:rsidRDefault="00985BD4" w:rsidP="00985BD4">
            <w:pPr>
              <w:jc w:val="center"/>
              <w:rPr>
                <w:rFonts w:cstheme="minorHAnsi"/>
                <w:color w:val="000000" w:themeColor="text1"/>
                <w:sz w:val="20"/>
                <w:szCs w:val="20"/>
              </w:rPr>
            </w:pPr>
          </w:p>
        </w:tc>
      </w:tr>
      <w:tr w:rsidR="00985BD4" w14:paraId="312CC9D7" w14:textId="77777777" w:rsidTr="0093493E">
        <w:trPr>
          <w:trHeight w:val="246"/>
        </w:trPr>
        <w:tc>
          <w:tcPr>
            <w:tcW w:w="2093" w:type="dxa"/>
            <w:vAlign w:val="bottom"/>
          </w:tcPr>
          <w:p w14:paraId="57EC4C22" w14:textId="5C74FF98" w:rsidR="00985BD4" w:rsidRPr="0093493E" w:rsidRDefault="00985BD4" w:rsidP="00985BD4">
            <w:pPr>
              <w:rPr>
                <w:rFonts w:cstheme="minorHAnsi"/>
                <w:color w:val="000000" w:themeColor="text1"/>
                <w:sz w:val="20"/>
                <w:szCs w:val="20"/>
              </w:rPr>
            </w:pPr>
            <w:r w:rsidRPr="0093493E">
              <w:rPr>
                <w:rFonts w:ascii="Calibri" w:eastAsia="Times New Roman" w:hAnsi="Calibri" w:cs="Calibri"/>
                <w:color w:val="000000"/>
                <w:sz w:val="20"/>
                <w:szCs w:val="20"/>
                <w:lang w:eastAsia="en-NZ"/>
              </w:rPr>
              <w:t>Other European</w:t>
            </w:r>
            <w:r w:rsidRPr="0093493E">
              <w:rPr>
                <w:rFonts w:ascii="Calibri" w:eastAsia="Times New Roman" w:hAnsi="Calibri" w:cs="Calibri"/>
                <w:color w:val="000000"/>
                <w:sz w:val="18"/>
                <w:szCs w:val="18"/>
                <w:lang w:eastAsia="en-NZ"/>
              </w:rPr>
              <w:t> </w:t>
            </w:r>
          </w:p>
        </w:tc>
        <w:tc>
          <w:tcPr>
            <w:tcW w:w="1858" w:type="dxa"/>
          </w:tcPr>
          <w:p w14:paraId="1F31AB7D" w14:textId="77777777" w:rsidR="00985BD4" w:rsidRDefault="00985BD4" w:rsidP="00985BD4">
            <w:pPr>
              <w:jc w:val="center"/>
              <w:rPr>
                <w:rFonts w:cstheme="minorHAnsi"/>
                <w:color w:val="000000" w:themeColor="text1"/>
                <w:sz w:val="20"/>
                <w:szCs w:val="20"/>
              </w:rPr>
            </w:pPr>
          </w:p>
        </w:tc>
        <w:tc>
          <w:tcPr>
            <w:tcW w:w="2000" w:type="dxa"/>
          </w:tcPr>
          <w:p w14:paraId="4F8CACE8" w14:textId="77777777" w:rsidR="00985BD4" w:rsidRDefault="00985BD4" w:rsidP="00985BD4">
            <w:pPr>
              <w:jc w:val="center"/>
              <w:rPr>
                <w:rFonts w:cstheme="minorHAnsi"/>
                <w:color w:val="000000" w:themeColor="text1"/>
                <w:sz w:val="20"/>
                <w:szCs w:val="20"/>
              </w:rPr>
            </w:pPr>
          </w:p>
        </w:tc>
        <w:tc>
          <w:tcPr>
            <w:tcW w:w="2000" w:type="dxa"/>
          </w:tcPr>
          <w:p w14:paraId="62D21998" w14:textId="77777777" w:rsidR="00985BD4" w:rsidRDefault="00985BD4" w:rsidP="00985BD4">
            <w:pPr>
              <w:jc w:val="center"/>
              <w:rPr>
                <w:rFonts w:cstheme="minorHAnsi"/>
                <w:color w:val="000000" w:themeColor="text1"/>
                <w:sz w:val="20"/>
                <w:szCs w:val="20"/>
              </w:rPr>
            </w:pPr>
          </w:p>
        </w:tc>
      </w:tr>
      <w:tr w:rsidR="00985BD4" w14:paraId="701A8430" w14:textId="77777777" w:rsidTr="0093493E">
        <w:trPr>
          <w:trHeight w:val="246"/>
        </w:trPr>
        <w:tc>
          <w:tcPr>
            <w:tcW w:w="2093" w:type="dxa"/>
            <w:vAlign w:val="bottom"/>
          </w:tcPr>
          <w:p w14:paraId="1E480CFB" w14:textId="4C2A0DC2" w:rsidR="00985BD4" w:rsidRPr="0093493E" w:rsidRDefault="00985BD4" w:rsidP="00985BD4">
            <w:pPr>
              <w:rPr>
                <w:rFonts w:cstheme="minorHAnsi"/>
                <w:color w:val="000000" w:themeColor="text1"/>
                <w:sz w:val="20"/>
                <w:szCs w:val="20"/>
              </w:rPr>
            </w:pPr>
            <w:r w:rsidRPr="0093493E">
              <w:rPr>
                <w:rFonts w:ascii="Calibri" w:eastAsia="Times New Roman" w:hAnsi="Calibri" w:cs="Calibri"/>
                <w:color w:val="000000"/>
                <w:sz w:val="20"/>
                <w:szCs w:val="20"/>
                <w:lang w:eastAsia="en-NZ"/>
              </w:rPr>
              <w:lastRenderedPageBreak/>
              <w:t>NZ European</w:t>
            </w:r>
          </w:p>
        </w:tc>
        <w:tc>
          <w:tcPr>
            <w:tcW w:w="1858" w:type="dxa"/>
          </w:tcPr>
          <w:p w14:paraId="4D26C4C9" w14:textId="77777777" w:rsidR="00985BD4" w:rsidRDefault="00985BD4" w:rsidP="00985BD4">
            <w:pPr>
              <w:jc w:val="center"/>
              <w:rPr>
                <w:rFonts w:cstheme="minorHAnsi"/>
                <w:color w:val="000000" w:themeColor="text1"/>
                <w:sz w:val="20"/>
                <w:szCs w:val="20"/>
              </w:rPr>
            </w:pPr>
          </w:p>
        </w:tc>
        <w:tc>
          <w:tcPr>
            <w:tcW w:w="2000" w:type="dxa"/>
          </w:tcPr>
          <w:p w14:paraId="6358376C" w14:textId="77777777" w:rsidR="00985BD4" w:rsidRDefault="00985BD4" w:rsidP="00985BD4">
            <w:pPr>
              <w:jc w:val="center"/>
              <w:rPr>
                <w:rFonts w:cstheme="minorHAnsi"/>
                <w:color w:val="000000" w:themeColor="text1"/>
                <w:sz w:val="20"/>
                <w:szCs w:val="20"/>
              </w:rPr>
            </w:pPr>
          </w:p>
        </w:tc>
        <w:tc>
          <w:tcPr>
            <w:tcW w:w="2000" w:type="dxa"/>
          </w:tcPr>
          <w:p w14:paraId="4A53135C" w14:textId="77777777" w:rsidR="00985BD4" w:rsidRDefault="00985BD4" w:rsidP="00985BD4">
            <w:pPr>
              <w:jc w:val="center"/>
              <w:rPr>
                <w:rFonts w:cstheme="minorHAnsi"/>
                <w:color w:val="000000" w:themeColor="text1"/>
                <w:sz w:val="20"/>
                <w:szCs w:val="20"/>
              </w:rPr>
            </w:pPr>
          </w:p>
        </w:tc>
      </w:tr>
      <w:tr w:rsidR="00064DE5" w14:paraId="36A9559E" w14:textId="77777777" w:rsidTr="00042ECF">
        <w:trPr>
          <w:trHeight w:val="246"/>
        </w:trPr>
        <w:tc>
          <w:tcPr>
            <w:tcW w:w="2093" w:type="dxa"/>
          </w:tcPr>
          <w:p w14:paraId="7CA003A5" w14:textId="77777777" w:rsidR="00064DE5" w:rsidRDefault="00064DE5" w:rsidP="00042ECF">
            <w:pPr>
              <w:rPr>
                <w:rFonts w:cstheme="minorHAnsi"/>
                <w:color w:val="000000" w:themeColor="text1"/>
                <w:sz w:val="20"/>
                <w:szCs w:val="20"/>
              </w:rPr>
            </w:pPr>
            <w:r>
              <w:rPr>
                <w:rFonts w:cstheme="minorHAnsi"/>
                <w:color w:val="000000" w:themeColor="text1"/>
                <w:sz w:val="20"/>
                <w:szCs w:val="20"/>
              </w:rPr>
              <w:t>Previous births</w:t>
            </w:r>
          </w:p>
        </w:tc>
        <w:tc>
          <w:tcPr>
            <w:tcW w:w="1858" w:type="dxa"/>
          </w:tcPr>
          <w:p w14:paraId="21B8BE0A"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c>
          <w:tcPr>
            <w:tcW w:w="2000" w:type="dxa"/>
          </w:tcPr>
          <w:p w14:paraId="475F4B17"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c>
          <w:tcPr>
            <w:tcW w:w="2000" w:type="dxa"/>
          </w:tcPr>
          <w:p w14:paraId="2DD099CF"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r>
      <w:tr w:rsidR="00064DE5" w14:paraId="00119E40" w14:textId="77777777" w:rsidTr="00042ECF">
        <w:trPr>
          <w:trHeight w:val="246"/>
        </w:trPr>
        <w:tc>
          <w:tcPr>
            <w:tcW w:w="2093" w:type="dxa"/>
          </w:tcPr>
          <w:p w14:paraId="194669D0" w14:textId="77777777" w:rsidR="00064DE5" w:rsidRDefault="00064DE5" w:rsidP="00042ECF">
            <w:pPr>
              <w:rPr>
                <w:rFonts w:cstheme="minorHAnsi"/>
                <w:color w:val="000000" w:themeColor="text1"/>
                <w:sz w:val="20"/>
                <w:szCs w:val="20"/>
              </w:rPr>
            </w:pPr>
            <w:r>
              <w:rPr>
                <w:rFonts w:cstheme="minorHAnsi"/>
                <w:color w:val="000000" w:themeColor="text1"/>
                <w:sz w:val="20"/>
                <w:szCs w:val="20"/>
              </w:rPr>
              <w:t>Previous IVF</w:t>
            </w:r>
          </w:p>
        </w:tc>
        <w:tc>
          <w:tcPr>
            <w:tcW w:w="1858" w:type="dxa"/>
          </w:tcPr>
          <w:p w14:paraId="3D561B1E"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c>
          <w:tcPr>
            <w:tcW w:w="2000" w:type="dxa"/>
          </w:tcPr>
          <w:p w14:paraId="2B5B1D79"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c>
          <w:tcPr>
            <w:tcW w:w="2000" w:type="dxa"/>
          </w:tcPr>
          <w:p w14:paraId="6186810C"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r>
      <w:tr w:rsidR="00064DE5" w14:paraId="67D9808B" w14:textId="77777777" w:rsidTr="00042ECF">
        <w:trPr>
          <w:trHeight w:val="246"/>
        </w:trPr>
        <w:tc>
          <w:tcPr>
            <w:tcW w:w="2093" w:type="dxa"/>
          </w:tcPr>
          <w:p w14:paraId="3EF0BE83" w14:textId="77777777" w:rsidR="00064DE5" w:rsidRDefault="00064DE5" w:rsidP="00042ECF">
            <w:pPr>
              <w:rPr>
                <w:rFonts w:cstheme="minorHAnsi"/>
                <w:color w:val="000000" w:themeColor="text1"/>
                <w:sz w:val="20"/>
                <w:szCs w:val="20"/>
              </w:rPr>
            </w:pPr>
            <w:r>
              <w:rPr>
                <w:rFonts w:cstheme="minorHAnsi"/>
                <w:color w:val="000000" w:themeColor="text1"/>
                <w:sz w:val="20"/>
                <w:szCs w:val="20"/>
              </w:rPr>
              <w:t>Previous IUI</w:t>
            </w:r>
          </w:p>
        </w:tc>
        <w:tc>
          <w:tcPr>
            <w:tcW w:w="1858" w:type="dxa"/>
          </w:tcPr>
          <w:p w14:paraId="34C98973"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c>
          <w:tcPr>
            <w:tcW w:w="2000" w:type="dxa"/>
          </w:tcPr>
          <w:p w14:paraId="32AACA6F"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c>
          <w:tcPr>
            <w:tcW w:w="2000" w:type="dxa"/>
          </w:tcPr>
          <w:p w14:paraId="5D24CD01"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w:t>
            </w:r>
          </w:p>
        </w:tc>
      </w:tr>
      <w:tr w:rsidR="00064DE5" w14:paraId="0330F6FB" w14:textId="77777777" w:rsidTr="00042ECF">
        <w:trPr>
          <w:trHeight w:val="246"/>
        </w:trPr>
        <w:tc>
          <w:tcPr>
            <w:tcW w:w="2093" w:type="dxa"/>
          </w:tcPr>
          <w:p w14:paraId="1E2544E4" w14:textId="77777777" w:rsidR="00064DE5" w:rsidRDefault="00064DE5" w:rsidP="00042ECF">
            <w:pPr>
              <w:rPr>
                <w:rFonts w:cstheme="minorHAnsi"/>
                <w:color w:val="000000" w:themeColor="text1"/>
                <w:sz w:val="20"/>
                <w:szCs w:val="20"/>
              </w:rPr>
            </w:pPr>
            <w:r>
              <w:rPr>
                <w:rFonts w:cstheme="minorHAnsi"/>
                <w:color w:val="000000" w:themeColor="text1"/>
                <w:sz w:val="20"/>
                <w:szCs w:val="20"/>
              </w:rPr>
              <w:t>Sperm Concentration</w:t>
            </w:r>
          </w:p>
        </w:tc>
        <w:tc>
          <w:tcPr>
            <w:tcW w:w="1858" w:type="dxa"/>
          </w:tcPr>
          <w:p w14:paraId="16D0A3FD" w14:textId="77777777" w:rsidR="00064DE5" w:rsidRDefault="00064DE5" w:rsidP="00042ECF">
            <w:pPr>
              <w:jc w:val="center"/>
              <w:rPr>
                <w:rFonts w:cstheme="minorHAnsi"/>
                <w:color w:val="000000" w:themeColor="text1"/>
                <w:sz w:val="20"/>
                <w:szCs w:val="20"/>
              </w:rPr>
            </w:pPr>
            <w:r>
              <w:rPr>
                <w:rFonts w:cstheme="minorHAnsi"/>
                <w:color w:val="000000" w:themeColor="text1"/>
                <w:sz w:val="20"/>
                <w:szCs w:val="20"/>
              </w:rPr>
              <w:t>Mean/median</w:t>
            </w:r>
          </w:p>
        </w:tc>
        <w:tc>
          <w:tcPr>
            <w:tcW w:w="2000" w:type="dxa"/>
          </w:tcPr>
          <w:p w14:paraId="5D2FED7C" w14:textId="77777777" w:rsidR="00064DE5" w:rsidRDefault="00064DE5" w:rsidP="00042ECF">
            <w:pPr>
              <w:jc w:val="center"/>
              <w:rPr>
                <w:rFonts w:cstheme="minorHAnsi"/>
                <w:color w:val="000000" w:themeColor="text1"/>
                <w:sz w:val="20"/>
                <w:szCs w:val="20"/>
              </w:rPr>
            </w:pPr>
            <w:r>
              <w:rPr>
                <w:rFonts w:cstheme="minorHAnsi"/>
                <w:color w:val="000000" w:themeColor="text1"/>
                <w:sz w:val="20"/>
                <w:szCs w:val="20"/>
              </w:rPr>
              <w:t>Mean/median</w:t>
            </w:r>
          </w:p>
        </w:tc>
        <w:tc>
          <w:tcPr>
            <w:tcW w:w="2000" w:type="dxa"/>
          </w:tcPr>
          <w:p w14:paraId="12B6A051" w14:textId="77777777" w:rsidR="00064DE5" w:rsidRDefault="00064DE5" w:rsidP="00042ECF">
            <w:pPr>
              <w:jc w:val="center"/>
              <w:rPr>
                <w:rFonts w:cstheme="minorHAnsi"/>
                <w:color w:val="000000" w:themeColor="text1"/>
                <w:sz w:val="20"/>
                <w:szCs w:val="20"/>
              </w:rPr>
            </w:pPr>
            <w:r>
              <w:rPr>
                <w:rFonts w:cstheme="minorHAnsi"/>
                <w:color w:val="000000" w:themeColor="text1"/>
                <w:sz w:val="20"/>
                <w:szCs w:val="20"/>
              </w:rPr>
              <w:t>Mean/median</w:t>
            </w:r>
          </w:p>
        </w:tc>
      </w:tr>
      <w:tr w:rsidR="00064DE5" w14:paraId="3812FAFC" w14:textId="77777777" w:rsidTr="00042ECF">
        <w:trPr>
          <w:trHeight w:val="246"/>
        </w:trPr>
        <w:tc>
          <w:tcPr>
            <w:tcW w:w="2093" w:type="dxa"/>
          </w:tcPr>
          <w:p w14:paraId="087FAD77" w14:textId="77777777" w:rsidR="00064DE5" w:rsidRDefault="00064DE5" w:rsidP="00042ECF">
            <w:pPr>
              <w:rPr>
                <w:rFonts w:cstheme="minorHAnsi"/>
                <w:color w:val="000000" w:themeColor="text1"/>
                <w:sz w:val="20"/>
                <w:szCs w:val="20"/>
              </w:rPr>
            </w:pPr>
            <w:r>
              <w:rPr>
                <w:rFonts w:cstheme="minorHAnsi"/>
                <w:color w:val="000000" w:themeColor="text1"/>
                <w:sz w:val="20"/>
                <w:szCs w:val="20"/>
              </w:rPr>
              <w:t>Sperm Motility</w:t>
            </w:r>
          </w:p>
        </w:tc>
        <w:tc>
          <w:tcPr>
            <w:tcW w:w="1858" w:type="dxa"/>
          </w:tcPr>
          <w:p w14:paraId="252E5D24" w14:textId="77777777" w:rsidR="00064DE5" w:rsidRDefault="00064DE5" w:rsidP="00042ECF">
            <w:pPr>
              <w:jc w:val="center"/>
              <w:rPr>
                <w:rFonts w:cstheme="minorHAnsi"/>
                <w:color w:val="000000" w:themeColor="text1"/>
                <w:sz w:val="20"/>
                <w:szCs w:val="20"/>
              </w:rPr>
            </w:pPr>
            <w:r>
              <w:rPr>
                <w:rFonts w:cstheme="minorHAnsi"/>
                <w:color w:val="000000" w:themeColor="text1"/>
                <w:sz w:val="20"/>
                <w:szCs w:val="20"/>
              </w:rPr>
              <w:t>Mean/median</w:t>
            </w:r>
          </w:p>
        </w:tc>
        <w:tc>
          <w:tcPr>
            <w:tcW w:w="2000" w:type="dxa"/>
          </w:tcPr>
          <w:p w14:paraId="7EB7ED4E" w14:textId="77777777" w:rsidR="00064DE5" w:rsidRDefault="00064DE5" w:rsidP="00042ECF">
            <w:pPr>
              <w:jc w:val="center"/>
              <w:rPr>
                <w:rFonts w:cstheme="minorHAnsi"/>
                <w:color w:val="000000" w:themeColor="text1"/>
                <w:sz w:val="20"/>
                <w:szCs w:val="20"/>
              </w:rPr>
            </w:pPr>
            <w:r>
              <w:rPr>
                <w:rFonts w:cstheme="minorHAnsi"/>
                <w:color w:val="000000" w:themeColor="text1"/>
                <w:sz w:val="20"/>
                <w:szCs w:val="20"/>
              </w:rPr>
              <w:t>Mean/median</w:t>
            </w:r>
          </w:p>
        </w:tc>
        <w:tc>
          <w:tcPr>
            <w:tcW w:w="2000" w:type="dxa"/>
          </w:tcPr>
          <w:p w14:paraId="7117C5FA" w14:textId="77777777" w:rsidR="00064DE5" w:rsidRDefault="00064DE5" w:rsidP="00042ECF">
            <w:pPr>
              <w:jc w:val="center"/>
              <w:rPr>
                <w:rFonts w:cstheme="minorHAnsi"/>
                <w:color w:val="000000" w:themeColor="text1"/>
                <w:sz w:val="20"/>
                <w:szCs w:val="20"/>
              </w:rPr>
            </w:pPr>
            <w:r>
              <w:rPr>
                <w:rFonts w:cstheme="minorHAnsi"/>
                <w:color w:val="000000" w:themeColor="text1"/>
                <w:sz w:val="20"/>
                <w:szCs w:val="20"/>
              </w:rPr>
              <w:t>Mean/median</w:t>
            </w:r>
          </w:p>
        </w:tc>
      </w:tr>
      <w:tr w:rsidR="00064DE5" w14:paraId="0C122836" w14:textId="77777777" w:rsidTr="00042ECF">
        <w:trPr>
          <w:trHeight w:val="246"/>
        </w:trPr>
        <w:tc>
          <w:tcPr>
            <w:tcW w:w="2093" w:type="dxa"/>
          </w:tcPr>
          <w:p w14:paraId="4B33766E" w14:textId="77777777" w:rsidR="00064DE5" w:rsidRDefault="00064DE5" w:rsidP="00042ECF">
            <w:pPr>
              <w:rPr>
                <w:rFonts w:cstheme="minorHAnsi"/>
                <w:color w:val="000000" w:themeColor="text1"/>
                <w:sz w:val="20"/>
                <w:szCs w:val="20"/>
              </w:rPr>
            </w:pPr>
            <w:r>
              <w:rPr>
                <w:rFonts w:cstheme="minorHAnsi"/>
                <w:color w:val="000000" w:themeColor="text1"/>
                <w:sz w:val="20"/>
                <w:szCs w:val="20"/>
              </w:rPr>
              <w:t>Total motile sperm count</w:t>
            </w:r>
          </w:p>
        </w:tc>
        <w:tc>
          <w:tcPr>
            <w:tcW w:w="1858" w:type="dxa"/>
          </w:tcPr>
          <w:p w14:paraId="10532E7C"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Mean/median</w:t>
            </w:r>
          </w:p>
        </w:tc>
        <w:tc>
          <w:tcPr>
            <w:tcW w:w="2000" w:type="dxa"/>
          </w:tcPr>
          <w:p w14:paraId="622AFA53"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Mean/median</w:t>
            </w:r>
          </w:p>
        </w:tc>
        <w:tc>
          <w:tcPr>
            <w:tcW w:w="2000" w:type="dxa"/>
          </w:tcPr>
          <w:p w14:paraId="25D23398"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Mean/median</w:t>
            </w:r>
          </w:p>
        </w:tc>
      </w:tr>
      <w:tr w:rsidR="00064DE5" w14:paraId="799494B4" w14:textId="77777777" w:rsidTr="00042ECF">
        <w:trPr>
          <w:trHeight w:val="246"/>
        </w:trPr>
        <w:tc>
          <w:tcPr>
            <w:tcW w:w="2093" w:type="dxa"/>
          </w:tcPr>
          <w:p w14:paraId="2F9D58DD" w14:textId="77777777" w:rsidR="00064DE5" w:rsidRDefault="00064DE5" w:rsidP="00042ECF">
            <w:pPr>
              <w:rPr>
                <w:rFonts w:cstheme="minorHAnsi"/>
                <w:color w:val="000000" w:themeColor="text1"/>
                <w:sz w:val="20"/>
                <w:szCs w:val="20"/>
              </w:rPr>
            </w:pPr>
            <w:r>
              <w:rPr>
                <w:rFonts w:cstheme="minorHAnsi"/>
                <w:color w:val="000000" w:themeColor="text1"/>
                <w:sz w:val="20"/>
                <w:szCs w:val="20"/>
              </w:rPr>
              <w:t>Prediction score (</w:t>
            </w:r>
            <w:proofErr w:type="spellStart"/>
            <w:r>
              <w:rPr>
                <w:rFonts w:cstheme="minorHAnsi"/>
                <w:color w:val="000000" w:themeColor="text1"/>
                <w:sz w:val="20"/>
                <w:szCs w:val="20"/>
              </w:rPr>
              <w:t>Hanualt</w:t>
            </w:r>
            <w:proofErr w:type="spellEnd"/>
            <w:r>
              <w:rPr>
                <w:rFonts w:cstheme="minorHAnsi"/>
                <w:color w:val="000000" w:themeColor="text1"/>
                <w:sz w:val="20"/>
                <w:szCs w:val="20"/>
              </w:rPr>
              <w:t>)</w:t>
            </w:r>
          </w:p>
        </w:tc>
        <w:tc>
          <w:tcPr>
            <w:tcW w:w="1858" w:type="dxa"/>
          </w:tcPr>
          <w:p w14:paraId="4266E76F"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Mean</w:t>
            </w:r>
          </w:p>
        </w:tc>
        <w:tc>
          <w:tcPr>
            <w:tcW w:w="2000" w:type="dxa"/>
          </w:tcPr>
          <w:p w14:paraId="00C95C4E"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Mean</w:t>
            </w:r>
          </w:p>
        </w:tc>
        <w:tc>
          <w:tcPr>
            <w:tcW w:w="2000" w:type="dxa"/>
          </w:tcPr>
          <w:p w14:paraId="47E6BAAF"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Mean</w:t>
            </w:r>
          </w:p>
        </w:tc>
      </w:tr>
      <w:tr w:rsidR="00064DE5" w14:paraId="52911F33" w14:textId="77777777" w:rsidTr="00042ECF">
        <w:trPr>
          <w:trHeight w:val="246"/>
        </w:trPr>
        <w:tc>
          <w:tcPr>
            <w:tcW w:w="2093" w:type="dxa"/>
          </w:tcPr>
          <w:p w14:paraId="5419AD7C" w14:textId="77777777" w:rsidR="00064DE5" w:rsidRDefault="00064DE5" w:rsidP="00042ECF">
            <w:pPr>
              <w:rPr>
                <w:rFonts w:cstheme="minorHAnsi"/>
                <w:color w:val="000000" w:themeColor="text1"/>
                <w:sz w:val="20"/>
                <w:szCs w:val="20"/>
              </w:rPr>
            </w:pPr>
            <w:r>
              <w:rPr>
                <w:rFonts w:cstheme="minorHAnsi"/>
                <w:color w:val="000000" w:themeColor="text1"/>
                <w:sz w:val="20"/>
                <w:szCs w:val="20"/>
              </w:rPr>
              <w:t>AMH level</w:t>
            </w:r>
          </w:p>
        </w:tc>
        <w:tc>
          <w:tcPr>
            <w:tcW w:w="1858" w:type="dxa"/>
          </w:tcPr>
          <w:p w14:paraId="78213DB1"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Mean</w:t>
            </w:r>
          </w:p>
        </w:tc>
        <w:tc>
          <w:tcPr>
            <w:tcW w:w="2000" w:type="dxa"/>
          </w:tcPr>
          <w:p w14:paraId="2E48B2BA"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Mean</w:t>
            </w:r>
          </w:p>
        </w:tc>
        <w:tc>
          <w:tcPr>
            <w:tcW w:w="2000" w:type="dxa"/>
          </w:tcPr>
          <w:p w14:paraId="35FD5420" w14:textId="77777777" w:rsidR="00064DE5" w:rsidRPr="00702027" w:rsidRDefault="00064DE5" w:rsidP="00042ECF">
            <w:pPr>
              <w:jc w:val="center"/>
              <w:rPr>
                <w:rFonts w:cstheme="minorHAnsi"/>
                <w:color w:val="000000" w:themeColor="text1"/>
                <w:sz w:val="20"/>
                <w:szCs w:val="20"/>
              </w:rPr>
            </w:pPr>
            <w:r>
              <w:rPr>
                <w:rFonts w:cstheme="minorHAnsi"/>
                <w:color w:val="000000" w:themeColor="text1"/>
                <w:sz w:val="20"/>
                <w:szCs w:val="20"/>
              </w:rPr>
              <w:t>Mean</w:t>
            </w:r>
          </w:p>
        </w:tc>
      </w:tr>
    </w:tbl>
    <w:p w14:paraId="2466BD9F" w14:textId="77777777" w:rsidR="00064DE5" w:rsidRDefault="00064DE5" w:rsidP="00064DE5"/>
    <w:p w14:paraId="14854B4A" w14:textId="77777777" w:rsidR="00064DE5" w:rsidRPr="002675DE" w:rsidRDefault="00064DE5" w:rsidP="00064DE5">
      <w:pPr>
        <w:pStyle w:val="Heading1"/>
      </w:pPr>
      <w:r w:rsidRPr="002675DE">
        <w:t>Analysis</w:t>
      </w:r>
    </w:p>
    <w:p w14:paraId="58A61725" w14:textId="77777777" w:rsidR="00064DE5" w:rsidRPr="002675DE" w:rsidRDefault="00064DE5" w:rsidP="00064DE5">
      <w:pPr>
        <w:pStyle w:val="Heading2"/>
      </w:pPr>
      <w:r w:rsidRPr="002675DE">
        <w:t>Data manipulation</w:t>
      </w:r>
    </w:p>
    <w:p w14:paraId="76D2C84B" w14:textId="77777777" w:rsidR="00064DE5" w:rsidRDefault="00064DE5" w:rsidP="00064DE5"/>
    <w:p w14:paraId="0F5AEDFE" w14:textId="0553F970" w:rsidR="00064DE5" w:rsidRDefault="00064DE5" w:rsidP="00064DE5">
      <w:r>
        <w:t>All data will be captured in a central database</w:t>
      </w:r>
      <w:r w:rsidR="002A0592">
        <w:fldChar w:fldCharType="begin">
          <w:fldData xml:space="preserve">PEVuZE5vdGU+PENpdGU+PEF1dGhvcj5IYXJyaXM8L0F1dGhvcj48WWVhcj4yMDE5PC9ZZWFyPjxS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</w:fldData>
        </w:fldChar>
      </w:r>
      <w:r w:rsidR="002A0592">
        <w:instrText xml:space="preserve"> ADDIN EN.CITE </w:instrText>
      </w:r>
      <w:r w:rsidR="002A0592">
        <w:fldChar w:fldCharType="begin">
          <w:fldData xml:space="preserve">PEVuZE5vdGU+PENpdGU+PEF1dGhvcj5IYXJyaXM8L0F1dGhvcj48WWVhcj4yMDE5PC9ZZWFyPjxS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</w:fldData>
        </w:fldChar>
      </w:r>
      <w:r w:rsidR="002A0592">
        <w:instrText xml:space="preserve"> ADDIN EN.CITE.DATA </w:instrText>
      </w:r>
      <w:r w:rsidR="002A0592">
        <w:fldChar w:fldCharType="end"/>
      </w:r>
      <w:r w:rsidR="002A0592">
        <w:fldChar w:fldCharType="separate"/>
      </w:r>
      <w:r w:rsidR="002A0592">
        <w:rPr>
          <w:noProof/>
        </w:rPr>
        <w:t>[3]</w:t>
      </w:r>
      <w:r w:rsidR="002A0592">
        <w:fldChar w:fldCharType="end"/>
      </w:r>
      <w:r>
        <w:t>, such that merging of multiple datasets by the trial statistician will not be required. Time to event variables will be collected using date of randomisation and date of event variables. Data will be checked for internal coherence prior to analysis.</w:t>
      </w:r>
    </w:p>
    <w:p w14:paraId="73CEC93D" w14:textId="71C9DE82" w:rsidR="00064DE5" w:rsidRDefault="00064DE5" w:rsidP="002E5609">
      <w:pPr>
        <w:jc w:val="both"/>
      </w:pPr>
    </w:p>
    <w:p w14:paraId="686A2540" w14:textId="4B23E430" w:rsidR="004062A6" w:rsidRDefault="004062A6" w:rsidP="002E5609">
      <w:pPr>
        <w:jc w:val="both"/>
      </w:pPr>
    </w:p>
    <w:p w14:paraId="188EB2CF" w14:textId="77777777" w:rsidR="004062A6" w:rsidRPr="004062A6" w:rsidRDefault="004062A6" w:rsidP="004062A6">
      <w:pPr>
        <w:keepNext/>
        <w:keepLines/>
        <w:spacing w:before="40" w:after="0"/>
        <w:outlineLvl w:val="1"/>
        <w:rPr>
          <w:rFonts w:asciiTheme="majorHAnsi" w:eastAsiaTheme="majorEastAsia" w:hAnsiTheme="majorHAnsi" w:cstheme="majorBidi"/>
          <w:color w:val="2E74B5" w:themeColor="accent1" w:themeShade="BF"/>
          <w:sz w:val="26"/>
          <w:szCs w:val="26"/>
        </w:rPr>
      </w:pPr>
      <w:r w:rsidRPr="004062A6">
        <w:rPr>
          <w:rFonts w:asciiTheme="majorHAnsi" w:eastAsiaTheme="majorEastAsia" w:hAnsiTheme="majorHAnsi" w:cstheme="majorBidi"/>
          <w:color w:val="2E74B5" w:themeColor="accent1" w:themeShade="BF"/>
          <w:sz w:val="26"/>
          <w:szCs w:val="26"/>
        </w:rPr>
        <w:t>Statistical</w:t>
      </w:r>
      <w:r w:rsidRPr="004062A6">
        <w:rPr>
          <w:rFonts w:asciiTheme="majorHAnsi" w:eastAsiaTheme="majorEastAsia" w:hAnsiTheme="majorHAnsi" w:cstheme="majorBidi"/>
          <w:color w:val="1F4D78" w:themeColor="accent1" w:themeShade="7F"/>
          <w:sz w:val="24"/>
          <w:szCs w:val="24"/>
        </w:rPr>
        <w:t xml:space="preserve"> </w:t>
      </w:r>
      <w:r w:rsidRPr="004062A6">
        <w:rPr>
          <w:rFonts w:asciiTheme="majorHAnsi" w:eastAsiaTheme="majorEastAsia" w:hAnsiTheme="majorHAnsi" w:cstheme="majorBidi"/>
          <w:color w:val="2E74B5" w:themeColor="accent1" w:themeShade="BF"/>
          <w:sz w:val="26"/>
          <w:szCs w:val="26"/>
        </w:rPr>
        <w:t>methods</w:t>
      </w:r>
    </w:p>
    <w:p w14:paraId="356E79AE" w14:textId="77777777" w:rsidR="004062A6" w:rsidRPr="004062A6" w:rsidRDefault="004062A6" w:rsidP="004062A6"/>
    <w:p w14:paraId="6A3ED0D0" w14:textId="0F121290" w:rsidR="004062A6" w:rsidRPr="004062A6" w:rsidRDefault="004062A6" w:rsidP="004062A6">
      <w:pPr>
        <w:keepNext/>
        <w:keepLines/>
        <w:spacing w:before="40" w:after="0"/>
        <w:outlineLvl w:val="2"/>
        <w:rPr>
          <w:rFonts w:asciiTheme="majorHAnsi" w:eastAsiaTheme="majorEastAsia" w:hAnsiTheme="majorHAnsi" w:cstheme="majorBidi"/>
          <w:color w:val="1F4D78" w:themeColor="accent1" w:themeShade="7F"/>
          <w:sz w:val="24"/>
          <w:szCs w:val="24"/>
        </w:rPr>
      </w:pPr>
      <w:r w:rsidRPr="004062A6">
        <w:rPr>
          <w:rFonts w:asciiTheme="majorHAnsi" w:eastAsiaTheme="majorEastAsia" w:hAnsiTheme="majorHAnsi" w:cstheme="majorBidi"/>
          <w:color w:val="1F4D78" w:themeColor="accent1" w:themeShade="7F"/>
          <w:sz w:val="24"/>
          <w:szCs w:val="24"/>
        </w:rPr>
        <w:t xml:space="preserve">Primary outcome (CLBR at 6 </w:t>
      </w:r>
      <w:r w:rsidR="00F25724">
        <w:rPr>
          <w:rFonts w:asciiTheme="majorHAnsi" w:eastAsiaTheme="majorEastAsia" w:hAnsiTheme="majorHAnsi" w:cstheme="majorBidi"/>
          <w:color w:val="1F4D78" w:themeColor="accent1" w:themeShade="7F"/>
          <w:sz w:val="24"/>
          <w:szCs w:val="24"/>
        </w:rPr>
        <w:t xml:space="preserve">or 7 </w:t>
      </w:r>
      <w:r w:rsidRPr="004062A6">
        <w:rPr>
          <w:rFonts w:asciiTheme="majorHAnsi" w:eastAsiaTheme="majorEastAsia" w:hAnsiTheme="majorHAnsi" w:cstheme="majorBidi"/>
          <w:color w:val="1F4D78" w:themeColor="accent1" w:themeShade="7F"/>
          <w:sz w:val="24"/>
          <w:szCs w:val="24"/>
        </w:rPr>
        <w:t>months</w:t>
      </w:r>
      <w:r w:rsidR="000D3D25">
        <w:rPr>
          <w:rFonts w:asciiTheme="majorHAnsi" w:eastAsiaTheme="majorEastAsia" w:hAnsiTheme="majorHAnsi" w:cstheme="majorBidi"/>
          <w:color w:val="1F4D78" w:themeColor="accent1" w:themeShade="7F"/>
          <w:sz w:val="24"/>
          <w:szCs w:val="24"/>
        </w:rPr>
        <w:t>/185 or 215 days</w:t>
      </w:r>
      <w:r w:rsidRPr="004062A6">
        <w:rPr>
          <w:rFonts w:asciiTheme="majorHAnsi" w:eastAsiaTheme="majorEastAsia" w:hAnsiTheme="majorHAnsi" w:cstheme="majorBidi"/>
          <w:color w:val="1F4D78" w:themeColor="accent1" w:themeShade="7F"/>
          <w:sz w:val="24"/>
          <w:szCs w:val="24"/>
        </w:rPr>
        <w:t>)</w:t>
      </w:r>
    </w:p>
    <w:p w14:paraId="06DDBC25" w14:textId="77777777" w:rsidR="004062A6" w:rsidRPr="004062A6" w:rsidRDefault="004062A6" w:rsidP="004062A6"/>
    <w:p w14:paraId="03877F3B" w14:textId="3221CBDC" w:rsidR="004062A6" w:rsidRPr="004062A6" w:rsidRDefault="004062A6" w:rsidP="004062A6">
      <w:r w:rsidRPr="004062A6">
        <w:t>Primary analysis of CLBR will be conducted using logistic regression. The outcome of any ongoing pregnancies at 6 months</w:t>
      </w:r>
      <w:r w:rsidR="000D3D25">
        <w:t>/185 days</w:t>
      </w:r>
      <w:r w:rsidR="00684F3A">
        <w:t xml:space="preserve"> (7 months</w:t>
      </w:r>
      <w:r w:rsidR="000D3D25">
        <w:t>/215 days</w:t>
      </w:r>
      <w:r w:rsidR="00E60144">
        <w:t>)</w:t>
      </w:r>
      <w:r w:rsidR="00684F3A">
        <w:t>, following the change of the primary endpoint date)</w:t>
      </w:r>
      <w:r w:rsidRPr="004062A6">
        <w:t xml:space="preserve"> post randomisation will be included. This will be adjusted for the stratification variables: age and centre. </w:t>
      </w:r>
      <w:proofErr w:type="gramStart"/>
      <w:r w:rsidRPr="004062A6">
        <w:t>For the purpose of</w:t>
      </w:r>
      <w:proofErr w:type="gramEnd"/>
      <w:r w:rsidRPr="004062A6">
        <w:t xml:space="preserve"> comparison with the non-inferiority margin, a risk difference will be obtained from the fitted model, by predicting risk under both allocations for each patient. A bootstrap procedure will be used to calculate the 95% confidence interval, which will be used to test the hypothesis of non-inferiority.</w:t>
      </w:r>
    </w:p>
    <w:p w14:paraId="0028BF39" w14:textId="77777777" w:rsidR="004062A6" w:rsidRPr="004062A6" w:rsidRDefault="004062A6" w:rsidP="004062A6"/>
    <w:p w14:paraId="363C9771" w14:textId="77777777" w:rsidR="004062A6" w:rsidRPr="004062A6" w:rsidRDefault="004062A6" w:rsidP="004062A6">
      <w:pPr>
        <w:keepNext/>
        <w:keepLines/>
        <w:spacing w:before="40" w:after="0"/>
        <w:outlineLvl w:val="2"/>
        <w:rPr>
          <w:rFonts w:asciiTheme="majorHAnsi" w:eastAsiaTheme="majorEastAsia" w:hAnsiTheme="majorHAnsi" w:cstheme="majorBidi"/>
          <w:color w:val="1F4D78" w:themeColor="accent1" w:themeShade="7F"/>
          <w:sz w:val="24"/>
          <w:szCs w:val="24"/>
        </w:rPr>
      </w:pPr>
      <w:r w:rsidRPr="004062A6">
        <w:rPr>
          <w:rFonts w:asciiTheme="majorHAnsi" w:eastAsiaTheme="majorEastAsia" w:hAnsiTheme="majorHAnsi" w:cstheme="majorBidi"/>
          <w:color w:val="1F4D78" w:themeColor="accent1" w:themeShade="7F"/>
          <w:sz w:val="24"/>
          <w:szCs w:val="24"/>
        </w:rPr>
        <w:t>Secondary outcomes</w:t>
      </w:r>
    </w:p>
    <w:p w14:paraId="4D8AAA8F" w14:textId="77777777" w:rsidR="004062A6" w:rsidRPr="004062A6" w:rsidRDefault="004062A6" w:rsidP="004062A6"/>
    <w:p w14:paraId="5BBE1660" w14:textId="40D38511" w:rsidR="004062A6" w:rsidRDefault="004062A6" w:rsidP="00BB6C64">
      <w:pPr>
        <w:keepNext/>
        <w:keepLines/>
        <w:spacing w:before="40" w:after="0"/>
        <w:jc w:val="both"/>
        <w:outlineLvl w:val="1"/>
      </w:pPr>
      <w:r w:rsidRPr="004062A6">
        <w:t>For continuous and binary outcomes, linear and logistic regression will be employed, adjusting for the stratification variables. For time to pregnancy leading to live birth, a Cox regression model will be used, and cumulative incidence will be plotted.</w:t>
      </w:r>
      <w:r w:rsidR="00D44218">
        <w:t xml:space="preserve"> Analyses of the secondary outcomes will be perf</w:t>
      </w:r>
      <w:r w:rsidR="00BB6C64">
        <w:t xml:space="preserve">ormed using the analysis sets corresponding to </w:t>
      </w:r>
      <w:proofErr w:type="spellStart"/>
      <w:r w:rsidR="00BB6C64">
        <w:t>estimands</w:t>
      </w:r>
      <w:proofErr w:type="spellEnd"/>
      <w:r w:rsidR="00BB6C64">
        <w:t xml:space="preserve"> 1 and 2 (see </w:t>
      </w:r>
      <w:r w:rsidR="00BB6C64" w:rsidRPr="00BB6C64">
        <w:rPr>
          <w:i/>
        </w:rPr>
        <w:t>Compliance and protocol violation</w:t>
      </w:r>
      <w:r w:rsidR="00BB6C64">
        <w:t>).</w:t>
      </w:r>
    </w:p>
    <w:p w14:paraId="0DA4C328" w14:textId="77777777" w:rsidR="00B82BCD" w:rsidRPr="004062A6" w:rsidRDefault="00B82BCD" w:rsidP="00BB6C64">
      <w:pPr>
        <w:keepNext/>
        <w:keepLines/>
        <w:spacing w:before="40" w:after="0"/>
        <w:jc w:val="both"/>
        <w:outlineLvl w:val="1"/>
        <w:rPr>
          <w:rFonts w:asciiTheme="majorHAnsi" w:eastAsiaTheme="majorEastAsia" w:hAnsiTheme="majorHAnsi" w:cstheme="majorBidi"/>
          <w:color w:val="2E74B5" w:themeColor="accent1" w:themeShade="BF"/>
          <w:sz w:val="26"/>
          <w:szCs w:val="26"/>
        </w:rPr>
      </w:pPr>
    </w:p>
    <w:p w14:paraId="266D4654" w14:textId="764399A6" w:rsidR="004062A6" w:rsidRPr="004062A6" w:rsidRDefault="00B82BCD" w:rsidP="004062A6">
      <w:r>
        <w:t xml:space="preserve">Because women have multiple chances at conception in the study, miscarriage and live birth are not mutually exclusive events. For example, a woman could have a miscarriage in one attempt, and a live birth in a subsequent attempt. In this case, she would be included both as having a miscarriage </w:t>
      </w:r>
      <w:r>
        <w:lastRenderedPageBreak/>
        <w:t>and as having a live birth in the respective analyses of these outcomes</w:t>
      </w:r>
      <w:r w:rsidR="00AE7DD0">
        <w:t>.</w:t>
      </w:r>
      <w:r w:rsidR="00515A98">
        <w:t xml:space="preserve"> Because a woman may have several pregnancies and miscarriages in this study, we will report these outcomes both as ‘any per woman’ (a binary outcome) and as ‘number per woman’ (a count outcome).</w:t>
      </w:r>
    </w:p>
    <w:p w14:paraId="492FDC1B" w14:textId="77777777" w:rsidR="004062A6" w:rsidRPr="004062A6" w:rsidRDefault="004062A6" w:rsidP="004062A6">
      <w:pPr>
        <w:keepNext/>
        <w:keepLines/>
        <w:spacing w:before="40" w:after="0"/>
        <w:outlineLvl w:val="2"/>
        <w:rPr>
          <w:rFonts w:asciiTheme="majorHAnsi" w:eastAsiaTheme="majorEastAsia" w:hAnsiTheme="majorHAnsi" w:cstheme="majorBidi"/>
          <w:color w:val="1F4D78" w:themeColor="accent1" w:themeShade="7F"/>
          <w:sz w:val="24"/>
          <w:szCs w:val="24"/>
        </w:rPr>
      </w:pPr>
      <w:r w:rsidRPr="004062A6">
        <w:rPr>
          <w:rFonts w:asciiTheme="majorHAnsi" w:eastAsiaTheme="majorEastAsia" w:hAnsiTheme="majorHAnsi" w:cstheme="majorBidi"/>
          <w:color w:val="1F4D78" w:themeColor="accent1" w:themeShade="7F"/>
          <w:sz w:val="24"/>
          <w:szCs w:val="24"/>
        </w:rPr>
        <w:t>Subgroup analyses</w:t>
      </w:r>
    </w:p>
    <w:p w14:paraId="4C1BDE9C" w14:textId="77777777" w:rsidR="004062A6" w:rsidRPr="004062A6" w:rsidRDefault="004062A6" w:rsidP="004062A6"/>
    <w:p w14:paraId="6437E89A" w14:textId="4DC2BF0B" w:rsidR="004062A6" w:rsidRPr="004062A6" w:rsidRDefault="004062A6" w:rsidP="004062A6">
      <w:pPr>
        <w:spacing w:after="0" w:line="240" w:lineRule="auto"/>
        <w:rPr>
          <w:rFonts w:ascii="Calibri" w:hAnsi="Calibri" w:cs="Calibri"/>
        </w:rPr>
      </w:pPr>
      <w:r w:rsidRPr="004062A6">
        <w:rPr>
          <w:rFonts w:ascii="Calibri" w:hAnsi="Calibri" w:cs="Calibri"/>
        </w:rPr>
        <w:t>Exploratory subgroup analyses for CLBR will be performed, but the trial is not powered to this end. These will involve tests of interaction between treatment and age and between treatment and number of previous treatment attempts. These analyses will be considered hypothesis generating.</w:t>
      </w:r>
    </w:p>
    <w:p w14:paraId="4FE3454B" w14:textId="77777777" w:rsidR="004062A6" w:rsidRPr="004062A6" w:rsidRDefault="004062A6" w:rsidP="004062A6"/>
    <w:p w14:paraId="5CE636EB" w14:textId="77777777" w:rsidR="004062A6" w:rsidRPr="004062A6" w:rsidRDefault="004062A6" w:rsidP="004062A6"/>
    <w:p w14:paraId="06D5CC10" w14:textId="77777777" w:rsidR="004062A6" w:rsidRPr="004062A6" w:rsidRDefault="004062A6" w:rsidP="004062A6">
      <w:pPr>
        <w:keepNext/>
        <w:keepLines/>
        <w:spacing w:before="40" w:after="0"/>
        <w:outlineLvl w:val="2"/>
        <w:rPr>
          <w:rFonts w:asciiTheme="majorHAnsi" w:eastAsiaTheme="majorEastAsia" w:hAnsiTheme="majorHAnsi" w:cstheme="majorBidi"/>
          <w:color w:val="1F4D78" w:themeColor="accent1" w:themeShade="7F"/>
          <w:sz w:val="24"/>
          <w:szCs w:val="24"/>
        </w:rPr>
      </w:pPr>
      <w:r w:rsidRPr="004062A6">
        <w:rPr>
          <w:rFonts w:asciiTheme="majorHAnsi" w:eastAsiaTheme="majorEastAsia" w:hAnsiTheme="majorHAnsi" w:cstheme="majorBidi"/>
          <w:color w:val="1F4D78" w:themeColor="accent1" w:themeShade="7F"/>
          <w:sz w:val="24"/>
          <w:szCs w:val="24"/>
        </w:rPr>
        <w:t>Sensitivity analyses</w:t>
      </w:r>
    </w:p>
    <w:p w14:paraId="53022A7F" w14:textId="77777777" w:rsidR="004062A6" w:rsidRPr="004062A6" w:rsidRDefault="004062A6" w:rsidP="004062A6"/>
    <w:p w14:paraId="15253C2E" w14:textId="77777777" w:rsidR="004062A6" w:rsidRPr="004062A6" w:rsidRDefault="004062A6" w:rsidP="004062A6">
      <w:r w:rsidRPr="004062A6">
        <w:t xml:space="preserve">Sensitivity analyses will be conducted around the missing data assumptions used in the analysis of the primary outcome (see section, Missing outcome data). </w:t>
      </w:r>
    </w:p>
    <w:p w14:paraId="508275B8" w14:textId="77777777" w:rsidR="004062A6" w:rsidRPr="004062A6" w:rsidRDefault="004062A6" w:rsidP="004062A6"/>
    <w:p w14:paraId="0E9DDA1A" w14:textId="77777777" w:rsidR="004F7E1B" w:rsidRPr="004F7E1B" w:rsidRDefault="004F7E1B" w:rsidP="004F7E1B">
      <w:pPr>
        <w:keepNext/>
        <w:keepLines/>
        <w:spacing w:before="40" w:after="0"/>
        <w:outlineLvl w:val="2"/>
        <w:rPr>
          <w:rFonts w:asciiTheme="majorHAnsi" w:eastAsiaTheme="majorEastAsia" w:hAnsiTheme="majorHAnsi" w:cstheme="majorBidi"/>
          <w:color w:val="1F4D78" w:themeColor="accent1" w:themeShade="7F"/>
          <w:sz w:val="24"/>
          <w:szCs w:val="24"/>
        </w:rPr>
      </w:pPr>
      <w:r w:rsidRPr="004F7E1B">
        <w:rPr>
          <w:rFonts w:asciiTheme="majorHAnsi" w:eastAsiaTheme="majorEastAsia" w:hAnsiTheme="majorHAnsi" w:cstheme="majorBidi"/>
          <w:color w:val="1F4D78" w:themeColor="accent1" w:themeShade="7F"/>
          <w:sz w:val="24"/>
          <w:szCs w:val="24"/>
        </w:rPr>
        <w:t>Safety data</w:t>
      </w:r>
    </w:p>
    <w:p w14:paraId="58C4CAEB" w14:textId="77777777" w:rsidR="004F7E1B" w:rsidRPr="004F7E1B" w:rsidRDefault="004F7E1B" w:rsidP="004F7E1B"/>
    <w:p w14:paraId="10A99169" w14:textId="77777777" w:rsidR="004F7E1B" w:rsidRPr="004F7E1B" w:rsidRDefault="004F7E1B" w:rsidP="004F7E1B">
      <w:r w:rsidRPr="004F7E1B">
        <w:t>Serious adverse events will be analysed descriptively, by treatment group.</w:t>
      </w:r>
    </w:p>
    <w:p w14:paraId="543C1C2B" w14:textId="77777777" w:rsidR="004F7E1B" w:rsidRPr="004F7E1B" w:rsidRDefault="004F7E1B" w:rsidP="004F7E1B"/>
    <w:p w14:paraId="21119236" w14:textId="77777777" w:rsidR="004F7E1B" w:rsidRPr="004F7E1B" w:rsidRDefault="004F7E1B" w:rsidP="004F7E1B"/>
    <w:p w14:paraId="3A22ED5F" w14:textId="77777777" w:rsidR="004F7E1B" w:rsidRPr="004F7E1B" w:rsidRDefault="004F7E1B" w:rsidP="004F7E1B">
      <w:pPr>
        <w:keepNext/>
        <w:keepLines/>
        <w:spacing w:before="40" w:after="0"/>
        <w:outlineLvl w:val="1"/>
        <w:rPr>
          <w:rFonts w:asciiTheme="majorHAnsi" w:eastAsiaTheme="majorEastAsia" w:hAnsiTheme="majorHAnsi" w:cstheme="majorBidi"/>
          <w:color w:val="2E74B5" w:themeColor="accent1" w:themeShade="BF"/>
          <w:sz w:val="26"/>
          <w:szCs w:val="26"/>
        </w:rPr>
      </w:pPr>
      <w:r w:rsidRPr="004F7E1B">
        <w:rPr>
          <w:rFonts w:asciiTheme="majorHAnsi" w:eastAsiaTheme="majorEastAsia" w:hAnsiTheme="majorHAnsi" w:cstheme="majorBidi"/>
          <w:color w:val="2E74B5" w:themeColor="accent1" w:themeShade="BF"/>
          <w:sz w:val="26"/>
          <w:szCs w:val="26"/>
        </w:rPr>
        <w:t>Software</w:t>
      </w:r>
    </w:p>
    <w:p w14:paraId="68F9217D" w14:textId="77777777" w:rsidR="004F7E1B" w:rsidRPr="004F7E1B" w:rsidRDefault="004F7E1B" w:rsidP="004F7E1B"/>
    <w:p w14:paraId="3886994B" w14:textId="77777777" w:rsidR="004F7E1B" w:rsidRPr="004F7E1B" w:rsidRDefault="004F7E1B" w:rsidP="004F7E1B">
      <w:r w:rsidRPr="004F7E1B">
        <w:t xml:space="preserve">Analysis will be conducted in R. </w:t>
      </w:r>
    </w:p>
    <w:p w14:paraId="3AF5DA68" w14:textId="04C8A0E0" w:rsidR="004062A6" w:rsidRDefault="004062A6" w:rsidP="002E5609">
      <w:pPr>
        <w:jc w:val="both"/>
      </w:pPr>
    </w:p>
    <w:p w14:paraId="1B4FD510" w14:textId="39664C1C" w:rsidR="003061B8" w:rsidRDefault="003061B8" w:rsidP="002E5609">
      <w:pPr>
        <w:jc w:val="both"/>
      </w:pPr>
    </w:p>
    <w:p w14:paraId="0B7E64F7" w14:textId="77777777" w:rsidR="00557E6E" w:rsidRDefault="00557E6E" w:rsidP="002E5609">
      <w:pPr>
        <w:jc w:val="both"/>
      </w:pPr>
    </w:p>
    <w:p w14:paraId="4DA415D7" w14:textId="644A3F73" w:rsidR="00557E6E" w:rsidRPr="004E3D9B" w:rsidRDefault="004E3D9B" w:rsidP="002E5609">
      <w:pPr>
        <w:jc w:val="both"/>
        <w:rPr>
          <w:rFonts w:asciiTheme="majorHAnsi" w:hAnsiTheme="majorHAnsi" w:cstheme="majorHAnsi"/>
          <w:color w:val="5B9BD5" w:themeColor="accent1"/>
          <w:sz w:val="26"/>
          <w:szCs w:val="26"/>
        </w:rPr>
      </w:pPr>
      <w:r w:rsidRPr="004E3D9B">
        <w:rPr>
          <w:rFonts w:asciiTheme="majorHAnsi" w:hAnsiTheme="majorHAnsi" w:cstheme="majorHAnsi"/>
          <w:color w:val="5B9BD5" w:themeColor="accent1"/>
          <w:sz w:val="26"/>
          <w:szCs w:val="26"/>
        </w:rPr>
        <w:t>References</w:t>
      </w:r>
    </w:p>
    <w:p w14:paraId="3594724A" w14:textId="77777777" w:rsidR="002A0592" w:rsidRPr="002A0592" w:rsidRDefault="00557E6E" w:rsidP="002A0592">
      <w:pPr>
        <w:pStyle w:val="EndNoteBibliography"/>
        <w:spacing w:after="0"/>
      </w:pPr>
      <w:r>
        <w:fldChar w:fldCharType="begin"/>
      </w:r>
      <w:r>
        <w:instrText xml:space="preserve"> ADDIN EN.REFLIST </w:instrText>
      </w:r>
      <w:r>
        <w:fldChar w:fldCharType="separate"/>
      </w:r>
      <w:r w:rsidR="002A0592" w:rsidRPr="002A0592">
        <w:t>[1] Cro S, Morris TP, Kahan BC, Cornelius VR, Carpenter JR. A four-step strategy for handling missing outcome data in randomised trials affected by a pandemic. BMC Med Res Methodol. 2020;20:208.</w:t>
      </w:r>
    </w:p>
    <w:p w14:paraId="1C01C264" w14:textId="77777777" w:rsidR="002A0592" w:rsidRPr="002A0592" w:rsidRDefault="002A0592" w:rsidP="002A0592">
      <w:pPr>
        <w:pStyle w:val="EndNoteBibliography"/>
        <w:spacing w:after="0"/>
      </w:pPr>
      <w:r w:rsidRPr="002A0592">
        <w:t>[2] European Medicines Agency. ICH E9 (R1) addendum on estimands and sensitivity analysis in clinical trials to the guideline on statistical principles for clinical trials 2020.</w:t>
      </w:r>
    </w:p>
    <w:p w14:paraId="0F05E2EA" w14:textId="77777777" w:rsidR="002A0592" w:rsidRPr="002A0592" w:rsidRDefault="002A0592" w:rsidP="002A0592">
      <w:pPr>
        <w:pStyle w:val="EndNoteBibliography"/>
      </w:pPr>
      <w:r w:rsidRPr="002A0592">
        <w:t>[3] Harris PA, Taylor R, Minor BL, Elliott V, Fernandez M, O'Neal L, et al. The REDCap consortium: Building an international community of software platform partners. J Biomed Inform. 2019;95:103208.</w:t>
      </w:r>
    </w:p>
    <w:p w14:paraId="42CEDEC3" w14:textId="578B0C5A" w:rsidR="0065575A" w:rsidRDefault="00557E6E" w:rsidP="002E5609">
      <w:pPr>
        <w:jc w:val="both"/>
      </w:pPr>
      <w:r>
        <w:fldChar w:fldCharType="end"/>
      </w:r>
    </w:p>
    <w:sectPr w:rsidR="00655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3794A"/>
    <w:multiLevelType w:val="hybridMultilevel"/>
    <w:tmpl w:val="D01E8C7E"/>
    <w:lvl w:ilvl="0" w:tplc="464A00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1604A8"/>
    <w:multiLevelType w:val="hybridMultilevel"/>
    <w:tmpl w:val="F2D452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AE8597E"/>
    <w:multiLevelType w:val="hybridMultilevel"/>
    <w:tmpl w:val="41E6A0B6"/>
    <w:lvl w:ilvl="0" w:tplc="33B4DB3E">
      <w:start w:val="1"/>
      <w:numFmt w:val="bullet"/>
      <w:lvlText w:val="•"/>
      <w:lvlJc w:val="left"/>
      <w:pPr>
        <w:tabs>
          <w:tab w:val="num" w:pos="720"/>
        </w:tabs>
        <w:ind w:left="720" w:hanging="360"/>
      </w:pPr>
      <w:rPr>
        <w:rFonts w:ascii="Arial" w:hAnsi="Arial" w:hint="default"/>
      </w:rPr>
    </w:lvl>
    <w:lvl w:ilvl="1" w:tplc="69428350">
      <w:start w:val="2108"/>
      <w:numFmt w:val="bullet"/>
      <w:lvlText w:val="•"/>
      <w:lvlJc w:val="left"/>
      <w:pPr>
        <w:tabs>
          <w:tab w:val="num" w:pos="1440"/>
        </w:tabs>
        <w:ind w:left="1440" w:hanging="360"/>
      </w:pPr>
      <w:rPr>
        <w:rFonts w:ascii="Arial" w:hAnsi="Arial" w:hint="default"/>
      </w:rPr>
    </w:lvl>
    <w:lvl w:ilvl="2" w:tplc="28D26784" w:tentative="1">
      <w:start w:val="1"/>
      <w:numFmt w:val="bullet"/>
      <w:lvlText w:val="•"/>
      <w:lvlJc w:val="left"/>
      <w:pPr>
        <w:tabs>
          <w:tab w:val="num" w:pos="2160"/>
        </w:tabs>
        <w:ind w:left="2160" w:hanging="360"/>
      </w:pPr>
      <w:rPr>
        <w:rFonts w:ascii="Arial" w:hAnsi="Arial" w:hint="default"/>
      </w:rPr>
    </w:lvl>
    <w:lvl w:ilvl="3" w:tplc="B3BA994A" w:tentative="1">
      <w:start w:val="1"/>
      <w:numFmt w:val="bullet"/>
      <w:lvlText w:val="•"/>
      <w:lvlJc w:val="left"/>
      <w:pPr>
        <w:tabs>
          <w:tab w:val="num" w:pos="2880"/>
        </w:tabs>
        <w:ind w:left="2880" w:hanging="360"/>
      </w:pPr>
      <w:rPr>
        <w:rFonts w:ascii="Arial" w:hAnsi="Arial" w:hint="default"/>
      </w:rPr>
    </w:lvl>
    <w:lvl w:ilvl="4" w:tplc="3800CD82" w:tentative="1">
      <w:start w:val="1"/>
      <w:numFmt w:val="bullet"/>
      <w:lvlText w:val="•"/>
      <w:lvlJc w:val="left"/>
      <w:pPr>
        <w:tabs>
          <w:tab w:val="num" w:pos="3600"/>
        </w:tabs>
        <w:ind w:left="3600" w:hanging="360"/>
      </w:pPr>
      <w:rPr>
        <w:rFonts w:ascii="Arial" w:hAnsi="Arial" w:hint="default"/>
      </w:rPr>
    </w:lvl>
    <w:lvl w:ilvl="5" w:tplc="7EF27BF4" w:tentative="1">
      <w:start w:val="1"/>
      <w:numFmt w:val="bullet"/>
      <w:lvlText w:val="•"/>
      <w:lvlJc w:val="left"/>
      <w:pPr>
        <w:tabs>
          <w:tab w:val="num" w:pos="4320"/>
        </w:tabs>
        <w:ind w:left="4320" w:hanging="360"/>
      </w:pPr>
      <w:rPr>
        <w:rFonts w:ascii="Arial" w:hAnsi="Arial" w:hint="default"/>
      </w:rPr>
    </w:lvl>
    <w:lvl w:ilvl="6" w:tplc="B992AC1A" w:tentative="1">
      <w:start w:val="1"/>
      <w:numFmt w:val="bullet"/>
      <w:lvlText w:val="•"/>
      <w:lvlJc w:val="left"/>
      <w:pPr>
        <w:tabs>
          <w:tab w:val="num" w:pos="5040"/>
        </w:tabs>
        <w:ind w:left="5040" w:hanging="360"/>
      </w:pPr>
      <w:rPr>
        <w:rFonts w:ascii="Arial" w:hAnsi="Arial" w:hint="default"/>
      </w:rPr>
    </w:lvl>
    <w:lvl w:ilvl="7" w:tplc="E3525762" w:tentative="1">
      <w:start w:val="1"/>
      <w:numFmt w:val="bullet"/>
      <w:lvlText w:val="•"/>
      <w:lvlJc w:val="left"/>
      <w:pPr>
        <w:tabs>
          <w:tab w:val="num" w:pos="5760"/>
        </w:tabs>
        <w:ind w:left="5760" w:hanging="360"/>
      </w:pPr>
      <w:rPr>
        <w:rFonts w:ascii="Arial" w:hAnsi="Arial" w:hint="default"/>
      </w:rPr>
    </w:lvl>
    <w:lvl w:ilvl="8" w:tplc="9E8497C8" w:tentative="1">
      <w:start w:val="1"/>
      <w:numFmt w:val="bullet"/>
      <w:lvlText w:val="•"/>
      <w:lvlJc w:val="left"/>
      <w:pPr>
        <w:tabs>
          <w:tab w:val="num" w:pos="6480"/>
        </w:tabs>
        <w:ind w:left="6480" w:hanging="360"/>
      </w:pPr>
      <w:rPr>
        <w:rFonts w:ascii="Arial" w:hAnsi="Arial" w:hint="default"/>
      </w:rPr>
    </w:lvl>
  </w:abstractNum>
  <w:num w:numId="1" w16cid:durableId="1109198959">
    <w:abstractNumId w:val="2"/>
  </w:num>
  <w:num w:numId="2" w16cid:durableId="1726563198">
    <w:abstractNumId w:val="0"/>
  </w:num>
  <w:num w:numId="3" w16cid:durableId="53388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pidem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ds2pt5dsz0wredsx6ptxw8dx2w5wrwrfra&quot;&gt;My EndNote Library-Saved&lt;record-ids&gt;&lt;item&gt;4137&lt;/item&gt;&lt;item&gt;4138&lt;/item&gt;&lt;item&gt;4139&lt;/item&gt;&lt;/record-ids&gt;&lt;/item&gt;&lt;/Libraries&gt;"/>
  </w:docVars>
  <w:rsids>
    <w:rsidRoot w:val="00573653"/>
    <w:rsid w:val="000056CE"/>
    <w:rsid w:val="0000637C"/>
    <w:rsid w:val="00017550"/>
    <w:rsid w:val="0002248A"/>
    <w:rsid w:val="00027524"/>
    <w:rsid w:val="00047295"/>
    <w:rsid w:val="000642E3"/>
    <w:rsid w:val="00064DE5"/>
    <w:rsid w:val="00071D28"/>
    <w:rsid w:val="000734B7"/>
    <w:rsid w:val="00080164"/>
    <w:rsid w:val="0008229B"/>
    <w:rsid w:val="00086CE5"/>
    <w:rsid w:val="00092DD0"/>
    <w:rsid w:val="00096C6C"/>
    <w:rsid w:val="000A2BFB"/>
    <w:rsid w:val="000C12FB"/>
    <w:rsid w:val="000C4F29"/>
    <w:rsid w:val="000C6AA1"/>
    <w:rsid w:val="000D2BD4"/>
    <w:rsid w:val="000D3D25"/>
    <w:rsid w:val="0012736B"/>
    <w:rsid w:val="00141E9A"/>
    <w:rsid w:val="0014628D"/>
    <w:rsid w:val="00163245"/>
    <w:rsid w:val="00180CB6"/>
    <w:rsid w:val="00197CD0"/>
    <w:rsid w:val="001A0569"/>
    <w:rsid w:val="001A2911"/>
    <w:rsid w:val="001A4F03"/>
    <w:rsid w:val="001B39BE"/>
    <w:rsid w:val="001D16D6"/>
    <w:rsid w:val="001E4447"/>
    <w:rsid w:val="001E51D6"/>
    <w:rsid w:val="001F2A78"/>
    <w:rsid w:val="002073E0"/>
    <w:rsid w:val="002241C0"/>
    <w:rsid w:val="00231BBB"/>
    <w:rsid w:val="00236D38"/>
    <w:rsid w:val="002404B3"/>
    <w:rsid w:val="002518D4"/>
    <w:rsid w:val="002566AE"/>
    <w:rsid w:val="00265BE1"/>
    <w:rsid w:val="002727E9"/>
    <w:rsid w:val="00287786"/>
    <w:rsid w:val="0029096B"/>
    <w:rsid w:val="00291983"/>
    <w:rsid w:val="00294B90"/>
    <w:rsid w:val="00295D0A"/>
    <w:rsid w:val="002962E7"/>
    <w:rsid w:val="002A0592"/>
    <w:rsid w:val="002C6A37"/>
    <w:rsid w:val="002E5609"/>
    <w:rsid w:val="002F014D"/>
    <w:rsid w:val="003061B8"/>
    <w:rsid w:val="00314065"/>
    <w:rsid w:val="00323192"/>
    <w:rsid w:val="00360078"/>
    <w:rsid w:val="00360A44"/>
    <w:rsid w:val="003760FC"/>
    <w:rsid w:val="003B46F0"/>
    <w:rsid w:val="003B629A"/>
    <w:rsid w:val="003C6C58"/>
    <w:rsid w:val="003C7928"/>
    <w:rsid w:val="003C7CD5"/>
    <w:rsid w:val="003D0DB3"/>
    <w:rsid w:val="003D245A"/>
    <w:rsid w:val="003E7981"/>
    <w:rsid w:val="00404404"/>
    <w:rsid w:val="00405831"/>
    <w:rsid w:val="004062A6"/>
    <w:rsid w:val="004127E8"/>
    <w:rsid w:val="00422DA0"/>
    <w:rsid w:val="00423EEE"/>
    <w:rsid w:val="00456FBF"/>
    <w:rsid w:val="004828AF"/>
    <w:rsid w:val="00484DB5"/>
    <w:rsid w:val="004A429C"/>
    <w:rsid w:val="004C147C"/>
    <w:rsid w:val="004C536A"/>
    <w:rsid w:val="004D42E8"/>
    <w:rsid w:val="004D56AA"/>
    <w:rsid w:val="004E3D9B"/>
    <w:rsid w:val="004E42BA"/>
    <w:rsid w:val="004E7563"/>
    <w:rsid w:val="004F7E1B"/>
    <w:rsid w:val="0050690B"/>
    <w:rsid w:val="005157E8"/>
    <w:rsid w:val="00515A98"/>
    <w:rsid w:val="00516E0E"/>
    <w:rsid w:val="00520792"/>
    <w:rsid w:val="0052241E"/>
    <w:rsid w:val="00524FD7"/>
    <w:rsid w:val="00557E6E"/>
    <w:rsid w:val="005604EC"/>
    <w:rsid w:val="005726D3"/>
    <w:rsid w:val="00573653"/>
    <w:rsid w:val="00580547"/>
    <w:rsid w:val="005917FB"/>
    <w:rsid w:val="005A4DE7"/>
    <w:rsid w:val="005C33F8"/>
    <w:rsid w:val="005F4D69"/>
    <w:rsid w:val="00616F7D"/>
    <w:rsid w:val="0065575A"/>
    <w:rsid w:val="0066141F"/>
    <w:rsid w:val="00680282"/>
    <w:rsid w:val="006830C0"/>
    <w:rsid w:val="00684F3A"/>
    <w:rsid w:val="00694FCE"/>
    <w:rsid w:val="006C4A09"/>
    <w:rsid w:val="006D4957"/>
    <w:rsid w:val="006E6709"/>
    <w:rsid w:val="00704E59"/>
    <w:rsid w:val="00705FD7"/>
    <w:rsid w:val="00743907"/>
    <w:rsid w:val="00755F81"/>
    <w:rsid w:val="00757DA6"/>
    <w:rsid w:val="007646B0"/>
    <w:rsid w:val="0077270E"/>
    <w:rsid w:val="007846C8"/>
    <w:rsid w:val="0078480F"/>
    <w:rsid w:val="00785573"/>
    <w:rsid w:val="007942E8"/>
    <w:rsid w:val="007A6B00"/>
    <w:rsid w:val="007B07B7"/>
    <w:rsid w:val="007B1CF1"/>
    <w:rsid w:val="007B6C88"/>
    <w:rsid w:val="007E4E1C"/>
    <w:rsid w:val="007E64FC"/>
    <w:rsid w:val="0081001C"/>
    <w:rsid w:val="00814287"/>
    <w:rsid w:val="00844A69"/>
    <w:rsid w:val="0085348D"/>
    <w:rsid w:val="008558D4"/>
    <w:rsid w:val="00856719"/>
    <w:rsid w:val="0086786F"/>
    <w:rsid w:val="00873F0E"/>
    <w:rsid w:val="00880A9E"/>
    <w:rsid w:val="008853E5"/>
    <w:rsid w:val="008921AB"/>
    <w:rsid w:val="008B35C9"/>
    <w:rsid w:val="008C17C4"/>
    <w:rsid w:val="008D7BA5"/>
    <w:rsid w:val="008E4D77"/>
    <w:rsid w:val="0090029B"/>
    <w:rsid w:val="009160CD"/>
    <w:rsid w:val="00926575"/>
    <w:rsid w:val="0093493E"/>
    <w:rsid w:val="00936E6D"/>
    <w:rsid w:val="00953619"/>
    <w:rsid w:val="00955DBE"/>
    <w:rsid w:val="00966976"/>
    <w:rsid w:val="0097259C"/>
    <w:rsid w:val="00985BD4"/>
    <w:rsid w:val="0099232F"/>
    <w:rsid w:val="009B53DC"/>
    <w:rsid w:val="009C507D"/>
    <w:rsid w:val="009C53D4"/>
    <w:rsid w:val="009D2540"/>
    <w:rsid w:val="009D331F"/>
    <w:rsid w:val="00A05630"/>
    <w:rsid w:val="00A07B19"/>
    <w:rsid w:val="00A20ACD"/>
    <w:rsid w:val="00A27326"/>
    <w:rsid w:val="00A276ED"/>
    <w:rsid w:val="00A714EB"/>
    <w:rsid w:val="00A73344"/>
    <w:rsid w:val="00A91BFB"/>
    <w:rsid w:val="00A96DD4"/>
    <w:rsid w:val="00AC6D69"/>
    <w:rsid w:val="00AD2B4E"/>
    <w:rsid w:val="00AE066B"/>
    <w:rsid w:val="00AE7DD0"/>
    <w:rsid w:val="00AF0A35"/>
    <w:rsid w:val="00B04E78"/>
    <w:rsid w:val="00B31D92"/>
    <w:rsid w:val="00B75249"/>
    <w:rsid w:val="00B82BC3"/>
    <w:rsid w:val="00B82BCD"/>
    <w:rsid w:val="00BA32EC"/>
    <w:rsid w:val="00BA3E14"/>
    <w:rsid w:val="00BB6C64"/>
    <w:rsid w:val="00BC0650"/>
    <w:rsid w:val="00BD38D6"/>
    <w:rsid w:val="00BD6F47"/>
    <w:rsid w:val="00BE7E6E"/>
    <w:rsid w:val="00BF6BB0"/>
    <w:rsid w:val="00C01DE1"/>
    <w:rsid w:val="00C34A33"/>
    <w:rsid w:val="00C42BB1"/>
    <w:rsid w:val="00C51447"/>
    <w:rsid w:val="00C51BCF"/>
    <w:rsid w:val="00C54F6F"/>
    <w:rsid w:val="00C63FF5"/>
    <w:rsid w:val="00C7670D"/>
    <w:rsid w:val="00C86946"/>
    <w:rsid w:val="00C96817"/>
    <w:rsid w:val="00CB1460"/>
    <w:rsid w:val="00CE45B1"/>
    <w:rsid w:val="00CF05EF"/>
    <w:rsid w:val="00CF0917"/>
    <w:rsid w:val="00CF34DD"/>
    <w:rsid w:val="00D14985"/>
    <w:rsid w:val="00D17C2E"/>
    <w:rsid w:val="00D22D13"/>
    <w:rsid w:val="00D34D11"/>
    <w:rsid w:val="00D37963"/>
    <w:rsid w:val="00D44218"/>
    <w:rsid w:val="00D4522E"/>
    <w:rsid w:val="00D51602"/>
    <w:rsid w:val="00D612BB"/>
    <w:rsid w:val="00D74C93"/>
    <w:rsid w:val="00D81851"/>
    <w:rsid w:val="00D91E8D"/>
    <w:rsid w:val="00D95E72"/>
    <w:rsid w:val="00DC3062"/>
    <w:rsid w:val="00DC3831"/>
    <w:rsid w:val="00DD0AD7"/>
    <w:rsid w:val="00DE0344"/>
    <w:rsid w:val="00DE5CE2"/>
    <w:rsid w:val="00E25555"/>
    <w:rsid w:val="00E60144"/>
    <w:rsid w:val="00E718AF"/>
    <w:rsid w:val="00E87DC9"/>
    <w:rsid w:val="00EA0B41"/>
    <w:rsid w:val="00EA1B6A"/>
    <w:rsid w:val="00EB3066"/>
    <w:rsid w:val="00EC0B4E"/>
    <w:rsid w:val="00ED1DEE"/>
    <w:rsid w:val="00EE0AFB"/>
    <w:rsid w:val="00EE7379"/>
    <w:rsid w:val="00EF58AD"/>
    <w:rsid w:val="00F0216F"/>
    <w:rsid w:val="00F14C76"/>
    <w:rsid w:val="00F22EC8"/>
    <w:rsid w:val="00F25724"/>
    <w:rsid w:val="00F30CFD"/>
    <w:rsid w:val="00F74A66"/>
    <w:rsid w:val="00F825DF"/>
    <w:rsid w:val="00FB2EBC"/>
    <w:rsid w:val="00FB6DFD"/>
    <w:rsid w:val="00FC0730"/>
    <w:rsid w:val="00FC0F73"/>
    <w:rsid w:val="00FC3966"/>
    <w:rsid w:val="00FD73F0"/>
    <w:rsid w:val="00FE249E"/>
    <w:rsid w:val="00FE3483"/>
    <w:rsid w:val="00FE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588C"/>
  <w15:chartTrackingRefBased/>
  <w15:docId w15:val="{BA1FB78A-59DF-4C6E-9714-E06B00D1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4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2D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767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18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85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B146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0690B"/>
    <w:rPr>
      <w:sz w:val="16"/>
      <w:szCs w:val="16"/>
    </w:rPr>
  </w:style>
  <w:style w:type="paragraph" w:styleId="CommentText">
    <w:name w:val="annotation text"/>
    <w:basedOn w:val="Normal"/>
    <w:link w:val="CommentTextChar"/>
    <w:uiPriority w:val="99"/>
    <w:unhideWhenUsed/>
    <w:rsid w:val="0050690B"/>
    <w:pPr>
      <w:spacing w:line="240" w:lineRule="auto"/>
    </w:pPr>
    <w:rPr>
      <w:sz w:val="20"/>
      <w:szCs w:val="20"/>
    </w:rPr>
  </w:style>
  <w:style w:type="character" w:customStyle="1" w:styleId="CommentTextChar">
    <w:name w:val="Comment Text Char"/>
    <w:basedOn w:val="DefaultParagraphFont"/>
    <w:link w:val="CommentText"/>
    <w:uiPriority w:val="99"/>
    <w:rsid w:val="0050690B"/>
    <w:rPr>
      <w:sz w:val="20"/>
      <w:szCs w:val="20"/>
    </w:rPr>
  </w:style>
  <w:style w:type="paragraph" w:styleId="CommentSubject">
    <w:name w:val="annotation subject"/>
    <w:basedOn w:val="CommentText"/>
    <w:next w:val="CommentText"/>
    <w:link w:val="CommentSubjectChar"/>
    <w:uiPriority w:val="99"/>
    <w:semiHidden/>
    <w:unhideWhenUsed/>
    <w:rsid w:val="0050690B"/>
    <w:rPr>
      <w:b/>
      <w:bCs/>
    </w:rPr>
  </w:style>
  <w:style w:type="character" w:customStyle="1" w:styleId="CommentSubjectChar">
    <w:name w:val="Comment Subject Char"/>
    <w:basedOn w:val="CommentTextChar"/>
    <w:link w:val="CommentSubject"/>
    <w:uiPriority w:val="99"/>
    <w:semiHidden/>
    <w:rsid w:val="0050690B"/>
    <w:rPr>
      <w:b/>
      <w:bCs/>
      <w:sz w:val="20"/>
      <w:szCs w:val="20"/>
    </w:rPr>
  </w:style>
  <w:style w:type="paragraph" w:styleId="BalloonText">
    <w:name w:val="Balloon Text"/>
    <w:basedOn w:val="Normal"/>
    <w:link w:val="BalloonTextChar"/>
    <w:uiPriority w:val="99"/>
    <w:semiHidden/>
    <w:unhideWhenUsed/>
    <w:rsid w:val="00506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90B"/>
    <w:rPr>
      <w:rFonts w:ascii="Segoe UI" w:hAnsi="Segoe UI" w:cs="Segoe UI"/>
      <w:sz w:val="18"/>
      <w:szCs w:val="18"/>
    </w:rPr>
  </w:style>
  <w:style w:type="character" w:styleId="Hyperlink">
    <w:name w:val="Hyperlink"/>
    <w:basedOn w:val="DefaultParagraphFont"/>
    <w:uiPriority w:val="99"/>
    <w:semiHidden/>
    <w:unhideWhenUsed/>
    <w:rsid w:val="0050690B"/>
    <w:rPr>
      <w:color w:val="0000FF"/>
      <w:u w:val="single"/>
    </w:rPr>
  </w:style>
  <w:style w:type="character" w:customStyle="1" w:styleId="Heading2Char">
    <w:name w:val="Heading 2 Char"/>
    <w:basedOn w:val="DefaultParagraphFont"/>
    <w:link w:val="Heading2"/>
    <w:uiPriority w:val="9"/>
    <w:rsid w:val="00092DD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7670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BF6BB0"/>
    <w:pPr>
      <w:ind w:left="720"/>
      <w:contextualSpacing/>
    </w:pPr>
  </w:style>
  <w:style w:type="table" w:styleId="TableGrid">
    <w:name w:val="Table Grid"/>
    <w:basedOn w:val="TableNormal"/>
    <w:uiPriority w:val="39"/>
    <w:rsid w:val="00064D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2540"/>
    <w:pPr>
      <w:spacing w:after="0" w:line="240" w:lineRule="auto"/>
    </w:pPr>
  </w:style>
  <w:style w:type="paragraph" w:customStyle="1" w:styleId="EndNoteBibliographyTitle">
    <w:name w:val="EndNote Bibliography Title"/>
    <w:basedOn w:val="Normal"/>
    <w:link w:val="EndNoteBibliographyTitleChar"/>
    <w:rsid w:val="00557E6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57E6E"/>
    <w:rPr>
      <w:rFonts w:ascii="Calibri" w:hAnsi="Calibri" w:cs="Calibri"/>
      <w:noProof/>
      <w:lang w:val="en-US"/>
    </w:rPr>
  </w:style>
  <w:style w:type="paragraph" w:customStyle="1" w:styleId="EndNoteBibliography">
    <w:name w:val="EndNote Bibliography"/>
    <w:basedOn w:val="Normal"/>
    <w:link w:val="EndNoteBibliographyChar"/>
    <w:rsid w:val="00557E6E"/>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57E6E"/>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6864-9B21-4637-A9A6-98BDBB1E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2059</Words>
  <Characters>13823</Characters>
  <Application>Microsoft Office Word</Application>
  <DocSecurity>4</DocSecurity>
  <Lines>460</Lines>
  <Paragraphs>387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Wilkinson</dc:creator>
  <cp:keywords/>
  <dc:description/>
  <cp:lastModifiedBy>Lucy Prentice</cp:lastModifiedBy>
  <cp:revision>2</cp:revision>
  <dcterms:created xsi:type="dcterms:W3CDTF">2024-08-20T08:54:00Z</dcterms:created>
  <dcterms:modified xsi:type="dcterms:W3CDTF">2024-08-20T08:54:00Z</dcterms:modified>
</cp:coreProperties>
</file>