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08681" w14:textId="4334AE50" w:rsidR="002F45BF" w:rsidRDefault="00027831" w:rsidP="008A76DE">
      <w:pPr>
        <w:pStyle w:val="Title"/>
      </w:pPr>
      <w:bookmarkStart w:id="0" w:name="_GoBack"/>
      <w:bookmarkEnd w:id="0"/>
      <w:r>
        <w:t xml:space="preserve">Frailty in </w:t>
      </w:r>
      <w:r w:rsidR="00175329">
        <w:t>patients undergoing major limb amputation for peripheral arterial disease</w:t>
      </w:r>
      <w:r w:rsidR="004D38E4">
        <w:t>: a retrospective cohort study</w:t>
      </w:r>
      <w:r w:rsidR="008A76DE">
        <w:t xml:space="preserve"> project protocol</w:t>
      </w:r>
    </w:p>
    <w:p w14:paraId="706DB533" w14:textId="529C1F0E" w:rsidR="005F0CF3" w:rsidRDefault="005F0CF3" w:rsidP="005F0CF3">
      <w:pPr>
        <w:spacing w:after="100"/>
      </w:pPr>
      <w:r>
        <w:t>Graeme K Ambler</w:t>
      </w:r>
    </w:p>
    <w:p w14:paraId="03F15DA3" w14:textId="5DA1E99D" w:rsidR="005F0CF3" w:rsidRDefault="005F0CF3" w:rsidP="005F0CF3">
      <w:pPr>
        <w:spacing w:after="100"/>
      </w:pPr>
      <w:r>
        <w:t>Weiteen Tan</w:t>
      </w:r>
    </w:p>
    <w:p w14:paraId="3BCD6B5A" w14:textId="5AF3ABEC" w:rsidR="005F0CF3" w:rsidRDefault="005F0CF3" w:rsidP="005F0CF3">
      <w:pPr>
        <w:spacing w:after="100"/>
      </w:pPr>
      <w:r>
        <w:t>Adrian Edwards</w:t>
      </w:r>
    </w:p>
    <w:p w14:paraId="39D5D25A" w14:textId="09A89CD3" w:rsidR="005F0CF3" w:rsidRDefault="005F0CF3" w:rsidP="005F0CF3">
      <w:pPr>
        <w:spacing w:after="100"/>
      </w:pPr>
      <w:r>
        <w:t>Emma Thomas-Jones</w:t>
      </w:r>
    </w:p>
    <w:p w14:paraId="511765C8" w14:textId="24950519" w:rsidR="005F0CF3" w:rsidRPr="005F0CF3" w:rsidRDefault="005F0CF3" w:rsidP="005F0CF3">
      <w:pPr>
        <w:spacing w:after="100"/>
      </w:pPr>
      <w:r>
        <w:t>Christopher Twine</w:t>
      </w:r>
    </w:p>
    <w:p w14:paraId="5E14D728" w14:textId="77777777" w:rsidR="00027831" w:rsidRPr="00027831" w:rsidRDefault="008A76DE" w:rsidP="008A76DE">
      <w:pPr>
        <w:pStyle w:val="Heading1"/>
      </w:pPr>
      <w:r>
        <w:t>Introduction</w:t>
      </w:r>
    </w:p>
    <w:p w14:paraId="608F00A2" w14:textId="77777777" w:rsidR="002F45BF" w:rsidRDefault="002F45BF" w:rsidP="002F45BF">
      <w:r>
        <w:t>Frailty is a multi-factorial concept encompassing the accumulated effects of comorbidity, mobility, social isolation, cognitive decline and poor nutritional status which build up with age</w:t>
      </w:r>
      <w:r w:rsidR="008A76DE" w:rsidRPr="008A76DE">
        <w:rPr>
          <w:vertAlign w:val="superscript"/>
        </w:rPr>
        <w:fldChar w:fldCharType="begin"/>
      </w:r>
      <w:r w:rsidR="008A76DE" w:rsidRPr="008A76DE">
        <w:rPr>
          <w:vertAlign w:val="superscript"/>
        </w:rPr>
        <w:instrText xml:space="preserve"> REF _Ref351379880 \r \h </w:instrText>
      </w:r>
      <w:r w:rsidR="008A76DE" w:rsidRPr="008A76DE">
        <w:rPr>
          <w:vertAlign w:val="superscript"/>
        </w:rPr>
      </w:r>
      <w:r w:rsidR="008A76DE" w:rsidRPr="008A76DE">
        <w:rPr>
          <w:vertAlign w:val="superscript"/>
        </w:rPr>
        <w:fldChar w:fldCharType="separate"/>
      </w:r>
      <w:r w:rsidR="008A76DE" w:rsidRPr="008A76DE">
        <w:rPr>
          <w:vertAlign w:val="superscript"/>
        </w:rPr>
        <w:t>1</w:t>
      </w:r>
      <w:r w:rsidR="008A76DE" w:rsidRPr="008A76DE">
        <w:rPr>
          <w:vertAlign w:val="superscript"/>
        </w:rPr>
        <w:fldChar w:fldCharType="end"/>
      </w:r>
      <w:r>
        <w:t>.  It is an increasing problem in our aging population, and affects many outcomes following surgery</w:t>
      </w:r>
      <w:r w:rsidR="008A76DE" w:rsidRPr="008A76DE">
        <w:rPr>
          <w:vertAlign w:val="superscript"/>
        </w:rPr>
        <w:fldChar w:fldCharType="begin"/>
      </w:r>
      <w:r w:rsidR="008A76DE" w:rsidRPr="008A76DE">
        <w:rPr>
          <w:vertAlign w:val="superscript"/>
        </w:rPr>
        <w:instrText xml:space="preserve"> REF _Ref351379969 \r \h </w:instrText>
      </w:r>
      <w:r w:rsidR="008A76DE" w:rsidRPr="008A76DE">
        <w:rPr>
          <w:vertAlign w:val="superscript"/>
        </w:rPr>
      </w:r>
      <w:r w:rsidR="008A76DE" w:rsidRPr="008A76DE">
        <w:rPr>
          <w:vertAlign w:val="superscript"/>
        </w:rPr>
        <w:fldChar w:fldCharType="separate"/>
      </w:r>
      <w:r w:rsidR="008A76DE" w:rsidRPr="008A76DE">
        <w:rPr>
          <w:vertAlign w:val="superscript"/>
        </w:rPr>
        <w:t>2</w:t>
      </w:r>
      <w:r w:rsidR="008A76DE" w:rsidRPr="008A76DE">
        <w:rPr>
          <w:vertAlign w:val="superscript"/>
        </w:rPr>
        <w:fldChar w:fldCharType="end"/>
      </w:r>
      <w:r>
        <w:t>.  In patients undergoing major limb amputation, it is also likely to affect the ability to mobilise with a prosthetic limb.</w:t>
      </w:r>
    </w:p>
    <w:p w14:paraId="69181E4A" w14:textId="77777777" w:rsidR="002F45BF" w:rsidRDefault="0024245E" w:rsidP="002F45BF">
      <w:r>
        <w:t xml:space="preserve">Little is known </w:t>
      </w:r>
      <w:r w:rsidR="002F45BF">
        <w:t>about which aspects of frailty are most important in patients undergoing major li</w:t>
      </w:r>
      <w:r w:rsidR="00732D44">
        <w:t>mb amputation.  The aims of the</w:t>
      </w:r>
      <w:r w:rsidR="002F45BF">
        <w:t xml:space="preserve"> project are:</w:t>
      </w:r>
    </w:p>
    <w:p w14:paraId="5D4EFC1C" w14:textId="77777777" w:rsidR="002F45BF" w:rsidRDefault="002F45BF" w:rsidP="00B0323B">
      <w:pPr>
        <w:pStyle w:val="ListParagraph"/>
        <w:numPr>
          <w:ilvl w:val="0"/>
          <w:numId w:val="2"/>
        </w:numPr>
      </w:pPr>
      <w:r>
        <w:t xml:space="preserve">Collect data on frailty-related factors in patients </w:t>
      </w:r>
      <w:r w:rsidR="0024245E">
        <w:t xml:space="preserve">who have </w:t>
      </w:r>
      <w:r>
        <w:t>undergo</w:t>
      </w:r>
      <w:r w:rsidR="0024245E">
        <w:t>ne</w:t>
      </w:r>
      <w:r>
        <w:t xml:space="preserve"> major limb amputation, and information on </w:t>
      </w:r>
      <w:r w:rsidR="0024245E">
        <w:t>outcomes, including</w:t>
      </w:r>
      <w:r>
        <w:t xml:space="preserve"> whether the patient went on to successfully walk with a prosthesis.</w:t>
      </w:r>
    </w:p>
    <w:p w14:paraId="3A2AA859" w14:textId="77777777" w:rsidR="002F45BF" w:rsidRDefault="00732D44" w:rsidP="00732D44">
      <w:pPr>
        <w:pStyle w:val="ListParagraph"/>
        <w:numPr>
          <w:ilvl w:val="0"/>
          <w:numId w:val="2"/>
        </w:numPr>
      </w:pPr>
      <w:r>
        <w:t>B</w:t>
      </w:r>
      <w:r w:rsidR="002F45BF">
        <w:t>uild statistical mod</w:t>
      </w:r>
      <w:r w:rsidR="0024245E">
        <w:t xml:space="preserve">els to determine which </w:t>
      </w:r>
      <w:r w:rsidR="002F45BF">
        <w:t>factors ar</w:t>
      </w:r>
      <w:r w:rsidR="0024245E">
        <w:t xml:space="preserve">e important in predicting </w:t>
      </w:r>
      <w:r w:rsidR="002F45BF">
        <w:t>outcomes.</w:t>
      </w:r>
      <w:r>
        <w:t xml:space="preserve"> </w:t>
      </w:r>
    </w:p>
    <w:p w14:paraId="11892092" w14:textId="77777777" w:rsidR="00732D44" w:rsidRDefault="00732D44" w:rsidP="00732D44">
      <w:pPr>
        <w:pStyle w:val="ListParagraph"/>
        <w:numPr>
          <w:ilvl w:val="0"/>
          <w:numId w:val="2"/>
        </w:numPr>
      </w:pPr>
      <w:r>
        <w:t>Compare the performance of these models, which include specific measures of frailty, with generic models of outcome following major lower limb amputation.</w:t>
      </w:r>
    </w:p>
    <w:p w14:paraId="54B34A65" w14:textId="2F44BD96" w:rsidR="00732D44" w:rsidRDefault="004E5B45" w:rsidP="008A76DE">
      <w:pPr>
        <w:pStyle w:val="Heading1"/>
      </w:pPr>
      <w:r>
        <w:t>Methods</w:t>
      </w:r>
    </w:p>
    <w:p w14:paraId="7B29ED12" w14:textId="1065ABE0" w:rsidR="004E5B45" w:rsidRDefault="005F0CF3" w:rsidP="004E5B45">
      <w:r>
        <w:t>All patients having a lower limb amputation above the ankle at any of three hospitals in South East Wales between January 2010 and January 2017 will be included in the study.  Data will be collected on basic demographics, comorbidity (in the form of the Charlson Comorbidity Index),</w:t>
      </w:r>
      <w:r w:rsidR="00421542" w:rsidRPr="00421542">
        <w:rPr>
          <w:vertAlign w:val="superscript"/>
        </w:rPr>
        <w:fldChar w:fldCharType="begin"/>
      </w:r>
      <w:r w:rsidR="00421542" w:rsidRPr="00421542">
        <w:rPr>
          <w:vertAlign w:val="superscript"/>
        </w:rPr>
        <w:instrText xml:space="preserve"> REF _Ref351382929 \r \h </w:instrText>
      </w:r>
      <w:r w:rsidR="00421542" w:rsidRPr="00421542">
        <w:rPr>
          <w:vertAlign w:val="superscript"/>
        </w:rPr>
      </w:r>
      <w:r w:rsidR="00421542" w:rsidRPr="00421542">
        <w:rPr>
          <w:vertAlign w:val="superscript"/>
        </w:rPr>
        <w:fldChar w:fldCharType="separate"/>
      </w:r>
      <w:r w:rsidR="00421542" w:rsidRPr="00421542">
        <w:rPr>
          <w:vertAlign w:val="superscript"/>
        </w:rPr>
        <w:t>3</w:t>
      </w:r>
      <w:r w:rsidR="00421542" w:rsidRPr="00421542">
        <w:rPr>
          <w:vertAlign w:val="superscript"/>
        </w:rPr>
        <w:fldChar w:fldCharType="end"/>
      </w:r>
      <w:r>
        <w:t xml:space="preserve"> functional status (Katz score),</w:t>
      </w:r>
      <w:r w:rsidR="00421542" w:rsidRPr="00421542">
        <w:rPr>
          <w:vertAlign w:val="superscript"/>
        </w:rPr>
        <w:fldChar w:fldCharType="begin"/>
      </w:r>
      <w:r w:rsidR="00421542" w:rsidRPr="00421542">
        <w:rPr>
          <w:vertAlign w:val="superscript"/>
        </w:rPr>
        <w:instrText xml:space="preserve"> REF _Ref351382946 \r \h </w:instrText>
      </w:r>
      <w:r w:rsidR="00421542" w:rsidRPr="00421542">
        <w:rPr>
          <w:vertAlign w:val="superscript"/>
        </w:rPr>
      </w:r>
      <w:r w:rsidR="00421542" w:rsidRPr="00421542">
        <w:rPr>
          <w:vertAlign w:val="superscript"/>
        </w:rPr>
        <w:fldChar w:fldCharType="separate"/>
      </w:r>
      <w:r w:rsidR="00421542" w:rsidRPr="00421542">
        <w:rPr>
          <w:vertAlign w:val="superscript"/>
        </w:rPr>
        <w:t>4</w:t>
      </w:r>
      <w:r w:rsidR="00421542" w:rsidRPr="00421542">
        <w:rPr>
          <w:vertAlign w:val="superscript"/>
        </w:rPr>
        <w:fldChar w:fldCharType="end"/>
      </w:r>
      <w:r>
        <w:t xml:space="preserve"> residential status, Waterlow score,</w:t>
      </w:r>
      <w:r w:rsidR="00421542" w:rsidRPr="00421542">
        <w:rPr>
          <w:vertAlign w:val="superscript"/>
        </w:rPr>
        <w:fldChar w:fldCharType="begin"/>
      </w:r>
      <w:r w:rsidR="00421542" w:rsidRPr="00421542">
        <w:rPr>
          <w:vertAlign w:val="superscript"/>
        </w:rPr>
        <w:instrText xml:space="preserve"> REF _Ref351382956 \r \h </w:instrText>
      </w:r>
      <w:r w:rsidR="00421542" w:rsidRPr="00421542">
        <w:rPr>
          <w:vertAlign w:val="superscript"/>
        </w:rPr>
      </w:r>
      <w:r w:rsidR="00421542" w:rsidRPr="00421542">
        <w:rPr>
          <w:vertAlign w:val="superscript"/>
        </w:rPr>
        <w:fldChar w:fldCharType="separate"/>
      </w:r>
      <w:r w:rsidR="00421542" w:rsidRPr="00421542">
        <w:rPr>
          <w:vertAlign w:val="superscript"/>
        </w:rPr>
        <w:t>5</w:t>
      </w:r>
      <w:r w:rsidR="00421542" w:rsidRPr="00421542">
        <w:rPr>
          <w:vertAlign w:val="superscript"/>
        </w:rPr>
        <w:fldChar w:fldCharType="end"/>
      </w:r>
      <w:r>
        <w:t xml:space="preserve"> pre-operative blood tests and ECG, and pre-operative haemodynamics (highest heart rate and lowest blood pressure on the day of surgery).  The Addenbrookes Vascular Frailty Score</w:t>
      </w:r>
      <w:r w:rsidR="00421542" w:rsidRPr="00421542">
        <w:rPr>
          <w:vertAlign w:val="superscript"/>
        </w:rPr>
        <w:fldChar w:fldCharType="begin"/>
      </w:r>
      <w:r w:rsidR="00421542" w:rsidRPr="00421542">
        <w:rPr>
          <w:vertAlign w:val="superscript"/>
        </w:rPr>
        <w:instrText xml:space="preserve"> REF _Ref351382966 \r \h </w:instrText>
      </w:r>
      <w:r w:rsidR="00421542" w:rsidRPr="00421542">
        <w:rPr>
          <w:vertAlign w:val="superscript"/>
        </w:rPr>
      </w:r>
      <w:r w:rsidR="00421542" w:rsidRPr="00421542">
        <w:rPr>
          <w:vertAlign w:val="superscript"/>
        </w:rPr>
        <w:fldChar w:fldCharType="separate"/>
      </w:r>
      <w:r w:rsidR="00421542" w:rsidRPr="00421542">
        <w:rPr>
          <w:vertAlign w:val="superscript"/>
        </w:rPr>
        <w:t>6</w:t>
      </w:r>
      <w:r w:rsidR="00421542" w:rsidRPr="00421542">
        <w:rPr>
          <w:vertAlign w:val="superscript"/>
        </w:rPr>
        <w:fldChar w:fldCharType="end"/>
      </w:r>
      <w:r>
        <w:t xml:space="preserve"> will be calculated, </w:t>
      </w:r>
      <w:r w:rsidR="00D32849">
        <w:t>along with generic models for outcome following amputation.</w:t>
      </w:r>
      <w:r w:rsidR="00421542" w:rsidRPr="00421542">
        <w:rPr>
          <w:vertAlign w:val="superscript"/>
        </w:rPr>
        <w:fldChar w:fldCharType="begin"/>
      </w:r>
      <w:r w:rsidR="00421542" w:rsidRPr="00421542">
        <w:rPr>
          <w:vertAlign w:val="superscript"/>
        </w:rPr>
        <w:instrText xml:space="preserve"> REF _Ref351382978 \r \h </w:instrText>
      </w:r>
      <w:r w:rsidR="00421542" w:rsidRPr="00421542">
        <w:rPr>
          <w:vertAlign w:val="superscript"/>
        </w:rPr>
      </w:r>
      <w:r w:rsidR="00421542" w:rsidRPr="00421542">
        <w:rPr>
          <w:vertAlign w:val="superscript"/>
        </w:rPr>
        <w:fldChar w:fldCharType="separate"/>
      </w:r>
      <w:r w:rsidR="00421542" w:rsidRPr="00421542">
        <w:rPr>
          <w:vertAlign w:val="superscript"/>
        </w:rPr>
        <w:t>7</w:t>
      </w:r>
      <w:r w:rsidR="00421542" w:rsidRPr="00421542">
        <w:rPr>
          <w:vertAlign w:val="superscript"/>
        </w:rPr>
        <w:fldChar w:fldCharType="end"/>
      </w:r>
      <w:r w:rsidR="00D32849">
        <w:t xml:space="preserve"> A</w:t>
      </w:r>
      <w:r>
        <w:t xml:space="preserve">n amputation-specific frailty score will </w:t>
      </w:r>
      <w:r w:rsidR="00D32849">
        <w:t xml:space="preserve">then </w:t>
      </w:r>
      <w:r>
        <w:t>be developed</w:t>
      </w:r>
      <w:r w:rsidR="003A210C">
        <w:t xml:space="preserve"> using stepwise logistic regression modelling</w:t>
      </w:r>
      <w:r w:rsidR="00D32849">
        <w:t>, with mortality at 12 months as the primary outcome.  Performance of the new tool will be compared to existing models.</w:t>
      </w:r>
    </w:p>
    <w:p w14:paraId="3F25FA3E" w14:textId="5F541426" w:rsidR="00D32849" w:rsidRPr="004E5B45" w:rsidRDefault="00D32849" w:rsidP="004E5B45">
      <w:r w:rsidRPr="00D32849">
        <w:lastRenderedPageBreak/>
        <w:t>Missing data is a</w:t>
      </w:r>
      <w:r>
        <w:t xml:space="preserve"> common</w:t>
      </w:r>
      <w:r w:rsidRPr="00D32849">
        <w:t xml:space="preserve"> issue </w:t>
      </w:r>
      <w:r>
        <w:t>observational studies such as this one</w:t>
      </w:r>
      <w:r w:rsidRPr="00D32849">
        <w:t>, so we will use m</w:t>
      </w:r>
      <w:r>
        <w:t>ultiple imputation methodology</w:t>
      </w:r>
      <w:r w:rsidRPr="00D32849">
        <w:t xml:space="preserve"> to account for missing data.</w:t>
      </w:r>
      <w:r w:rsidR="00421542" w:rsidRPr="00421542">
        <w:rPr>
          <w:vertAlign w:val="superscript"/>
        </w:rPr>
        <w:fldChar w:fldCharType="begin"/>
      </w:r>
      <w:r w:rsidR="00421542" w:rsidRPr="00421542">
        <w:rPr>
          <w:vertAlign w:val="superscript"/>
        </w:rPr>
        <w:instrText xml:space="preserve"> REF _Ref351382998 \r \h </w:instrText>
      </w:r>
      <w:r w:rsidR="00421542" w:rsidRPr="00421542">
        <w:rPr>
          <w:vertAlign w:val="superscript"/>
        </w:rPr>
      </w:r>
      <w:r w:rsidR="00421542" w:rsidRPr="00421542">
        <w:rPr>
          <w:vertAlign w:val="superscript"/>
        </w:rPr>
        <w:fldChar w:fldCharType="separate"/>
      </w:r>
      <w:r w:rsidR="00421542" w:rsidRPr="00421542">
        <w:rPr>
          <w:vertAlign w:val="superscript"/>
        </w:rPr>
        <w:t>8</w:t>
      </w:r>
      <w:r w:rsidR="00421542" w:rsidRPr="00421542">
        <w:rPr>
          <w:vertAlign w:val="superscript"/>
        </w:rPr>
        <w:fldChar w:fldCharType="end"/>
      </w:r>
      <w:r w:rsidRPr="00D32849">
        <w:t xml:space="preserve">  </w:t>
      </w:r>
      <w:r w:rsidR="00421542">
        <w:t>During model generation, Information Criterion analysis will be used to select predictors.  This will enable us to develop a parsimonious model which avoids over-fitting.  Bootstrap methodology</w:t>
      </w:r>
      <w:r w:rsidR="00421542" w:rsidRPr="00421542">
        <w:rPr>
          <w:vertAlign w:val="superscript"/>
        </w:rPr>
        <w:fldChar w:fldCharType="begin"/>
      </w:r>
      <w:r w:rsidR="00421542" w:rsidRPr="00421542">
        <w:rPr>
          <w:vertAlign w:val="superscript"/>
        </w:rPr>
        <w:instrText xml:space="preserve"> REF _Ref351383010 \r \h </w:instrText>
      </w:r>
      <w:r w:rsidR="00421542" w:rsidRPr="00421542">
        <w:rPr>
          <w:vertAlign w:val="superscript"/>
        </w:rPr>
      </w:r>
      <w:r w:rsidR="00421542" w:rsidRPr="00421542">
        <w:rPr>
          <w:vertAlign w:val="superscript"/>
        </w:rPr>
        <w:fldChar w:fldCharType="separate"/>
      </w:r>
      <w:r w:rsidR="00421542" w:rsidRPr="00421542">
        <w:rPr>
          <w:vertAlign w:val="superscript"/>
        </w:rPr>
        <w:t>9</w:t>
      </w:r>
      <w:r w:rsidR="00421542" w:rsidRPr="00421542">
        <w:rPr>
          <w:vertAlign w:val="superscript"/>
        </w:rPr>
        <w:fldChar w:fldCharType="end"/>
      </w:r>
      <w:r w:rsidR="00421542">
        <w:t xml:space="preserve"> will then be used to assess performance of the model.</w:t>
      </w:r>
    </w:p>
    <w:p w14:paraId="7D39D7DC" w14:textId="77777777" w:rsidR="00B0323B" w:rsidRDefault="008A76DE" w:rsidP="008A76DE">
      <w:pPr>
        <w:pStyle w:val="Heading1"/>
      </w:pPr>
      <w:r>
        <w:t>References</w:t>
      </w:r>
    </w:p>
    <w:p w14:paraId="2F1B0497" w14:textId="77777777" w:rsidR="008A76DE" w:rsidRDefault="008A76DE" w:rsidP="008A76DE">
      <w:pPr>
        <w:pStyle w:val="ListParagraph"/>
        <w:numPr>
          <w:ilvl w:val="0"/>
          <w:numId w:val="5"/>
        </w:numPr>
        <w:ind w:left="426" w:hanging="426"/>
      </w:pPr>
      <w:bookmarkStart w:id="1" w:name="_Ref351379880"/>
      <w:r w:rsidRPr="008A76DE">
        <w:t xml:space="preserve">Robinson TN, Wallace JI, Wu DS, Wiktor A, Pointer L, Pfister SM, et al. Accumulated frailty characteristics predict postoperative discharge institutionalization in the geriatric patient. </w:t>
      </w:r>
      <w:r w:rsidRPr="008A76DE">
        <w:rPr>
          <w:i/>
        </w:rPr>
        <w:t>J Am Coll Surg</w:t>
      </w:r>
      <w:r w:rsidRPr="008A76DE">
        <w:t xml:space="preserve"> 2011; </w:t>
      </w:r>
      <w:r w:rsidRPr="008A76DE">
        <w:rPr>
          <w:b/>
        </w:rPr>
        <w:t>213</w:t>
      </w:r>
      <w:r w:rsidRPr="008A76DE">
        <w:t>: 37–42.</w:t>
      </w:r>
      <w:bookmarkEnd w:id="1"/>
    </w:p>
    <w:p w14:paraId="3A8BDD76" w14:textId="77777777" w:rsidR="008A76DE" w:rsidRDefault="008A76DE" w:rsidP="008A76DE">
      <w:pPr>
        <w:pStyle w:val="ListParagraph"/>
        <w:numPr>
          <w:ilvl w:val="0"/>
          <w:numId w:val="5"/>
        </w:numPr>
        <w:ind w:left="426" w:hanging="426"/>
      </w:pPr>
      <w:bookmarkStart w:id="2" w:name="_Ref351379969"/>
      <w:r w:rsidRPr="008A76DE">
        <w:t xml:space="preserve">Etzioni DA, Liu JH, Maggard MA, Ko CY. The aging population and its impact on the surgery workforce. </w:t>
      </w:r>
      <w:r w:rsidRPr="008A76DE">
        <w:rPr>
          <w:i/>
        </w:rPr>
        <w:t>Ann Surg</w:t>
      </w:r>
      <w:r w:rsidRPr="008A76DE">
        <w:t xml:space="preserve"> 2003; </w:t>
      </w:r>
      <w:r w:rsidRPr="008A76DE">
        <w:rPr>
          <w:b/>
        </w:rPr>
        <w:t>238</w:t>
      </w:r>
      <w:r w:rsidRPr="008A76DE">
        <w:t>:170-177.</w:t>
      </w:r>
      <w:bookmarkEnd w:id="2"/>
    </w:p>
    <w:p w14:paraId="735B12B8" w14:textId="22904135" w:rsidR="00D32849" w:rsidRDefault="00D32849" w:rsidP="008A76DE">
      <w:pPr>
        <w:pStyle w:val="ListParagraph"/>
        <w:numPr>
          <w:ilvl w:val="0"/>
          <w:numId w:val="5"/>
        </w:numPr>
        <w:ind w:left="426" w:hanging="426"/>
      </w:pPr>
      <w:bookmarkStart w:id="3" w:name="_Ref351382929"/>
      <w:r w:rsidRPr="00D32849">
        <w:t xml:space="preserve">Charlson ME, Pompei P, Ales KL, MacKenzie CR. A new method of classifying prognostic comorbidity in longitudinal studies: development and validation. </w:t>
      </w:r>
      <w:r w:rsidRPr="00D32849">
        <w:rPr>
          <w:i/>
        </w:rPr>
        <w:t>J Chronic Dis</w:t>
      </w:r>
      <w:r w:rsidRPr="00D32849">
        <w:t xml:space="preserve"> 1987; </w:t>
      </w:r>
      <w:r w:rsidRPr="00D32849">
        <w:rPr>
          <w:b/>
        </w:rPr>
        <w:t>40</w:t>
      </w:r>
      <w:r w:rsidRPr="00D32849">
        <w:t>:373-383.</w:t>
      </w:r>
      <w:bookmarkEnd w:id="3"/>
    </w:p>
    <w:p w14:paraId="1322458E" w14:textId="36C48189" w:rsidR="00D32849" w:rsidRDefault="00D32849" w:rsidP="008A76DE">
      <w:pPr>
        <w:pStyle w:val="ListParagraph"/>
        <w:numPr>
          <w:ilvl w:val="0"/>
          <w:numId w:val="5"/>
        </w:numPr>
        <w:ind w:left="426" w:hanging="426"/>
      </w:pPr>
      <w:bookmarkStart w:id="4" w:name="_Ref351382946"/>
      <w:r w:rsidRPr="00D32849">
        <w:t xml:space="preserve">Katz S, Ford AB, Moskowitz RW, Jackson BA, Jaffe MW. The Index of ADL: A Standardized Measure of Biological and Psychosocial Function. </w:t>
      </w:r>
      <w:r w:rsidRPr="00D32849">
        <w:rPr>
          <w:i/>
        </w:rPr>
        <w:t>JAMA</w:t>
      </w:r>
      <w:r w:rsidRPr="00D32849">
        <w:t xml:space="preserve"> 1963; </w:t>
      </w:r>
      <w:r w:rsidRPr="00D32849">
        <w:rPr>
          <w:b/>
        </w:rPr>
        <w:t>185</w:t>
      </w:r>
      <w:r w:rsidRPr="00D32849">
        <w:t>: 914-919.</w:t>
      </w:r>
      <w:bookmarkEnd w:id="4"/>
    </w:p>
    <w:p w14:paraId="2BAA2E47" w14:textId="4F6A0EA2" w:rsidR="00D32849" w:rsidRDefault="00D32849" w:rsidP="008A76DE">
      <w:pPr>
        <w:pStyle w:val="ListParagraph"/>
        <w:numPr>
          <w:ilvl w:val="0"/>
          <w:numId w:val="5"/>
        </w:numPr>
        <w:ind w:left="426" w:hanging="426"/>
      </w:pPr>
      <w:bookmarkStart w:id="5" w:name="_Ref351382956"/>
      <w:r w:rsidRPr="00D32849">
        <w:t xml:space="preserve">Waterlow J. Pressure sores: a risk assessment card. </w:t>
      </w:r>
      <w:r w:rsidRPr="00D32849">
        <w:rPr>
          <w:i/>
        </w:rPr>
        <w:t>Nurs Times</w:t>
      </w:r>
      <w:r w:rsidRPr="00D32849">
        <w:t xml:space="preserve"> 1985; </w:t>
      </w:r>
      <w:r w:rsidRPr="00D32849">
        <w:rPr>
          <w:b/>
        </w:rPr>
        <w:t>81</w:t>
      </w:r>
      <w:r w:rsidRPr="00D32849">
        <w:t>: 49-55.</w:t>
      </w:r>
      <w:bookmarkEnd w:id="5"/>
    </w:p>
    <w:p w14:paraId="32C04F91" w14:textId="186CF85D" w:rsidR="00D32849" w:rsidRDefault="00D32849" w:rsidP="008A76DE">
      <w:pPr>
        <w:pStyle w:val="ListParagraph"/>
        <w:numPr>
          <w:ilvl w:val="0"/>
          <w:numId w:val="5"/>
        </w:numPr>
        <w:ind w:left="426" w:hanging="426"/>
      </w:pPr>
      <w:bookmarkStart w:id="6" w:name="_Ref351382966"/>
      <w:r w:rsidRPr="00D32849">
        <w:t xml:space="preserve">Ambler GK, Brooks DE, Al Zuhir N, Ali A, Gohel MS, Hayes PD, Varty K, Boyle JR, Coughlin PA. The effect of frailty on short and mid-term outcomes in vascular surgical patients. </w:t>
      </w:r>
      <w:r w:rsidRPr="00D32849">
        <w:rPr>
          <w:i/>
        </w:rPr>
        <w:t>Br J Surg</w:t>
      </w:r>
      <w:r w:rsidRPr="00D32849">
        <w:t xml:space="preserve"> 2015; </w:t>
      </w:r>
      <w:r w:rsidRPr="00D32849">
        <w:rPr>
          <w:b/>
        </w:rPr>
        <w:t>102</w:t>
      </w:r>
      <w:r w:rsidRPr="00D32849">
        <w:t>: 638–45.</w:t>
      </w:r>
      <w:bookmarkEnd w:id="6"/>
    </w:p>
    <w:p w14:paraId="2780C35B" w14:textId="4E5735A5" w:rsidR="00D32849" w:rsidRDefault="00D32849" w:rsidP="008A76DE">
      <w:pPr>
        <w:pStyle w:val="ListParagraph"/>
        <w:numPr>
          <w:ilvl w:val="0"/>
          <w:numId w:val="5"/>
        </w:numPr>
        <w:ind w:left="426" w:hanging="426"/>
      </w:pPr>
      <w:bookmarkStart w:id="7" w:name="_Ref351382978"/>
      <w:r w:rsidRPr="00D32849">
        <w:t xml:space="preserve">Tang TY, Prytherch DR, Walsh SR, Athanassoglou V, Seppi V, Sadat U, Lees TA, Varty K, Boyle JR; Association with the Audit and Research Committee of the Vascular Society of Great Britain &amp; Ireland. The development of a VBHOM-based outcome model for lower limb amputation performed for critical ischaemia.  </w:t>
      </w:r>
      <w:r w:rsidRPr="00D32849">
        <w:rPr>
          <w:i/>
        </w:rPr>
        <w:t>Eur J Vasc Endovasc Surg</w:t>
      </w:r>
      <w:r w:rsidRPr="00D32849">
        <w:t xml:space="preserve"> 2009;</w:t>
      </w:r>
      <w:r>
        <w:t xml:space="preserve"> </w:t>
      </w:r>
      <w:r w:rsidRPr="00D32849">
        <w:rPr>
          <w:b/>
        </w:rPr>
        <w:t>37</w:t>
      </w:r>
      <w:r w:rsidRPr="00D32849">
        <w:t>: 62–6.</w:t>
      </w:r>
      <w:bookmarkEnd w:id="7"/>
    </w:p>
    <w:p w14:paraId="40F7352A" w14:textId="593CF0EC" w:rsidR="00421542" w:rsidRDefault="00421542" w:rsidP="008A76DE">
      <w:pPr>
        <w:pStyle w:val="ListParagraph"/>
        <w:numPr>
          <w:ilvl w:val="0"/>
          <w:numId w:val="5"/>
        </w:numPr>
        <w:ind w:left="426" w:hanging="426"/>
      </w:pPr>
      <w:bookmarkStart w:id="8" w:name="_Ref351382998"/>
      <w:r w:rsidRPr="00421542">
        <w:t>Little RJ, Rubin DB. Statistical analysis with missing data. 2nd ed. New York: John Wiley &amp; Sons; 2002.</w:t>
      </w:r>
      <w:bookmarkEnd w:id="8"/>
    </w:p>
    <w:p w14:paraId="11F37DC1" w14:textId="09423DCE" w:rsidR="00421542" w:rsidRDefault="00421542" w:rsidP="008A76DE">
      <w:pPr>
        <w:pStyle w:val="ListParagraph"/>
        <w:numPr>
          <w:ilvl w:val="0"/>
          <w:numId w:val="5"/>
        </w:numPr>
        <w:ind w:left="426" w:hanging="426"/>
      </w:pPr>
      <w:bookmarkStart w:id="9" w:name="_Ref351383010"/>
      <w:r w:rsidRPr="00421542">
        <w:t xml:space="preserve">Efron B. Nonparametric estimates of standard error: The jackknife, the bootstrap and other methods. </w:t>
      </w:r>
      <w:r w:rsidRPr="00421542">
        <w:rPr>
          <w:i/>
        </w:rPr>
        <w:t>Biometrika</w:t>
      </w:r>
      <w:r w:rsidRPr="00421542">
        <w:t xml:space="preserve"> 1981; </w:t>
      </w:r>
      <w:r w:rsidRPr="00421542">
        <w:rPr>
          <w:b/>
        </w:rPr>
        <w:t>68</w:t>
      </w:r>
      <w:r w:rsidRPr="00421542">
        <w:t>: 589–599</w:t>
      </w:r>
      <w:bookmarkEnd w:id="9"/>
    </w:p>
    <w:sectPr w:rsidR="00421542" w:rsidSect="00161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6011"/>
    <w:multiLevelType w:val="hybridMultilevel"/>
    <w:tmpl w:val="ED823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326164"/>
    <w:multiLevelType w:val="hybridMultilevel"/>
    <w:tmpl w:val="F07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4F70BE"/>
    <w:multiLevelType w:val="hybridMultilevel"/>
    <w:tmpl w:val="F1EA40C6"/>
    <w:lvl w:ilvl="0" w:tplc="19AAE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C5F51"/>
    <w:multiLevelType w:val="hybridMultilevel"/>
    <w:tmpl w:val="F2C2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CA51D0"/>
    <w:multiLevelType w:val="hybridMultilevel"/>
    <w:tmpl w:val="98C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BF"/>
    <w:rsid w:val="00027831"/>
    <w:rsid w:val="001619E8"/>
    <w:rsid w:val="00175329"/>
    <w:rsid w:val="0024245E"/>
    <w:rsid w:val="002C1700"/>
    <w:rsid w:val="002F45BF"/>
    <w:rsid w:val="003A210C"/>
    <w:rsid w:val="00421542"/>
    <w:rsid w:val="0046357D"/>
    <w:rsid w:val="004D38E4"/>
    <w:rsid w:val="004E5B45"/>
    <w:rsid w:val="005A5AF6"/>
    <w:rsid w:val="005F0CF3"/>
    <w:rsid w:val="00721DC2"/>
    <w:rsid w:val="00732D44"/>
    <w:rsid w:val="007B71CE"/>
    <w:rsid w:val="00871CB6"/>
    <w:rsid w:val="008A76DE"/>
    <w:rsid w:val="00955B3F"/>
    <w:rsid w:val="00A57D15"/>
    <w:rsid w:val="00AA79E3"/>
    <w:rsid w:val="00B0323B"/>
    <w:rsid w:val="00D32849"/>
    <w:rsid w:val="00E4736F"/>
    <w:rsid w:val="00F802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7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CE"/>
  </w:style>
  <w:style w:type="paragraph" w:styleId="Heading1">
    <w:name w:val="heading 1"/>
    <w:basedOn w:val="Normal"/>
    <w:next w:val="Normal"/>
    <w:link w:val="Heading1Char"/>
    <w:uiPriority w:val="9"/>
    <w:qFormat/>
    <w:rsid w:val="002F4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45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5BF"/>
    <w:pPr>
      <w:ind w:left="720"/>
      <w:contextualSpacing/>
    </w:pPr>
  </w:style>
  <w:style w:type="character" w:customStyle="1" w:styleId="Heading1Char">
    <w:name w:val="Heading 1 Char"/>
    <w:basedOn w:val="DefaultParagraphFont"/>
    <w:link w:val="Heading1"/>
    <w:uiPriority w:val="9"/>
    <w:rsid w:val="002F45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45B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A76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76D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CE"/>
  </w:style>
  <w:style w:type="paragraph" w:styleId="Heading1">
    <w:name w:val="heading 1"/>
    <w:basedOn w:val="Normal"/>
    <w:next w:val="Normal"/>
    <w:link w:val="Heading1Char"/>
    <w:uiPriority w:val="9"/>
    <w:qFormat/>
    <w:rsid w:val="002F4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45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5BF"/>
    <w:pPr>
      <w:ind w:left="720"/>
      <w:contextualSpacing/>
    </w:pPr>
  </w:style>
  <w:style w:type="character" w:customStyle="1" w:styleId="Heading1Char">
    <w:name w:val="Heading 1 Char"/>
    <w:basedOn w:val="DefaultParagraphFont"/>
    <w:link w:val="Heading1"/>
    <w:uiPriority w:val="9"/>
    <w:rsid w:val="002F45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45B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A76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76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641</Words>
  <Characters>3658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ABB_WIN7_REF</dc:creator>
  <cp:lastModifiedBy>Graeme Ambler</cp:lastModifiedBy>
  <cp:revision>8</cp:revision>
  <dcterms:created xsi:type="dcterms:W3CDTF">2017-03-17T14:48:00Z</dcterms:created>
  <dcterms:modified xsi:type="dcterms:W3CDTF">2017-03-20T14:08:00Z</dcterms:modified>
</cp:coreProperties>
</file>