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D7" w:rsidRDefault="00BB6ED7" w:rsidP="00EA343B">
      <w:pPr>
        <w:spacing w:after="0" w:line="240" w:lineRule="auto"/>
        <w:contextualSpacing/>
        <w:jc w:val="both"/>
        <w:rPr>
          <w:rFonts w:asciiTheme="majorBidi" w:eastAsiaTheme="minorEastAsia" w:hAnsiTheme="majorBidi" w:cstheme="majorBidi"/>
          <w:b/>
          <w:bCs/>
          <w:sz w:val="26"/>
          <w:szCs w:val="26"/>
        </w:rPr>
      </w:pPr>
      <w:bookmarkStart w:id="0" w:name="_GoBack"/>
    </w:p>
    <w:bookmarkEnd w:id="0"/>
    <w:p w:rsidR="00EA343B" w:rsidRDefault="00EA343B" w:rsidP="00EA343B">
      <w:pPr>
        <w:spacing w:after="0" w:line="240" w:lineRule="auto"/>
        <w:contextualSpacing/>
        <w:jc w:val="both"/>
        <w:rPr>
          <w:rFonts w:asciiTheme="majorBidi" w:eastAsiaTheme="minorEastAsia" w:hAnsiTheme="majorBidi" w:cstheme="majorBidi"/>
          <w:b/>
          <w:bCs/>
          <w:sz w:val="26"/>
          <w:szCs w:val="26"/>
        </w:rPr>
      </w:pPr>
      <w:r w:rsidRPr="00921344">
        <w:rPr>
          <w:rFonts w:asciiTheme="majorBidi" w:eastAsiaTheme="minorEastAsia" w:hAnsiTheme="majorBidi" w:cstheme="majorBidi"/>
          <w:b/>
          <w:bCs/>
          <w:sz w:val="26"/>
          <w:szCs w:val="26"/>
        </w:rPr>
        <w:t xml:space="preserve">Background </w:t>
      </w:r>
    </w:p>
    <w:p w:rsidR="00EA343B" w:rsidRPr="00A16135" w:rsidRDefault="00EA343B" w:rsidP="00EA343B">
      <w:pPr>
        <w:spacing w:after="0" w:line="240" w:lineRule="auto"/>
        <w:contextualSpacing/>
        <w:jc w:val="both"/>
        <w:rPr>
          <w:rFonts w:asciiTheme="majorBidi" w:eastAsiaTheme="minorEastAsia" w:hAnsiTheme="majorBidi" w:cstheme="majorBidi"/>
          <w:b/>
          <w:bCs/>
          <w:sz w:val="26"/>
          <w:szCs w:val="26"/>
        </w:rPr>
      </w:pPr>
      <w:r w:rsidRPr="00A16135">
        <w:rPr>
          <w:rFonts w:asciiTheme="majorBidi" w:eastAsiaTheme="minorEastAsia" w:hAnsiTheme="majorBidi" w:cstheme="majorBidi"/>
          <w:b/>
          <w:bCs/>
        </w:rPr>
        <w:t xml:space="preserve">Conditioned Pain Modulation </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Endogenous analgesia (EA) involves multiple inhibitory and facilitatory mechanisms that modulate the perception of noxious stimuli. One of the most widely investigated EA mechanisms is diffuse noxious inhibitory control (DNIC). This is the widely recognized concept that pain inhibits pain (</w:t>
      </w:r>
      <w:r w:rsidRPr="00921344">
        <w:rPr>
          <w:rFonts w:asciiTheme="majorBidi" w:eastAsia="Times New Roman" w:hAnsiTheme="majorBidi" w:cstheme="majorBidi"/>
        </w:rPr>
        <w:t>Reinert et al. 2000</w:t>
      </w:r>
      <w:r w:rsidRPr="00921344">
        <w:rPr>
          <w:rFonts w:asciiTheme="majorBidi" w:hAnsiTheme="majorBidi" w:cstheme="majorBidi"/>
        </w:rPr>
        <w:t xml:space="preserve">). DNIC involves a cortically influenced spinal-bulbo-spinal neural circuit acting through inhibition of wide dynamic range (WDR) neurons in the spinal dorsal horn (Le Bars et al. 1979). Yarnitsky and colleagues (2010) have recommended the use of Conditioned Pain Modulation (CPM) as a term to distinctly define the DNIC phenomenon in humans. CPM testing typically involves application of a painful ‘test stimulus’, during or after a distant </w:t>
      </w:r>
      <w:r>
        <w:rPr>
          <w:rFonts w:asciiTheme="majorBidi" w:hAnsiTheme="majorBidi" w:cstheme="majorBidi"/>
        </w:rPr>
        <w:t>noxious</w:t>
      </w:r>
      <w:r w:rsidRPr="00921344">
        <w:rPr>
          <w:rFonts w:asciiTheme="majorBidi" w:hAnsiTheme="majorBidi" w:cstheme="majorBidi"/>
        </w:rPr>
        <w:t xml:space="preserve"> ‘conditioning stimulus’ (Yarnitsky 2015). CPM effect is defined as the difference between the ‘test stimulus’ values before and during or after the ‘conditioning stimulus’ application. In the case of pressure pain threshold (PPT), a positive CPM response is represented by an increase in the PPT measure (Locke et al. 2012). Many studies have demonstrated that a normal response involves a reduction in the painfulness of the test stimulus following application of the conditioning stimulus (Bouhassira</w:t>
      </w:r>
      <w:r w:rsidRPr="00921344">
        <w:rPr>
          <w:rFonts w:asciiTheme="majorBidi" w:eastAsia="Times New Roman" w:hAnsiTheme="majorBidi" w:cstheme="majorBidi"/>
        </w:rPr>
        <w:t xml:space="preserve"> et al. 2003; </w:t>
      </w:r>
      <w:r w:rsidRPr="00921344">
        <w:rPr>
          <w:rFonts w:asciiTheme="majorBidi" w:hAnsiTheme="majorBidi" w:cstheme="majorBidi"/>
        </w:rPr>
        <w:t xml:space="preserve">Graven-Nielsen et al. 2002; </w:t>
      </w:r>
      <w:r w:rsidRPr="00921344">
        <w:rPr>
          <w:rFonts w:asciiTheme="majorBidi" w:eastAsia="Times New Roman" w:hAnsiTheme="majorBidi" w:cstheme="majorBidi"/>
        </w:rPr>
        <w:t>Reinert et al. 2000</w:t>
      </w:r>
      <w:r w:rsidRPr="00921344">
        <w:rPr>
          <w:rFonts w:asciiTheme="majorBidi" w:hAnsiTheme="majorBidi" w:cstheme="majorBidi"/>
        </w:rPr>
        <w:t xml:space="preserve">). It is proposed that this reflects a normally efficient CPM response and an efficient pain modulation system. Lewis et al. (2012a), in their systematic review and meta-analysis, concluded that several chronic pain conditions are associated with inefficient CPM. Yarnitsky (2015) acknowledges that the less efficient CPM seen in chronic pain conditions implies a dysfunctional pain modulation system. However, an alternative explanation may be that the less efficient CPM in chronic pain syndromes is instead the by-product of a pain modulatory system that is already working optimally, so that no further increase in CPM is possible (Yarnitsky 2015). </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b/>
          <w:bCs/>
        </w:rPr>
        <w:t xml:space="preserve">Protocols for testing CPM  </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 xml:space="preserve">The CPM literature has described different CPM testing protocols (Pud et al. 2009). Test stimuli modalities can include contact heat, mechanically-induced pressure (PPT), electrical stimulation or chemical stimuli (Nir &amp; Yarnitsky 2015; Yarnitsky 2015). Different pain measurement parameters have also been used such as pain threshold, rating of supra-threshold pain and rating of temporal summation pain (Pud et al. 2009).  With respect to conditioning stimuli, these may include contact heat, or the most frequently used cold water immersion, the so called cold pressor test (CPT), or hot water immersion (Nir &amp; Yarnitsky 2015; Pud et al. 2009; Yarnitsky 2015). The most pronounced analgesic effect has been observed in CPM paradigms using cold water immersion pain to inhibit a test stimulus of PPT (Oono et al. 2011). The test stimulus is applied at an anatomically distant site from the conditioning stimulus, preferably using one upper and lower limb site, though using two upper limb sites is acceptable (Yarnitsky 2015). Lewis et al. (2012b) have shown that CPM testing is a reliable measure for evaluating EA function using cold immersion/CPT as the conditioning stimulus and PPT as the test stimulus. Similarly, Biurrun Manresa et al. (2014) have also demonstrated an acceptable CPM test/retest reliability when conducted in two separate sessions, with a period of 1-3 weeks in between. In their study, they utilised CPT as the conditioning stimulus. </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Manual therapy</w:t>
      </w:r>
      <w:r w:rsidRPr="00921344">
        <w:rPr>
          <w:rFonts w:asciiTheme="majorBidi" w:hAnsiTheme="majorBidi" w:cstheme="majorBidi"/>
          <w:b/>
          <w:bCs/>
          <w:sz w:val="24"/>
          <w:szCs w:val="24"/>
        </w:rPr>
        <w:t xml:space="preserve"> induced pain modulation  </w:t>
      </w: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rPr>
        <w:t>Man</w:t>
      </w:r>
      <w:r>
        <w:rPr>
          <w:rFonts w:asciiTheme="majorBidi" w:hAnsiTheme="majorBidi" w:cstheme="majorBidi"/>
        </w:rPr>
        <w:t xml:space="preserve">ual therapy </w:t>
      </w:r>
      <w:r w:rsidRPr="00921344">
        <w:rPr>
          <w:rFonts w:asciiTheme="majorBidi" w:hAnsiTheme="majorBidi" w:cstheme="majorBidi"/>
        </w:rPr>
        <w:t xml:space="preserve">induced pain modulation (MIPM) is a form of EA associated with manual therapy treatments. Wright (1995) has suggested </w:t>
      </w:r>
      <w:r w:rsidRPr="00921344">
        <w:rPr>
          <w:rFonts w:asciiTheme="majorBidi" w:hAnsiTheme="majorBidi" w:cstheme="majorBidi"/>
          <w:bCs/>
        </w:rPr>
        <w:t>that MIPM</w:t>
      </w:r>
      <w:r w:rsidRPr="00921344">
        <w:rPr>
          <w:rFonts w:asciiTheme="majorBidi" w:hAnsiTheme="majorBidi" w:cstheme="majorBidi"/>
        </w:rPr>
        <w:t xml:space="preserve"> is a multifactorial phenomenon exerting its analgesic effect through several mechanisms, including activation of descending pain modulation systems, similar to DNIC/CPM. PPT has been used to measure the analgesic effects of spinal and peripheral manipulation techniques, with increased PPT values denoting a reduction in the perceived pain at the test location, or hypoalgesia. Voogt et al. (2015) have recently conducted a systematic review to study</w:t>
      </w:r>
      <w:r>
        <w:rPr>
          <w:rFonts w:asciiTheme="majorBidi" w:hAnsiTheme="majorBidi" w:cstheme="majorBidi"/>
        </w:rPr>
        <w:t xml:space="preserve"> </w:t>
      </w:r>
      <w:r w:rsidRPr="00921344">
        <w:rPr>
          <w:rFonts w:asciiTheme="majorBidi" w:hAnsiTheme="majorBidi" w:cstheme="majorBidi"/>
          <w:bCs/>
        </w:rPr>
        <w:t>MIPM</w:t>
      </w:r>
      <w:r w:rsidRPr="00921344">
        <w:rPr>
          <w:rFonts w:asciiTheme="majorBidi" w:hAnsiTheme="majorBidi" w:cstheme="majorBidi"/>
        </w:rPr>
        <w:t xml:space="preserve"> effects. Of the 13 randomized studies included in their analysis, 10 demonstrated a significant increase in PPT post manual therapy suggesting a clear MIPM effect.</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b/>
          <w:bCs/>
        </w:rPr>
        <w:t>Evidence of central mechanisms</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In patients with chronic lateral epicondylalgia (LE), Vicenzino et al. (1998) examined the close link between the immediate analgesia post mobilization and centrally-driven sympathoexcitation. This study showed that cervical mobilization induced analgesia at the elbow together with sympathoexcitation changes, such as an increase in skin conductance in the upper limb. This close association between the</w:t>
      </w:r>
      <w:r w:rsidRPr="00921344">
        <w:rPr>
          <w:rFonts w:asciiTheme="majorBidi" w:hAnsiTheme="majorBidi" w:cstheme="majorBidi"/>
          <w:b/>
          <w:bCs/>
        </w:rPr>
        <w:t xml:space="preserve"> </w:t>
      </w:r>
      <w:r w:rsidRPr="00921344">
        <w:rPr>
          <w:rFonts w:asciiTheme="majorBidi" w:hAnsiTheme="majorBidi" w:cstheme="majorBidi"/>
          <w:bCs/>
        </w:rPr>
        <w:t>MIPM</w:t>
      </w:r>
      <w:r w:rsidRPr="00921344">
        <w:rPr>
          <w:rFonts w:asciiTheme="majorBidi" w:hAnsiTheme="majorBidi" w:cstheme="majorBidi"/>
        </w:rPr>
        <w:t xml:space="preserve"> and sympathoexcitation responses </w:t>
      </w:r>
      <w:r w:rsidRPr="00921344">
        <w:rPr>
          <w:rFonts w:asciiTheme="majorBidi" w:hAnsiTheme="majorBidi" w:cstheme="majorBidi"/>
        </w:rPr>
        <w:lastRenderedPageBreak/>
        <w:t>suggests a role for descending pain modulation systems (similar to DNIC/CPM) in producing the pain relief associated with manual therapy. Animal studies similarly suggest involvement of central spinal-bulbo-spinal pathways in the pain inhibition produced by manual therapy, as similarly shown for the DNIC/CPM phenomena. Sluka and Wright (2001) showed that knee joint mobilisation decreased ankle hyperalgesia induced by joint inflammation in an animal model of articular pain. Further, Skyba et al. (2003) used the same pain model and reported that intrathecal administration of the α2-adrenergic receptor antagonist, yohimbine partially blocked and the 5-HT receptor antagonist, methysergide completely blocked the analgesic effect of joint manipulation. They concluded that spinal serotonergic and noradrenergic receptors linked to descending serotonergic and noradrenergic neurons play a key role in mediating MIPM</w:t>
      </w:r>
      <w:r w:rsidRPr="00921344">
        <w:rPr>
          <w:rFonts w:asciiTheme="majorBidi" w:hAnsiTheme="majorBidi" w:cstheme="majorBidi"/>
          <w:b/>
          <w:bCs/>
        </w:rPr>
        <w:t xml:space="preserve">. </w:t>
      </w:r>
      <w:r w:rsidRPr="00921344">
        <w:rPr>
          <w:rFonts w:asciiTheme="majorBidi" w:hAnsiTheme="majorBidi" w:cstheme="majorBidi"/>
          <w:bCs/>
        </w:rPr>
        <w:t>This suggests that there may be a considerable overlap between the neurophysiological mechanisms responsible for DNIC/CPM and those responsible for MIPM.</w:t>
      </w:r>
    </w:p>
    <w:p w:rsidR="00EA343B" w:rsidRDefault="00EA343B" w:rsidP="00EA343B">
      <w:pPr>
        <w:spacing w:after="0" w:line="240" w:lineRule="auto"/>
        <w:contextualSpacing/>
        <w:jc w:val="both"/>
        <w:rPr>
          <w:rFonts w:asciiTheme="majorBidi" w:hAnsiTheme="majorBidi" w:cstheme="majorBidi"/>
          <w:bCs/>
        </w:rPr>
      </w:pPr>
    </w:p>
    <w:p w:rsidR="00EA343B" w:rsidRPr="00921344" w:rsidRDefault="00EA343B" w:rsidP="00EA343B">
      <w:pPr>
        <w:spacing w:after="0" w:line="240" w:lineRule="auto"/>
        <w:contextualSpacing/>
        <w:jc w:val="both"/>
        <w:rPr>
          <w:rFonts w:asciiTheme="majorBidi" w:eastAsiaTheme="minorEastAsia" w:hAnsiTheme="majorBidi" w:cstheme="majorBidi"/>
          <w:b/>
          <w:bCs/>
          <w:sz w:val="24"/>
          <w:szCs w:val="24"/>
        </w:rPr>
      </w:pPr>
      <w:r w:rsidRPr="00921344">
        <w:rPr>
          <w:rFonts w:asciiTheme="majorBidi" w:eastAsiaTheme="minorEastAsia" w:hAnsiTheme="majorBidi" w:cstheme="majorBidi"/>
          <w:b/>
          <w:bCs/>
          <w:sz w:val="24"/>
          <w:szCs w:val="24"/>
        </w:rPr>
        <w:t>Aerobic exercise</w:t>
      </w:r>
      <w:r>
        <w:rPr>
          <w:rFonts w:asciiTheme="majorBidi" w:eastAsiaTheme="minorEastAsia" w:hAnsiTheme="majorBidi" w:cstheme="majorBidi"/>
          <w:b/>
          <w:bCs/>
          <w:sz w:val="24"/>
          <w:szCs w:val="24"/>
        </w:rPr>
        <w:t xml:space="preserve"> </w:t>
      </w:r>
    </w:p>
    <w:p w:rsidR="00EA343B" w:rsidRPr="00921344" w:rsidRDefault="00EA343B" w:rsidP="00EA343B">
      <w:pPr>
        <w:spacing w:after="0" w:line="240" w:lineRule="auto"/>
        <w:jc w:val="both"/>
        <w:rPr>
          <w:rFonts w:asciiTheme="majorBidi" w:eastAsia="Times New Roman" w:hAnsiTheme="majorBidi" w:cs="Times New Roman"/>
          <w:lang w:val="en-AU"/>
        </w:rPr>
      </w:pPr>
      <w:r w:rsidRPr="00921344">
        <w:rPr>
          <w:rFonts w:asciiTheme="majorBidi" w:eastAsia="Times New Roman" w:hAnsiTheme="majorBidi" w:cs="Times New Roman"/>
          <w:lang w:val="en-AU"/>
        </w:rPr>
        <w:t>There is evidence from previous studies that strong hypoalgesic responses are observed after moderate intensity aerobic exercise (</w:t>
      </w:r>
      <w:r w:rsidRPr="00921344">
        <w:rPr>
          <w:rFonts w:asciiTheme="majorBidi" w:eastAsia="Times New Roman" w:hAnsiTheme="majorBidi" w:cs="Times New Roman"/>
        </w:rPr>
        <w:t xml:space="preserve">Koltyn et al. 1996; Naugle et al. 2014; Vaegter et al. 2014, 2016). </w:t>
      </w:r>
      <w:r>
        <w:rPr>
          <w:rFonts w:asciiTheme="majorBidi" w:eastAsia="Times New Roman" w:hAnsiTheme="majorBidi" w:cs="Times New Roman"/>
        </w:rPr>
        <w:t>Naugle et al. (2014) compared the hypoalgesic effects of stationary cycling at 70</w:t>
      </w:r>
      <w:r w:rsidRPr="006963A5">
        <w:rPr>
          <w:rFonts w:asciiTheme="majorBidi" w:eastAsia="Times New Roman" w:hAnsiTheme="majorBidi" w:cs="Times New Roman"/>
        </w:rPr>
        <w:t xml:space="preserve">% VO2max </w:t>
      </w:r>
      <w:r>
        <w:rPr>
          <w:rFonts w:asciiTheme="majorBidi" w:eastAsia="Times New Roman" w:hAnsiTheme="majorBidi" w:cs="Times New Roman"/>
        </w:rPr>
        <w:t xml:space="preserve">and 50% VO2max among 27 healthy volunteers. Both intensities of aerobic exercise induced significant hypoalgesic effects, with a greater hypoalgesia effect after cycling at 70% VO2max. Further, </w:t>
      </w:r>
      <w:r w:rsidRPr="00921344">
        <w:rPr>
          <w:rFonts w:asciiTheme="majorBidi" w:eastAsia="Times New Roman" w:hAnsiTheme="majorBidi" w:cs="Times New Roman"/>
        </w:rPr>
        <w:t xml:space="preserve">Vaegter et al. (2015) examined the hypoalgesic effects of 15mins of bicycling exercise at an intensity </w:t>
      </w:r>
      <w:r>
        <w:rPr>
          <w:rFonts w:asciiTheme="majorBidi" w:eastAsiaTheme="minorEastAsia" w:hAnsiTheme="majorBidi" w:cs="Times New Roman"/>
        </w:rPr>
        <w:t xml:space="preserve">of 75% VO2max </w:t>
      </w:r>
      <w:r w:rsidRPr="00921344">
        <w:rPr>
          <w:rFonts w:asciiTheme="majorBidi" w:eastAsia="Times New Roman" w:hAnsiTheme="majorBidi" w:cs="Times New Roman"/>
        </w:rPr>
        <w:t xml:space="preserve">and </w:t>
      </w:r>
      <w:r>
        <w:rPr>
          <w:rFonts w:asciiTheme="majorBidi" w:eastAsia="Times New Roman" w:hAnsiTheme="majorBidi" w:cs="Times New Roman"/>
        </w:rPr>
        <w:t>cold immersion/</w:t>
      </w:r>
      <w:r w:rsidRPr="00921344">
        <w:rPr>
          <w:rFonts w:asciiTheme="majorBidi" w:eastAsia="Times New Roman" w:hAnsiTheme="majorBidi" w:cs="Times New Roman"/>
        </w:rPr>
        <w:t>CPT</w:t>
      </w:r>
      <w:r>
        <w:rPr>
          <w:rFonts w:asciiTheme="majorBidi" w:eastAsia="Times New Roman" w:hAnsiTheme="majorBidi" w:cs="Times New Roman"/>
        </w:rPr>
        <w:t xml:space="preserve"> </w:t>
      </w:r>
      <w:r w:rsidRPr="00921344">
        <w:rPr>
          <w:rFonts w:asciiTheme="majorBidi" w:eastAsia="Times New Roman" w:hAnsiTheme="majorBidi" w:cs="Times New Roman"/>
        </w:rPr>
        <w:t>among active and inactive healthy participants. While the active group showed higher levels of exercise induced hypoalgesia (EIH) and more efficient CPM effect, as measured by PPT than the inactive group, the extent of analgesia induced by CPM and aerobic exercise in both groups was positively correlated. This indicates that EIH and CPM analgesia are likely mediated by common mechanisms. This in turn suggests that a period of aerobic exercise may similarly potentiate the MIPM analgesic responses.</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rPr>
        <w:t>Given the apparent link between</w:t>
      </w:r>
      <w:r w:rsidRPr="00921344">
        <w:rPr>
          <w:rFonts w:asciiTheme="majorBidi" w:hAnsiTheme="majorBidi" w:cstheme="majorBidi"/>
          <w:bCs/>
        </w:rPr>
        <w:t xml:space="preserve"> the neurophysiological mechanisms responsible for CPM and MIPM analgesic effects, </w:t>
      </w:r>
      <w:r w:rsidRPr="00921344">
        <w:rPr>
          <w:rFonts w:asciiTheme="majorBidi" w:hAnsiTheme="majorBidi" w:cstheme="majorBidi"/>
        </w:rPr>
        <w:t xml:space="preserve">this raises the possibility that either CPM or MIPM analgesia might be enhanced in combination with </w:t>
      </w:r>
      <w:r>
        <w:rPr>
          <w:rFonts w:asciiTheme="majorBidi" w:hAnsiTheme="majorBidi" w:cstheme="majorBidi"/>
        </w:rPr>
        <w:t>aerobic physical exercise</w:t>
      </w:r>
      <w:r w:rsidRPr="00921344">
        <w:rPr>
          <w:rFonts w:asciiTheme="majorBidi" w:hAnsiTheme="majorBidi" w:cstheme="majorBidi"/>
        </w:rPr>
        <w:t>.</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b/>
          <w:bCs/>
          <w:sz w:val="24"/>
          <w:szCs w:val="24"/>
        </w:rPr>
      </w:pPr>
      <w:r w:rsidRPr="00921344">
        <w:rPr>
          <w:rFonts w:asciiTheme="majorBidi" w:hAnsiTheme="majorBidi" w:cstheme="majorBidi"/>
          <w:b/>
          <w:bCs/>
          <w:sz w:val="24"/>
          <w:szCs w:val="24"/>
        </w:rPr>
        <w:t xml:space="preserve">Summary </w:t>
      </w:r>
    </w:p>
    <w:p w:rsidR="00EA343B" w:rsidRPr="00921344" w:rsidRDefault="00EA343B" w:rsidP="00EA343B">
      <w:pPr>
        <w:spacing w:after="0" w:line="240" w:lineRule="auto"/>
        <w:jc w:val="both"/>
        <w:rPr>
          <w:rFonts w:asciiTheme="majorBidi" w:hAnsiTheme="majorBidi" w:cstheme="majorBidi"/>
          <w:b/>
          <w:bCs/>
          <w:color w:val="000000" w:themeColor="text1"/>
        </w:rPr>
      </w:pPr>
      <w:r w:rsidRPr="00921344">
        <w:rPr>
          <w:rFonts w:asciiTheme="majorBidi" w:hAnsiTheme="majorBidi" w:cstheme="majorBidi"/>
        </w:rPr>
        <w:t>The available research evidence suggests that CPM and MIPM induce natural forms of analgesia. They appear to share similar neuro-physiological mechanisms involving activation of endogenous descending pain inhibitory systems. There is also an overlap with EIA. This raises questions as to whether they activate the same or different mechanisms, whether people who show a good response to CPM will also respond well to MPIM</w:t>
      </w:r>
      <w:r w:rsidRPr="00921344">
        <w:rPr>
          <w:rFonts w:asciiTheme="majorBidi" w:hAnsiTheme="majorBidi" w:cstheme="majorBidi"/>
          <w:color w:val="000000" w:themeColor="text1"/>
        </w:rPr>
        <w:t xml:space="preserve"> and whether combining two or more modalities might produce an increased analgesic effect</w:t>
      </w:r>
      <w:r w:rsidRPr="00921344">
        <w:rPr>
          <w:rFonts w:asciiTheme="majorBidi" w:hAnsiTheme="majorBidi" w:cstheme="majorBidi"/>
        </w:rPr>
        <w:t>. In particular, does the addition of aerobic exercise potentiate the CPM and MIPM effects.</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contextualSpacing/>
        <w:jc w:val="both"/>
        <w:rPr>
          <w:rFonts w:asciiTheme="majorBidi" w:eastAsiaTheme="minorEastAsia" w:hAnsiTheme="majorBidi" w:cstheme="majorBidi"/>
          <w:b/>
          <w:sz w:val="26"/>
          <w:szCs w:val="26"/>
        </w:rPr>
      </w:pPr>
      <w:r w:rsidRPr="00921344">
        <w:rPr>
          <w:rFonts w:asciiTheme="majorBidi" w:eastAsiaTheme="minorEastAsia" w:hAnsiTheme="majorBidi" w:cstheme="majorBidi"/>
          <w:b/>
          <w:sz w:val="26"/>
          <w:szCs w:val="26"/>
        </w:rPr>
        <w:t>Objective</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The overall objective of the proposed research is to investigate whether there are similar patterns in the way that each form of endogenous analgesia (CPM and MIPM) varies in response to an experimental paradigm designed to enhance the activity of the descending pain modulation systems. The paradigm we propose to use to enhance the EA system function is a period of aerobic physical exercise. If the change in response to CPM and MIPM is the same following aerobic exercise we would suggest that both forms of analgesia are accessing essentially the same pain modulation pathways in the central nervous system. This will greatly enhance our understanding of manual therapy analgesia.</w:t>
      </w:r>
    </w:p>
    <w:p w:rsidR="00EA343B" w:rsidRPr="00921344"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contextualSpacing/>
        <w:jc w:val="both"/>
        <w:rPr>
          <w:rFonts w:asciiTheme="majorBidi" w:eastAsiaTheme="minorEastAsia" w:hAnsiTheme="majorBidi" w:cstheme="majorBidi"/>
          <w:b/>
          <w:bCs/>
          <w:sz w:val="26"/>
          <w:szCs w:val="26"/>
        </w:rPr>
      </w:pPr>
      <w:r w:rsidRPr="00921344">
        <w:rPr>
          <w:rFonts w:asciiTheme="majorBidi" w:eastAsiaTheme="minorEastAsia" w:hAnsiTheme="majorBidi" w:cstheme="majorBidi"/>
          <w:b/>
          <w:bCs/>
          <w:sz w:val="26"/>
          <w:szCs w:val="26"/>
        </w:rPr>
        <w:t>Experimental</w:t>
      </w:r>
      <w:r>
        <w:rPr>
          <w:rFonts w:asciiTheme="majorBidi" w:eastAsiaTheme="minorEastAsia" w:hAnsiTheme="majorBidi" w:cstheme="majorBidi"/>
          <w:b/>
          <w:bCs/>
          <w:sz w:val="26"/>
          <w:szCs w:val="26"/>
        </w:rPr>
        <w:t xml:space="preserve"> Study </w:t>
      </w:r>
    </w:p>
    <w:p w:rsidR="00EA343B" w:rsidRPr="00A16135" w:rsidRDefault="00EA343B" w:rsidP="00EA343B">
      <w:pPr>
        <w:spacing w:after="0" w:line="240" w:lineRule="auto"/>
        <w:contextualSpacing/>
        <w:jc w:val="both"/>
        <w:rPr>
          <w:rFonts w:asciiTheme="majorBidi" w:eastAsiaTheme="minorEastAsia" w:hAnsiTheme="majorBidi" w:cstheme="majorBidi"/>
          <w:b/>
          <w:bCs/>
          <w:sz w:val="26"/>
          <w:szCs w:val="26"/>
        </w:rPr>
      </w:pPr>
      <w:r w:rsidRPr="00A16135">
        <w:rPr>
          <w:rFonts w:asciiTheme="majorBidi" w:hAnsiTheme="majorBidi" w:cstheme="majorBidi"/>
          <w:b/>
          <w:bCs/>
        </w:rPr>
        <w:t>Sample size calculations</w:t>
      </w:r>
    </w:p>
    <w:p w:rsidR="00BB6ED7" w:rsidRDefault="00EA343B" w:rsidP="00BB6ED7">
      <w:pPr>
        <w:spacing w:after="0" w:line="240" w:lineRule="auto"/>
        <w:jc w:val="both"/>
        <w:rPr>
          <w:rFonts w:asciiTheme="majorBidi" w:hAnsiTheme="majorBidi" w:cstheme="majorBidi"/>
        </w:rPr>
      </w:pPr>
      <w:r>
        <w:rPr>
          <w:rFonts w:asciiTheme="majorBidi" w:hAnsiTheme="majorBidi" w:cstheme="majorBidi"/>
        </w:rPr>
        <w:t>Sample size calculation</w:t>
      </w:r>
      <w:r w:rsidRPr="003B39B6">
        <w:rPr>
          <w:rFonts w:asciiTheme="majorBidi" w:hAnsiTheme="majorBidi" w:cstheme="majorBidi"/>
        </w:rPr>
        <w:t xml:space="preserve"> </w:t>
      </w:r>
      <w:r>
        <w:rPr>
          <w:rFonts w:asciiTheme="majorBidi" w:hAnsiTheme="majorBidi" w:cstheme="majorBidi"/>
        </w:rPr>
        <w:t>has</w:t>
      </w:r>
      <w:r w:rsidRPr="008A251C">
        <w:rPr>
          <w:rFonts w:asciiTheme="majorBidi" w:hAnsiTheme="majorBidi" w:cstheme="majorBidi"/>
        </w:rPr>
        <w:t xml:space="preserve"> been mad</w:t>
      </w:r>
      <w:r w:rsidRPr="00EE2067">
        <w:rPr>
          <w:rFonts w:asciiTheme="majorBidi" w:hAnsiTheme="majorBidi" w:cstheme="majorBidi"/>
        </w:rPr>
        <w:t>e</w:t>
      </w:r>
      <w:r w:rsidRPr="00EE2067">
        <w:rPr>
          <w:rFonts w:asciiTheme="majorBidi" w:hAnsiTheme="majorBidi" w:cstheme="majorBidi"/>
          <w:b/>
          <w:bCs/>
        </w:rPr>
        <w:t xml:space="preserve"> </w:t>
      </w:r>
      <w:r w:rsidRPr="00F85F90">
        <w:rPr>
          <w:rFonts w:asciiTheme="majorBidi" w:hAnsiTheme="majorBidi" w:cstheme="majorBidi"/>
          <w:bCs/>
        </w:rPr>
        <w:t xml:space="preserve">based on </w:t>
      </w:r>
      <w:r w:rsidRPr="003B39B6">
        <w:rPr>
          <w:rFonts w:asciiTheme="majorBidi" w:hAnsiTheme="majorBidi" w:cstheme="majorBidi"/>
        </w:rPr>
        <w:t xml:space="preserve">estimated differences in CPM effect between active and control </w:t>
      </w:r>
      <w:r w:rsidRPr="00641CAD">
        <w:rPr>
          <w:rFonts w:asciiTheme="majorBidi" w:hAnsiTheme="majorBidi" w:cstheme="majorBidi"/>
        </w:rPr>
        <w:t>groups</w:t>
      </w:r>
      <w:r w:rsidRPr="00641CAD">
        <w:rPr>
          <w:rFonts w:asciiTheme="majorBidi" w:hAnsiTheme="majorBidi" w:cstheme="majorBidi"/>
          <w:b/>
          <w:bCs/>
        </w:rPr>
        <w:t xml:space="preserve">. </w:t>
      </w:r>
      <w:r w:rsidRPr="00641CAD">
        <w:rPr>
          <w:rFonts w:asciiTheme="majorBidi" w:hAnsiTheme="majorBidi" w:cstheme="majorBidi"/>
        </w:rPr>
        <w:t>Using</w:t>
      </w:r>
      <w:r w:rsidRPr="00907590">
        <w:rPr>
          <w:rFonts w:asciiTheme="majorBidi" w:hAnsiTheme="majorBidi" w:cstheme="majorBidi"/>
        </w:rPr>
        <w:t xml:space="preserve"> data from previous CPM studies, it is estimated that there would be a difference in percentage change in PPT of approximately 20% between active intervention and control groups. Assuming power of 0.80 and alpha set at 0.05, this would require 26-30 subjects per group. </w:t>
      </w:r>
    </w:p>
    <w:p w:rsidR="00BB6ED7" w:rsidRPr="00BB6ED7" w:rsidRDefault="00BB6ED7" w:rsidP="00BB6ED7">
      <w:pPr>
        <w:spacing w:after="0" w:line="240" w:lineRule="auto"/>
        <w:jc w:val="both"/>
        <w:rPr>
          <w:rFonts w:asciiTheme="majorBidi" w:hAnsiTheme="majorBidi" w:cstheme="majorBidi"/>
        </w:rPr>
      </w:pPr>
    </w:p>
    <w:p w:rsidR="00EA343B" w:rsidRPr="001A3F8F" w:rsidRDefault="00EA343B" w:rsidP="00EA343B">
      <w:pPr>
        <w:shd w:val="clear" w:color="auto" w:fill="BFBFBF" w:themeFill="background1" w:themeFillShade="BF"/>
        <w:spacing w:after="0" w:line="240" w:lineRule="auto"/>
        <w:rPr>
          <w:rFonts w:asciiTheme="majorBidi" w:hAnsiTheme="majorBidi" w:cstheme="majorBidi"/>
          <w:b/>
          <w:bCs/>
          <w:i/>
          <w:iCs/>
        </w:rPr>
      </w:pPr>
      <w:r>
        <w:rPr>
          <w:rFonts w:asciiTheme="majorBidi" w:hAnsiTheme="majorBidi" w:cstheme="majorBidi"/>
          <w:b/>
          <w:bCs/>
        </w:rPr>
        <w:lastRenderedPageBreak/>
        <w:t>Part One</w:t>
      </w:r>
      <w:r w:rsidRPr="001A3F8F">
        <w:rPr>
          <w:rFonts w:asciiTheme="majorBidi" w:hAnsiTheme="majorBidi" w:cstheme="majorBidi"/>
          <w:b/>
          <w:bCs/>
        </w:rPr>
        <w:t>:</w:t>
      </w:r>
      <w:r w:rsidRPr="001A3F8F">
        <w:rPr>
          <w:rFonts w:asciiTheme="majorBidi" w:hAnsiTheme="majorBidi" w:cstheme="majorBidi"/>
          <w:b/>
          <w:bCs/>
          <w:i/>
          <w:iCs/>
        </w:rPr>
        <w:t xml:space="preserve"> Association between the analgesic effects of CPM and MIPM</w:t>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p>
    <w:p w:rsidR="00BB6ED7" w:rsidRDefault="00BB6ED7" w:rsidP="00BB6ED7">
      <w:pPr>
        <w:spacing w:after="0" w:line="240" w:lineRule="auto"/>
        <w:jc w:val="both"/>
        <w:rPr>
          <w:rFonts w:asciiTheme="majorBidi" w:eastAsia="Times New Roman" w:hAnsiTheme="majorBidi" w:cs="Times New Roman"/>
          <w:bCs/>
        </w:rPr>
      </w:pPr>
    </w:p>
    <w:p w:rsidR="00BB6ED7" w:rsidRPr="00357042" w:rsidRDefault="00BB6ED7" w:rsidP="00BB6ED7">
      <w:pPr>
        <w:spacing w:after="0" w:line="240" w:lineRule="auto"/>
        <w:jc w:val="both"/>
        <w:rPr>
          <w:rFonts w:asciiTheme="majorBidi" w:eastAsia="Times New Roman" w:hAnsiTheme="majorBidi" w:cs="Times New Roman"/>
          <w:bCs/>
        </w:rPr>
      </w:pPr>
      <w:r w:rsidRPr="00357042">
        <w:rPr>
          <w:rFonts w:asciiTheme="majorBidi" w:eastAsia="Times New Roman" w:hAnsiTheme="majorBidi" w:cs="Times New Roman"/>
          <w:bCs/>
        </w:rPr>
        <w:t>This is a two-part study protocol and it is envisaged that subjects who complete the first part of the study will then proceed to the second stage of the study.</w:t>
      </w:r>
    </w:p>
    <w:p w:rsidR="00BB6ED7" w:rsidRDefault="00BB6ED7" w:rsidP="00EA343B">
      <w:pPr>
        <w:spacing w:after="0" w:line="240" w:lineRule="auto"/>
        <w:jc w:val="both"/>
        <w:rPr>
          <w:rFonts w:asciiTheme="majorBidi" w:hAnsiTheme="majorBidi" w:cstheme="majorBidi"/>
          <w:b/>
          <w:bCs/>
        </w:rPr>
      </w:pPr>
    </w:p>
    <w:p w:rsidR="00EA343B" w:rsidRPr="003E24E9" w:rsidRDefault="00EA343B" w:rsidP="00EA343B">
      <w:pPr>
        <w:spacing w:after="0" w:line="240" w:lineRule="auto"/>
        <w:jc w:val="both"/>
        <w:rPr>
          <w:rFonts w:asciiTheme="majorBidi" w:hAnsiTheme="majorBidi" w:cstheme="majorBidi"/>
        </w:rPr>
      </w:pPr>
      <w:r w:rsidRPr="003E24E9">
        <w:rPr>
          <w:rFonts w:asciiTheme="majorBidi" w:hAnsiTheme="majorBidi" w:cstheme="majorBidi"/>
          <w:b/>
          <w:bCs/>
        </w:rPr>
        <w:t>Aims</w:t>
      </w:r>
    </w:p>
    <w:p w:rsidR="00EA343B" w:rsidRPr="003E24E9" w:rsidRDefault="00EA343B" w:rsidP="00EA343B">
      <w:pPr>
        <w:pStyle w:val="ListParagraph"/>
        <w:numPr>
          <w:ilvl w:val="0"/>
          <w:numId w:val="1"/>
        </w:numPr>
        <w:spacing w:after="0" w:line="240" w:lineRule="auto"/>
        <w:ind w:left="284" w:hanging="284"/>
        <w:jc w:val="both"/>
        <w:rPr>
          <w:rFonts w:asciiTheme="majorBidi" w:hAnsiTheme="majorBidi" w:cstheme="majorBidi"/>
          <w:b/>
          <w:bCs/>
        </w:rPr>
      </w:pPr>
      <w:r>
        <w:rPr>
          <w:rFonts w:asciiTheme="majorBidi" w:hAnsiTheme="majorBidi" w:cstheme="majorBidi"/>
        </w:rPr>
        <w:t>To assess CPM and MIPM</w:t>
      </w:r>
      <w:r w:rsidRPr="003E24E9">
        <w:rPr>
          <w:rFonts w:asciiTheme="majorBidi" w:hAnsiTheme="majorBidi" w:cstheme="majorBidi"/>
        </w:rPr>
        <w:t xml:space="preserve"> in a p</w:t>
      </w:r>
      <w:r>
        <w:rPr>
          <w:rFonts w:asciiTheme="majorBidi" w:hAnsiTheme="majorBidi" w:cstheme="majorBidi"/>
        </w:rPr>
        <w:t>atient population with Lateral E</w:t>
      </w:r>
      <w:r w:rsidRPr="003E24E9">
        <w:rPr>
          <w:rFonts w:asciiTheme="majorBidi" w:hAnsiTheme="majorBidi" w:cstheme="majorBidi"/>
        </w:rPr>
        <w:t>picondylalgia</w:t>
      </w:r>
      <w:r>
        <w:rPr>
          <w:rFonts w:asciiTheme="majorBidi" w:hAnsiTheme="majorBidi" w:cstheme="majorBidi"/>
        </w:rPr>
        <w:t xml:space="preserve"> (</w:t>
      </w:r>
      <w:r w:rsidRPr="003E24E9">
        <w:rPr>
          <w:rFonts w:asciiTheme="majorBidi" w:hAnsiTheme="majorBidi" w:cstheme="majorBidi"/>
        </w:rPr>
        <w:t>LE</w:t>
      </w:r>
      <w:r>
        <w:rPr>
          <w:rFonts w:asciiTheme="majorBidi" w:hAnsiTheme="majorBidi" w:cstheme="majorBidi"/>
        </w:rPr>
        <w:t>)</w:t>
      </w:r>
      <w:r w:rsidRPr="003E24E9">
        <w:rPr>
          <w:rFonts w:asciiTheme="majorBidi" w:hAnsiTheme="majorBidi" w:cstheme="majorBidi"/>
        </w:rPr>
        <w:t xml:space="preserve"> to determine if there is a correlation between the induced analgesic responses in this patient population. </w:t>
      </w:r>
    </w:p>
    <w:p w:rsidR="00EA343B" w:rsidRPr="001A3F8F" w:rsidRDefault="00EA343B" w:rsidP="00EA343B">
      <w:pPr>
        <w:pStyle w:val="ListParagraph"/>
        <w:numPr>
          <w:ilvl w:val="0"/>
          <w:numId w:val="1"/>
        </w:numPr>
        <w:spacing w:after="0" w:line="240" w:lineRule="auto"/>
        <w:ind w:left="284" w:hanging="284"/>
        <w:jc w:val="both"/>
        <w:rPr>
          <w:rFonts w:asciiTheme="majorBidi" w:hAnsiTheme="majorBidi" w:cstheme="majorBidi"/>
          <w:b/>
          <w:bCs/>
        </w:rPr>
      </w:pPr>
      <w:r w:rsidRPr="003E24E9">
        <w:rPr>
          <w:rFonts w:asciiTheme="majorBidi" w:hAnsiTheme="majorBidi" w:cstheme="majorBidi"/>
        </w:rPr>
        <w:t xml:space="preserve">To determine whether </w:t>
      </w:r>
      <w:r>
        <w:rPr>
          <w:rFonts w:asciiTheme="majorBidi" w:hAnsiTheme="majorBidi" w:cstheme="majorBidi"/>
        </w:rPr>
        <w:t>there is a difference in the level of MIPM</w:t>
      </w:r>
      <w:r w:rsidRPr="003E24E9">
        <w:rPr>
          <w:rFonts w:asciiTheme="majorBidi" w:hAnsiTheme="majorBidi" w:cstheme="majorBidi"/>
        </w:rPr>
        <w:t xml:space="preserve"> </w:t>
      </w:r>
      <w:r>
        <w:rPr>
          <w:rFonts w:asciiTheme="majorBidi" w:hAnsiTheme="majorBidi" w:cstheme="majorBidi"/>
        </w:rPr>
        <w:t xml:space="preserve">analgesia </w:t>
      </w:r>
      <w:r w:rsidRPr="003E24E9">
        <w:rPr>
          <w:rFonts w:asciiTheme="majorBidi" w:hAnsiTheme="majorBidi" w:cstheme="majorBidi"/>
        </w:rPr>
        <w:t>between those who exhibit a CPM effect (CPM responders) and those who do not demonstrate a CPM effect</w:t>
      </w:r>
      <w:r>
        <w:rPr>
          <w:rFonts w:asciiTheme="majorBidi" w:hAnsiTheme="majorBidi" w:cstheme="majorBidi"/>
        </w:rPr>
        <w:t xml:space="preserve"> (CPM non-responders)</w:t>
      </w:r>
      <w:r w:rsidRPr="003E24E9">
        <w:rPr>
          <w:rFonts w:asciiTheme="majorBidi" w:hAnsiTheme="majorBidi" w:cstheme="majorBidi"/>
        </w:rPr>
        <w:t xml:space="preserve">.  </w:t>
      </w:r>
    </w:p>
    <w:p w:rsidR="00EA343B" w:rsidRPr="00640E6B" w:rsidRDefault="00EA343B" w:rsidP="00EA343B">
      <w:pPr>
        <w:pStyle w:val="ListParagraph"/>
        <w:spacing w:after="0" w:line="240" w:lineRule="auto"/>
        <w:ind w:left="284"/>
        <w:jc w:val="both"/>
        <w:rPr>
          <w:rFonts w:asciiTheme="majorBidi" w:hAnsiTheme="majorBidi" w:cstheme="majorBidi"/>
          <w:b/>
          <w:bCs/>
        </w:rPr>
      </w:pPr>
    </w:p>
    <w:p w:rsidR="00EA343B" w:rsidRPr="003E24E9" w:rsidRDefault="00EA343B" w:rsidP="00EA343B">
      <w:pPr>
        <w:spacing w:after="0" w:line="240" w:lineRule="auto"/>
        <w:jc w:val="both"/>
        <w:rPr>
          <w:rFonts w:asciiTheme="majorBidi" w:hAnsiTheme="majorBidi" w:cstheme="majorBidi"/>
          <w:i/>
          <w:iCs/>
        </w:rPr>
      </w:pPr>
      <w:r>
        <w:rPr>
          <w:rFonts w:asciiTheme="majorBidi" w:hAnsiTheme="majorBidi" w:cstheme="majorBidi"/>
          <w:b/>
          <w:bCs/>
        </w:rPr>
        <w:t>Null h</w:t>
      </w:r>
      <w:r w:rsidRPr="003E24E9">
        <w:rPr>
          <w:rFonts w:asciiTheme="majorBidi" w:hAnsiTheme="majorBidi" w:cstheme="majorBidi"/>
          <w:b/>
          <w:bCs/>
        </w:rPr>
        <w:t>ypotheses</w:t>
      </w:r>
    </w:p>
    <w:p w:rsidR="00EA343B" w:rsidRPr="00FD5CD1" w:rsidRDefault="00EA343B" w:rsidP="00EA343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There will be no correlation between the level of MIPM and CPM analgesia as detected by PPT.</w:t>
      </w:r>
    </w:p>
    <w:p w:rsidR="00EA343B" w:rsidRPr="001A3F8F" w:rsidRDefault="00EA343B" w:rsidP="00EA343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 xml:space="preserve">There will be no difference in the level of MIPM analgesia between those subjects who do and those who do not exhibit a CPM effect (CPM responders vs non-responders).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EA343B" w:rsidRDefault="00EA343B" w:rsidP="00EA343B">
      <w:pPr>
        <w:spacing w:after="0" w:line="240" w:lineRule="auto"/>
        <w:jc w:val="both"/>
        <w:rPr>
          <w:rFonts w:asciiTheme="majorBidi" w:eastAsia="Times New Roman" w:hAnsiTheme="majorBidi" w:cs="Times New Roman"/>
        </w:rPr>
      </w:pPr>
      <w:r>
        <w:rPr>
          <w:rFonts w:asciiTheme="majorBidi" w:eastAsia="Times New Roman" w:hAnsiTheme="majorBidi" w:cs="Times New Roman"/>
        </w:rPr>
        <w:t>60 p</w:t>
      </w:r>
      <w:r w:rsidRPr="00921344">
        <w:rPr>
          <w:rFonts w:asciiTheme="majorBidi" w:eastAsia="Times New Roman" w:hAnsiTheme="majorBidi" w:cs="Times New Roman"/>
        </w:rPr>
        <w:t xml:space="preserve">articipants with LE will be recruited through Curtin radio advertisements, and adverts in sports clubs and a range of musculoskeletal and sports </w:t>
      </w:r>
      <w:r>
        <w:rPr>
          <w:rFonts w:asciiTheme="majorBidi" w:eastAsia="Times New Roman" w:hAnsiTheme="majorBidi" w:cs="Times New Roman"/>
        </w:rPr>
        <w:t xml:space="preserve">physiotherapy clinics in Perth. </w:t>
      </w:r>
      <w:r w:rsidRPr="00921344">
        <w:rPr>
          <w:rFonts w:asciiTheme="majorBidi" w:eastAsia="Times New Roman" w:hAnsiTheme="majorBidi" w:cs="Times New Roman"/>
        </w:rPr>
        <w:t>Inclusion criteria (Haker &amp; Lundeberg 1990) and exclusion criteria are as follows:</w:t>
      </w:r>
    </w:p>
    <w:p w:rsidR="00EA343B" w:rsidRPr="004944B5"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contextualSpacing/>
        <w:jc w:val="both"/>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Inclusion criteria </w:t>
      </w: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105"/>
      </w:tblGrid>
      <w:tr w:rsidR="00EA343B" w:rsidRPr="00921344" w:rsidTr="004B58D2">
        <w:trPr>
          <w:trHeight w:val="277"/>
        </w:trPr>
        <w:tc>
          <w:tcPr>
            <w:tcW w:w="9585" w:type="dxa"/>
            <w:gridSpan w:val="2"/>
            <w:shd w:val="clear" w:color="auto" w:fill="D9D9D9" w:themeFill="background1" w:themeFillShade="D9"/>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 xml:space="preserve">Unilateral elbow pain &gt; 6 weeks reproduced on </w:t>
            </w:r>
            <w:r w:rsidRPr="00921344">
              <w:rPr>
                <w:rFonts w:asciiTheme="majorBidi" w:hAnsiTheme="majorBidi" w:cs="Times New Roman"/>
                <w:b/>
                <w:bCs/>
              </w:rPr>
              <w:t>at least 2</w:t>
            </w:r>
            <w:r w:rsidRPr="00921344">
              <w:rPr>
                <w:rFonts w:asciiTheme="majorBidi" w:hAnsiTheme="majorBidi" w:cs="Times New Roman"/>
              </w:rPr>
              <w:t xml:space="preserve"> of the following tests:  </w:t>
            </w:r>
          </w:p>
        </w:tc>
      </w:tr>
      <w:tr w:rsidR="00EA343B" w:rsidRPr="00921344" w:rsidTr="004B58D2">
        <w:trPr>
          <w:trHeight w:val="277"/>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Palpation of the lateral epicondyle</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Passive stretch of wrist extensors</w:t>
            </w:r>
          </w:p>
        </w:tc>
      </w:tr>
      <w:tr w:rsidR="00EA343B" w:rsidRPr="00921344" w:rsidTr="004B58D2">
        <w:trPr>
          <w:trHeight w:val="277"/>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Isometric testing of the wrist extensors</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Resisted hand gripping using a dynamometer</w:t>
            </w:r>
          </w:p>
        </w:tc>
      </w:tr>
      <w:tr w:rsidR="00EA343B" w:rsidRPr="00921344" w:rsidTr="004B58D2">
        <w:trPr>
          <w:trHeight w:val="261"/>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Middle finger extension test</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Upper limb neurodynamic test-radial nerve bias</w:t>
            </w:r>
          </w:p>
        </w:tc>
      </w:tr>
    </w:tbl>
    <w:p w:rsidR="00EA343B" w:rsidRPr="00921344" w:rsidRDefault="00EA343B" w:rsidP="00EA343B">
      <w:pPr>
        <w:shd w:val="clear" w:color="auto" w:fill="FFFFFF" w:themeFill="background1"/>
        <w:spacing w:after="0" w:line="240" w:lineRule="auto"/>
        <w:rPr>
          <w:rFonts w:asciiTheme="majorBidi" w:eastAsia="Times New Roman" w:hAnsiTheme="majorBidi" w:cs="Times New Roman"/>
          <w:i/>
          <w:iCs/>
        </w:rPr>
      </w:pPr>
    </w:p>
    <w:p w:rsidR="00EA343B" w:rsidRPr="00921344" w:rsidRDefault="00EA343B" w:rsidP="00EA343B">
      <w:pPr>
        <w:shd w:val="clear" w:color="auto" w:fill="FFFFFF" w:themeFill="background1"/>
        <w:tabs>
          <w:tab w:val="left" w:pos="426"/>
        </w:tabs>
        <w:spacing w:after="0" w:line="240" w:lineRule="auto"/>
        <w:contextualSpacing/>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Exclusion criteria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60"/>
      </w:tblGrid>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Neurological and radicular dysfunctions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 xml:space="preserve">Steroid injection into the elbow (previous 1 month)  </w:t>
            </w: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History of fracture/surgery in the forequarter (past 2 y)</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rPr>
            </w:pPr>
            <w:r w:rsidRPr="00921344">
              <w:rPr>
                <w:rFonts w:asciiTheme="majorBidi" w:hAnsiTheme="majorBidi" w:cs="Times New Roman"/>
              </w:rPr>
              <w:t>Contraindications to cold application</w:t>
            </w:r>
          </w:p>
          <w:p w:rsidR="00EA343B" w:rsidRPr="00921344" w:rsidRDefault="00EA343B" w:rsidP="004B58D2">
            <w:pPr>
              <w:rPr>
                <w:rFonts w:asciiTheme="majorBidi" w:hAnsiTheme="majorBidi" w:cs="Times New Roman"/>
                <w:i/>
                <w:iCs/>
              </w:rPr>
            </w:pPr>
            <w:r w:rsidRPr="00921344">
              <w:rPr>
                <w:rFonts w:asciiTheme="majorBidi" w:hAnsiTheme="majorBidi" w:cs="Times New Roman"/>
              </w:rPr>
              <w:t>Inability to communicate in English</w:t>
            </w: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History of generalized arthritis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Present or chronic use of anti-depressants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p>
        </w:tc>
      </w:tr>
    </w:tbl>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jc w:val="both"/>
        <w:rPr>
          <w:rFonts w:asciiTheme="majorBidi" w:hAnsiTheme="majorBidi" w:cstheme="majorBidi"/>
        </w:rPr>
      </w:pPr>
      <w:r w:rsidRPr="00921344">
        <w:rPr>
          <w:rFonts w:asciiTheme="majorBidi" w:eastAsia="Times New Roman" w:hAnsiTheme="majorBidi" w:cstheme="majorBidi"/>
        </w:rPr>
        <w:t xml:space="preserve">To confirm that the eligibility criteria are met, a thorough clinical examination of all subjects will be carried out prior to commencing the study. Subjects will also be required to initially complete </w:t>
      </w:r>
      <w:r>
        <w:rPr>
          <w:rFonts w:asciiTheme="majorBidi" w:eastAsia="Times New Roman" w:hAnsiTheme="majorBidi" w:cstheme="majorBidi"/>
        </w:rPr>
        <w:t xml:space="preserve">the </w:t>
      </w:r>
      <w:r w:rsidRPr="00921344">
        <w:rPr>
          <w:rFonts w:asciiTheme="majorBidi" w:eastAsia="Times New Roman" w:hAnsiTheme="majorBidi" w:cstheme="majorBidi"/>
        </w:rPr>
        <w:t>Adult Pre-exercise Screening System (APSS) tool, which is an Australian screening tool developed by E</w:t>
      </w:r>
      <w:r w:rsidRPr="00921344">
        <w:rPr>
          <w:rFonts w:asciiTheme="majorBidi" w:hAnsiTheme="majorBidi" w:cstheme="majorBidi"/>
        </w:rPr>
        <w:t xml:space="preserve">xercise and Sport Science Australia (ESSA), Fitness Australia (FA), and Sports Medicine Australia (SMA) </w:t>
      </w:r>
      <w:r w:rsidRPr="00921344">
        <w:rPr>
          <w:rFonts w:asciiTheme="majorBidi" w:eastAsia="Times New Roman" w:hAnsiTheme="majorBidi" w:cstheme="majorBidi"/>
        </w:rPr>
        <w:t>to examine participants’ eligibility and safety for aerobic exercise testing (Norton &amp; Norton 2011). All testing will be carried out at the Physiotherapy Clinic</w:t>
      </w:r>
      <w:r>
        <w:rPr>
          <w:rFonts w:asciiTheme="majorBidi" w:eastAsia="Times New Roman" w:hAnsiTheme="majorBidi" w:cstheme="majorBidi"/>
        </w:rPr>
        <w:t xml:space="preserve"> (Building 404)</w:t>
      </w:r>
      <w:r w:rsidRPr="00921344">
        <w:rPr>
          <w:rFonts w:asciiTheme="majorBidi" w:eastAsia="Times New Roman" w:hAnsiTheme="majorBidi" w:cstheme="majorBidi"/>
        </w:rPr>
        <w:t>, School of Physiotherapy and Exercise Science, Curtin University. Subjects will be asked to avoid taking pain medications 24 hours prior to initial testing.</w:t>
      </w:r>
    </w:p>
    <w:p w:rsidR="00EA343B" w:rsidRPr="00921344" w:rsidRDefault="00EA343B" w:rsidP="00EA343B">
      <w:pPr>
        <w:tabs>
          <w:tab w:val="left" w:pos="284"/>
        </w:tabs>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Physical activity level outcome measure</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All eligible participan</w:t>
      </w:r>
      <w:r>
        <w:rPr>
          <w:rFonts w:asciiTheme="majorBidi" w:eastAsia="Times New Roman" w:hAnsiTheme="majorBidi" w:cs="Times New Roman"/>
        </w:rPr>
        <w:t xml:space="preserve">ts will need to report their typical </w:t>
      </w:r>
      <w:r w:rsidRPr="00921344">
        <w:rPr>
          <w:rFonts w:asciiTheme="majorBidi" w:eastAsia="Times New Roman" w:hAnsiTheme="majorBidi" w:cs="Times New Roman"/>
        </w:rPr>
        <w:t>week</w:t>
      </w:r>
      <w:r>
        <w:rPr>
          <w:rFonts w:asciiTheme="majorBidi" w:eastAsia="Times New Roman" w:hAnsiTheme="majorBidi" w:cs="Times New Roman"/>
        </w:rPr>
        <w:t>ly</w:t>
      </w:r>
      <w:r w:rsidRPr="00921344">
        <w:rPr>
          <w:rFonts w:asciiTheme="majorBidi" w:eastAsia="Times New Roman" w:hAnsiTheme="majorBidi" w:cs="Times New Roman"/>
        </w:rPr>
        <w:t xml:space="preserve"> physical activity level </w:t>
      </w:r>
      <w:r>
        <w:rPr>
          <w:rFonts w:asciiTheme="majorBidi" w:eastAsia="Times New Roman" w:hAnsiTheme="majorBidi" w:cs="Times New Roman"/>
        </w:rPr>
        <w:t xml:space="preserve">using the Global Physical Activity Questionnaire (GPAQ) </w:t>
      </w:r>
      <w:r w:rsidRPr="00921344">
        <w:rPr>
          <w:rFonts w:asciiTheme="majorBidi" w:eastAsia="Times New Roman" w:hAnsiTheme="majorBidi" w:cs="Times New Roman"/>
        </w:rPr>
        <w:t>(</w:t>
      </w:r>
      <w:r>
        <w:rPr>
          <w:rFonts w:asciiTheme="majorBidi" w:eastAsia="Times New Roman" w:hAnsiTheme="majorBidi" w:cs="Times New Roman"/>
        </w:rPr>
        <w:t>WHO 2005</w:t>
      </w:r>
      <w:r w:rsidRPr="00921344">
        <w:rPr>
          <w:rFonts w:asciiTheme="majorBidi" w:eastAsia="Times New Roman" w:hAnsiTheme="majorBidi" w:cs="Times New Roman"/>
        </w:rPr>
        <w:t xml:space="preserve">). </w:t>
      </w:r>
      <w:r>
        <w:rPr>
          <w:rFonts w:asciiTheme="majorBidi" w:eastAsia="Times New Roman" w:hAnsiTheme="majorBidi" w:cs="Times New Roman"/>
        </w:rPr>
        <w:t>It is a 16-question self-report questionnaires measuring physical activity levels in three main areas: work, transport and recreation. The GPAQ is shown to be an adequately reliable measure of physical activity, with a low-to-moderate validity (Herrmann et al. 2013).</w:t>
      </w:r>
    </w:p>
    <w:p w:rsidR="00EA343B" w:rsidRDefault="00EA343B" w:rsidP="00EA343B">
      <w:pPr>
        <w:tabs>
          <w:tab w:val="left" w:pos="284"/>
        </w:tabs>
        <w:spacing w:after="0" w:line="240" w:lineRule="auto"/>
        <w:jc w:val="both"/>
        <w:rPr>
          <w:rFonts w:asciiTheme="majorBidi" w:eastAsia="Times New Roman" w:hAnsiTheme="majorBidi" w:cs="Times New Roman"/>
          <w:b/>
          <w:bCs/>
        </w:rPr>
      </w:pPr>
    </w:p>
    <w:p w:rsidR="00EA343B" w:rsidRPr="00921344"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Pressure pain threshold (PPT)</w:t>
      </w: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rPr>
        <w:lastRenderedPageBreak/>
        <w:t>PPT will be measured by using an electronic digital algometer (Somedic AB, Sweden) using standard methodology (</w:t>
      </w:r>
      <w:hyperlink r:id="rId8"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PPT is a highly reliable measure for assessment of pain in LE (ICC &gt; 0.86) (Fernández-Carnero et al. 2009). The assessor will identify the most tender point at the lateral aspect of the affected elbow by palpation. He will also identify a mid-point on the posterior aspect of the wrist, 2 cm proximal to the wrist crease. These measurement sites</w:t>
      </w:r>
      <w:r w:rsidRPr="00921344" w:rsidDel="000E3F8A">
        <w:rPr>
          <w:rFonts w:asciiTheme="majorBidi" w:eastAsia="Times New Roman" w:hAnsiTheme="majorBidi" w:cs="Times New Roman"/>
        </w:rPr>
        <w:t xml:space="preserve"> </w:t>
      </w:r>
      <w:r w:rsidRPr="00921344">
        <w:rPr>
          <w:rFonts w:asciiTheme="majorBidi" w:eastAsia="Times New Roman" w:hAnsiTheme="majorBidi" w:cs="Times New Roman"/>
        </w:rPr>
        <w:t>will then be marked. The participant will be sitting on a chair of adjustable height so the forearm is comfortably positioned in pronation on a table. A 1 cm² algometer tip will be applied perpendicularly over each marked site by the assessor and the pressure stimulus applied at a standard rate of 40 kPa/s. The participant will be instructed to push a control switch at the moment they perceive the pressure becoming painful. PPT measures are the pressure value (kPa) recorded from the algometer.</w:t>
      </w:r>
      <w:r w:rsidRPr="00921344" w:rsidDel="00061466">
        <w:rPr>
          <w:rFonts w:asciiTheme="majorBidi" w:eastAsia="Times New Roman" w:hAnsiTheme="majorBidi" w:cs="Times New Roman"/>
        </w:rPr>
        <w:t xml:space="preserve"> </w:t>
      </w:r>
      <w:r w:rsidRPr="00921344">
        <w:rPr>
          <w:rFonts w:asciiTheme="majorBidi" w:eastAsia="Times New Roman" w:hAnsiTheme="majorBidi" w:cs="Times New Roman"/>
        </w:rPr>
        <w:t>The test procedure will first be conducted at the unaffected forearm for familiarization. Three PPT measurements will be taken at each site on the symptomatic side with 10-15 s intervals between each. Mean values will be used in analysis.</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b/>
          <w:bCs/>
        </w:rPr>
        <w:t>Pain free grip (PFG)</w:t>
      </w: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rPr>
        <w:t>Pain on gripping is a clinical sign of LE (Vicenzino et al. 1998). Pain free grip (PFG) refers to the amount of grip force that can be applied prior to the onset of pain (Paungmali et al. 2003). PFG will be measured with an electronic digital dynamometer (MIE, Medical Research Ltd.) using standard methodology (</w:t>
      </w:r>
      <w:hyperlink r:id="rId9"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It is both a reliable (ICC &gt; 0.97) (Smidt et al. 2002) and valid (Paungmali et al. 2003) measure used in patients with LE. The participant will be lying supine with the arm by their side positioned in elbow extension and forearm pronation. They will then be requested to squeeze the dynamometer handles until they first feel their lateral elbow pain, and then to stop the squeezing action. The PFG force value is then recorded from the digital display. The PFG test will be performed three times with 10-20 s rest intervals in between. The average value will then be used for analysis.  </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Upper limb neurodynamic test (ULNDT) with radial nerve bias</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rPr>
        <w:t xml:space="preserve">The upper limb neurodynamic test (ULNDT) with radial nerve bias will be used to assess primarily neural mobility of the forequarter (Butler 2000). Painfree range of motion in the test is restricted in patients with LE (Yaxley &amp; Jull 1993). The participant’s arm will be progressively positioned in scapular depression and protraction, elbow extension, internal rotation, forearm pronation, wrist and finger flexion. Scapular depression will be sustained while performing the test. The shoulder will then be slowly taken into abduction. The participant will be instructed to depress a switch at the onset of pain with this movement and the arm will be returned to the start position. The shoulder abduction range at the onset of pain will be measured using an M180 twin axis electrogoniometer (Penny &amp; Giles, United Kingdom) positioned over the anterior shoulder (Vicenzino et al. 1996). Three readings will be taken with 20-30 s intervals in between. The average of these readings will be used for analysis.  </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Assessment protocols </w:t>
      </w:r>
      <w:r w:rsidRPr="00921344">
        <w:rPr>
          <w:rFonts w:asciiTheme="majorBidi" w:eastAsia="Times New Roman" w:hAnsiTheme="majorBidi" w:cs="Times New Roman"/>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Conditioned pain modulation (CPM) assessment protocol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PPT will be used as the test stimulus, using an electronic digital algometer (Somedic AB, Sweden) as outlined above. It has been shown that PPT has a high intrarater reliability with excellent intraclass correlation coefficient (ICCs: 0.81-0.99) when measured at 4 different body sites (Waller et al. 2015). Participants will sit on a chair of adjustable height so the forearm is comfortably supported. PPT will be performed as outlined above on the two marked locations of the affected arm, which will be positioned in pronation on a table. PPT will be tested at baseline prior to cold water immersion, after 1 min during immersion, and 1 min post immersion. At each time point, PPT will be measured three times with 10-15 s rest intervals in between. The mean value of the three measurements at each point will be used for analysis.  </w:t>
      </w:r>
    </w:p>
    <w:p w:rsidR="00EA343B" w:rsidRPr="00921344" w:rsidRDefault="00EA343B" w:rsidP="00EA343B">
      <w:pPr>
        <w:spacing w:after="0" w:line="240" w:lineRule="auto"/>
        <w:jc w:val="both"/>
        <w:rPr>
          <w:rFonts w:asciiTheme="majorBidi" w:eastAsia="Times New Roman" w:hAnsiTheme="majorBidi" w:cs="Times New Roman"/>
          <w:b/>
          <w:bCs/>
          <w:i/>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The Cold Pressor Test (CPT) will be used as a conditioning stimulus to elicit the CPM response. The unaffected hand will be submerged 4 inches above the wrist crease in a cold water bath, with a temperature maintained at 7°C for a period of 2 min (Locke et al. 2014). The water bath contains a mix of water and ice and it is supplied with a circulating pump to ensure uniformity of water temperature at the skin. The difference between PPT measurements taken before and after water immersion represents the CPM effect. This will be quantified as the percentage change in PPT relative to the baseline measure. Separate percentage change measures will be obtained for the wrist and elbow sites.</w:t>
      </w:r>
    </w:p>
    <w:p w:rsidR="00EA343B" w:rsidRPr="00921344" w:rsidRDefault="00EA343B" w:rsidP="00EA343B">
      <w:pPr>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Manipulation induced pain modulation (MIPM) assessment protocol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The existence of a MIPM effect will be assessed using a very similar protocol to CPM testing.</w:t>
      </w:r>
    </w:p>
    <w:p w:rsidR="00EA343B" w:rsidRPr="00921344" w:rsidRDefault="00EA343B" w:rsidP="00EA343B">
      <w:pPr>
        <w:spacing w:after="0" w:line="240" w:lineRule="auto"/>
        <w:jc w:val="both"/>
        <w:rPr>
          <w:rFonts w:asciiTheme="majorBidi" w:eastAsia="Times New Roman" w:hAnsiTheme="majorBidi" w:cs="Times New Roman"/>
          <w:i/>
        </w:rPr>
      </w:pPr>
    </w:p>
    <w:p w:rsidR="00EA343B" w:rsidRPr="00921344" w:rsidRDefault="00EA343B" w:rsidP="00EA343B">
      <w:pPr>
        <w:spacing w:after="0" w:line="240" w:lineRule="auto"/>
        <w:jc w:val="both"/>
        <w:rPr>
          <w:rFonts w:asciiTheme="majorBidi" w:eastAsia="Times New Roman" w:hAnsiTheme="majorBidi" w:cs="Times New Roman"/>
          <w:i/>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PPT will be the test stimulus. The PFG test, ULNDT with radial nerve bias and measures of PPT at both test sites will be carried out at baseline and then repeated immediately after the conditioning stimulus (C5/6 contralateral lateral glide mobilisation). Testing will be performed with the participants lying supine on a plinth. PFG and UNLDT will provide additional measures of the MIPM effect.</w:t>
      </w:r>
    </w:p>
    <w:p w:rsidR="00EA343B" w:rsidRPr="00921344" w:rsidRDefault="00EA343B" w:rsidP="00EA343B">
      <w:pPr>
        <w:spacing w:after="0" w:line="240" w:lineRule="auto"/>
        <w:jc w:val="both"/>
        <w:rPr>
          <w:rFonts w:asciiTheme="majorBidi" w:eastAsia="Times New Roman" w:hAnsiTheme="majorBidi" w:cs="Times New Roman"/>
          <w:i/>
        </w:rPr>
      </w:pPr>
    </w:p>
    <w:p w:rsidR="00EA343B"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b/>
          <w:bCs/>
          <w:iCs/>
        </w:rPr>
        <w:t>:</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a grade III passive oscillatory, contralateral lateral glide (CLG) mobilisation of the C5/6 motion segment of the cervical spine will be used to induce MIPM (Vicenzino et al. 1996). The participant will be comfortably lying supine with arms by their side and instructed to report if they feel any discomfort or pain during execution of the mobilisation. In contrast to CPM this conditioning stimulus should be painless. The therapist will depress the scapula with one hand, while the other hand cradles the occiput and neck above the C5/6 segment. Using the cradling hand, the therapist will apply a grade III passive oscillatory CLG directed towards the unaffected upper limb.  The CLG stimulus will be performed for 60 s, and will be repeated three times, with 60-s rest periods in between (5 min total) (Vicenzino et al. 1996). The difference between PTT measurements taken before and after CLG mobilisation represents the MIPM effect. This will be quantified as the percentage change in PPT relative to the baseline measure. Separate percentage change measures will be obtained for the wrist and elbow sites and the PFG and ULNDT measures</w:t>
      </w:r>
      <w:r w:rsidRPr="00921344">
        <w:rPr>
          <w:rFonts w:asciiTheme="majorBidi" w:eastAsia="Times New Roman" w:hAnsiTheme="majorBidi" w:cs="Times New Roman"/>
          <w:b/>
          <w:bCs/>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Pr="003E24E9" w:rsidRDefault="00EA343B" w:rsidP="00EA343B">
      <w:pPr>
        <w:spacing w:after="0" w:line="240" w:lineRule="auto"/>
        <w:jc w:val="both"/>
        <w:rPr>
          <w:rFonts w:asciiTheme="majorBidi" w:hAnsiTheme="majorBidi" w:cstheme="majorBidi"/>
          <w:b/>
          <w:bCs/>
        </w:rPr>
      </w:pPr>
      <w:r w:rsidRPr="003E24E9">
        <w:rPr>
          <w:rFonts w:asciiTheme="majorBidi" w:hAnsiTheme="majorBidi" w:cstheme="majorBidi"/>
          <w:b/>
          <w:bCs/>
        </w:rPr>
        <w:t xml:space="preserve">Procedure </w:t>
      </w:r>
    </w:p>
    <w:p w:rsidR="00EA343B" w:rsidRPr="00921344" w:rsidRDefault="00EA343B" w:rsidP="00EA343B">
      <w:pPr>
        <w:spacing w:after="0" w:line="240" w:lineRule="auto"/>
        <w:jc w:val="both"/>
        <w:rPr>
          <w:rFonts w:asciiTheme="majorBidi" w:eastAsia="Times New Roman" w:hAnsiTheme="majorBidi" w:cs="Times New Roman"/>
        </w:rPr>
      </w:pPr>
      <w:r>
        <w:rPr>
          <w:rFonts w:asciiTheme="majorBidi" w:hAnsiTheme="majorBidi" w:cstheme="majorBidi"/>
        </w:rPr>
        <w:t xml:space="preserve">Once eligibility criteria are confirmed, each participant will be asked to attend for a preliminary baseline assessment with CPM and MIPM assessment protocols </w:t>
      </w:r>
      <w:r w:rsidRPr="003E24E9">
        <w:rPr>
          <w:rFonts w:asciiTheme="majorBidi" w:hAnsiTheme="majorBidi" w:cstheme="majorBidi"/>
        </w:rPr>
        <w:t>in a single session</w:t>
      </w:r>
      <w:r>
        <w:rPr>
          <w:rFonts w:asciiTheme="majorBidi" w:hAnsiTheme="majorBidi" w:cstheme="majorBidi"/>
        </w:rPr>
        <w:t xml:space="preserve"> (see Fig. 1)</w:t>
      </w:r>
      <w:r w:rsidRPr="003E24E9">
        <w:rPr>
          <w:rFonts w:asciiTheme="majorBidi" w:hAnsiTheme="majorBidi" w:cstheme="majorBidi"/>
        </w:rPr>
        <w:t xml:space="preserve">. </w:t>
      </w:r>
      <w:r>
        <w:rPr>
          <w:rFonts w:asciiTheme="majorBidi" w:hAnsiTheme="majorBidi" w:cstheme="majorBidi"/>
        </w:rPr>
        <w:t xml:space="preserve">The </w:t>
      </w:r>
      <w:r w:rsidRPr="003E24E9">
        <w:rPr>
          <w:rFonts w:asciiTheme="majorBidi" w:hAnsiTheme="majorBidi" w:cstheme="majorBidi"/>
        </w:rPr>
        <w:t xml:space="preserve">CPM assessment protocol </w:t>
      </w:r>
      <w:r>
        <w:rPr>
          <w:rFonts w:asciiTheme="majorBidi" w:hAnsiTheme="majorBidi" w:cstheme="majorBidi"/>
        </w:rPr>
        <w:t xml:space="preserve">will be </w:t>
      </w:r>
      <w:r w:rsidRPr="003E24E9">
        <w:rPr>
          <w:rFonts w:asciiTheme="majorBidi" w:hAnsiTheme="majorBidi" w:cstheme="majorBidi"/>
        </w:rPr>
        <w:t xml:space="preserve">followed by </w:t>
      </w:r>
      <w:r>
        <w:rPr>
          <w:rFonts w:asciiTheme="majorBidi" w:hAnsiTheme="majorBidi" w:cstheme="majorBidi"/>
        </w:rPr>
        <w:t xml:space="preserve">the MIPM </w:t>
      </w:r>
      <w:r w:rsidRPr="003E24E9">
        <w:rPr>
          <w:rFonts w:asciiTheme="majorBidi" w:hAnsiTheme="majorBidi" w:cstheme="majorBidi"/>
        </w:rPr>
        <w:t>as</w:t>
      </w:r>
      <w:r>
        <w:rPr>
          <w:rFonts w:asciiTheme="majorBidi" w:hAnsiTheme="majorBidi" w:cstheme="majorBidi"/>
        </w:rPr>
        <w:t xml:space="preserve">sessment protocol </w:t>
      </w:r>
      <w:r w:rsidRPr="00604B77">
        <w:rPr>
          <w:rFonts w:asciiTheme="majorBidi" w:hAnsiTheme="majorBidi" w:cstheme="majorBidi"/>
        </w:rPr>
        <w:t xml:space="preserve">with a rest period of 15 min in between </w:t>
      </w:r>
      <w:r w:rsidRPr="00B46838">
        <w:rPr>
          <w:rFonts w:asciiTheme="majorBidi" w:hAnsiTheme="majorBidi" w:cstheme="majorBidi"/>
        </w:rPr>
        <w:t>(subject to the findings from Pilot Study: HRE2016-0181)</w:t>
      </w:r>
      <w:r>
        <w:rPr>
          <w:rFonts w:asciiTheme="majorBidi" w:hAnsiTheme="majorBidi" w:cstheme="majorBidi"/>
        </w:rPr>
        <w:t xml:space="preserve">. All </w:t>
      </w:r>
      <w:r w:rsidRPr="003E24E9">
        <w:rPr>
          <w:rFonts w:asciiTheme="majorBidi" w:hAnsiTheme="majorBidi" w:cstheme="majorBidi"/>
        </w:rPr>
        <w:t xml:space="preserve">outcome measures will be performed by the same researcher </w:t>
      </w:r>
      <w:r>
        <w:rPr>
          <w:rFonts w:asciiTheme="majorBidi" w:hAnsiTheme="majorBidi" w:cstheme="majorBidi"/>
        </w:rPr>
        <w:t>applying</w:t>
      </w:r>
      <w:r w:rsidRPr="003E24E9">
        <w:rPr>
          <w:rFonts w:asciiTheme="majorBidi" w:hAnsiTheme="majorBidi" w:cstheme="majorBidi"/>
        </w:rPr>
        <w:t xml:space="preserve"> the CPT and </w:t>
      </w:r>
      <w:r>
        <w:rPr>
          <w:rFonts w:asciiTheme="majorBidi" w:hAnsiTheme="majorBidi" w:cstheme="majorBidi"/>
        </w:rPr>
        <w:t>CLG</w:t>
      </w:r>
      <w:r w:rsidRPr="003E24E9">
        <w:rPr>
          <w:rFonts w:asciiTheme="majorBidi" w:hAnsiTheme="majorBidi" w:cstheme="majorBidi"/>
        </w:rPr>
        <w:t xml:space="preserve"> stimuli. </w:t>
      </w:r>
      <w:r>
        <w:rPr>
          <w:rFonts w:asciiTheme="majorBidi" w:hAnsiTheme="majorBidi" w:cstheme="majorBidi"/>
        </w:rPr>
        <w:t>All</w:t>
      </w:r>
      <w:r w:rsidRPr="003E24E9">
        <w:rPr>
          <w:rFonts w:asciiTheme="majorBidi" w:hAnsiTheme="majorBidi" w:cstheme="majorBidi"/>
        </w:rPr>
        <w:t xml:space="preserve"> instructions </w:t>
      </w:r>
      <w:r>
        <w:rPr>
          <w:rFonts w:asciiTheme="majorBidi" w:hAnsiTheme="majorBidi" w:cstheme="majorBidi"/>
        </w:rPr>
        <w:t>will be standardized.</w:t>
      </w:r>
      <w:r w:rsidRPr="003E24E9">
        <w:rPr>
          <w:rFonts w:asciiTheme="majorBidi" w:hAnsiTheme="majorBidi" w:cstheme="majorBidi"/>
        </w:rPr>
        <w:t xml:space="preserve"> </w:t>
      </w:r>
      <w:r w:rsidRPr="00921344">
        <w:rPr>
          <w:rFonts w:asciiTheme="majorBidi" w:eastAsia="Times New Roman" w:hAnsiTheme="majorBidi" w:cs="Times New Roman"/>
        </w:rPr>
        <w:t>Subjects will be asked to avoid</w:t>
      </w:r>
      <w:r>
        <w:rPr>
          <w:rFonts w:asciiTheme="majorBidi" w:eastAsia="Times New Roman" w:hAnsiTheme="majorBidi" w:cs="Times New Roman"/>
        </w:rPr>
        <w:t xml:space="preserve"> physiotherapy treatment and </w:t>
      </w:r>
      <w:r w:rsidRPr="00921344">
        <w:rPr>
          <w:rFonts w:asciiTheme="majorBidi" w:eastAsia="Times New Roman" w:hAnsiTheme="majorBidi" w:cs="Times New Roman"/>
        </w:rPr>
        <w:t xml:space="preserve">other forms of physical </w:t>
      </w:r>
      <w:r>
        <w:rPr>
          <w:rFonts w:asciiTheme="majorBidi" w:eastAsia="Times New Roman" w:hAnsiTheme="majorBidi" w:cs="Times New Roman"/>
        </w:rPr>
        <w:t>exercise on the study days</w:t>
      </w:r>
      <w:r w:rsidRPr="00921344">
        <w:rPr>
          <w:rFonts w:asciiTheme="majorBidi" w:eastAsia="Times New Roman" w:hAnsiTheme="majorBidi" w:cs="Times New Roman"/>
        </w:rPr>
        <w:t>.</w:t>
      </w:r>
      <w:r>
        <w:rPr>
          <w:rFonts w:asciiTheme="majorBidi" w:eastAsia="Times New Roman" w:hAnsiTheme="majorBidi" w:cs="Times New Roman"/>
        </w:rPr>
        <w:t xml:space="preserve"> They will also be asked to avoid taking pain medications on the study days.</w:t>
      </w:r>
    </w:p>
    <w:p w:rsidR="00EA343B" w:rsidRDefault="00EA343B" w:rsidP="00EA343B">
      <w:pPr>
        <w:spacing w:after="0" w:line="240" w:lineRule="auto"/>
        <w:rPr>
          <w:rFonts w:asciiTheme="majorBidi" w:hAnsiTheme="majorBidi" w:cstheme="majorBidi"/>
          <w:b/>
          <w:bCs/>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b/>
          <w:bCs/>
        </w:rPr>
        <w:t>A</w:t>
      </w:r>
      <w:r w:rsidRPr="003E24E9">
        <w:rPr>
          <w:rFonts w:asciiTheme="majorBidi" w:hAnsiTheme="majorBidi" w:cstheme="majorBidi"/>
          <w:b/>
          <w:bCs/>
        </w:rPr>
        <w:t>nalysis</w:t>
      </w:r>
    </w:p>
    <w:p w:rsidR="00EA343B" w:rsidRDefault="00EA343B" w:rsidP="00EA343B">
      <w:pPr>
        <w:spacing w:after="0" w:line="240" w:lineRule="auto"/>
        <w:jc w:val="both"/>
        <w:rPr>
          <w:rFonts w:asciiTheme="majorBidi" w:hAnsiTheme="majorBidi" w:cstheme="majorBidi"/>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w:t>
      </w:r>
      <w:r>
        <w:rPr>
          <w:rFonts w:asciiTheme="majorBidi" w:hAnsiTheme="majorBidi" w:cstheme="majorBidi"/>
        </w:rPr>
        <w:t>Null h</w:t>
      </w:r>
      <w:r w:rsidRPr="003E24E9">
        <w:rPr>
          <w:rFonts w:asciiTheme="majorBidi" w:hAnsiTheme="majorBidi" w:cstheme="majorBidi"/>
        </w:rPr>
        <w:t xml:space="preserve">ypothesis </w:t>
      </w:r>
      <w:r w:rsidRPr="003F05A5">
        <w:rPr>
          <w:rFonts w:asciiTheme="majorBidi" w:hAnsiTheme="majorBidi" w:cstheme="majorBidi"/>
          <w:bCs/>
        </w:rPr>
        <w:t>1</w:t>
      </w:r>
      <w:r w:rsidRPr="003E24E9">
        <w:rPr>
          <w:rFonts w:asciiTheme="majorBidi" w:hAnsiTheme="majorBidi" w:cstheme="majorBidi"/>
        </w:rPr>
        <w:t xml:space="preserve"> </w:t>
      </w:r>
      <w:r>
        <w:rPr>
          <w:rFonts w:asciiTheme="majorBidi" w:hAnsiTheme="majorBidi" w:cstheme="majorBidi"/>
        </w:rPr>
        <w:t xml:space="preserve">(i.e. no </w:t>
      </w:r>
      <w:r w:rsidRPr="003E24E9">
        <w:rPr>
          <w:rFonts w:asciiTheme="majorBidi" w:hAnsiTheme="majorBidi" w:cstheme="majorBidi"/>
        </w:rPr>
        <w:t xml:space="preserve">correlation between </w:t>
      </w:r>
      <w:r>
        <w:rPr>
          <w:rFonts w:asciiTheme="majorBidi" w:hAnsiTheme="majorBidi" w:cstheme="majorBidi"/>
        </w:rPr>
        <w:t xml:space="preserve">MIPM and CPM analgesic effects) </w:t>
      </w:r>
      <w:r w:rsidRPr="003E24E9">
        <w:rPr>
          <w:rFonts w:asciiTheme="majorBidi" w:hAnsiTheme="majorBidi" w:cstheme="majorBidi"/>
        </w:rPr>
        <w:t>will be tested using a Pearson</w:t>
      </w:r>
      <w:r>
        <w:rPr>
          <w:rFonts w:asciiTheme="majorBidi" w:hAnsiTheme="majorBidi" w:cstheme="majorBidi"/>
        </w:rPr>
        <w:t>’s</w:t>
      </w:r>
      <w:r w:rsidRPr="003E24E9">
        <w:rPr>
          <w:rFonts w:asciiTheme="majorBidi" w:hAnsiTheme="majorBidi" w:cstheme="majorBidi"/>
        </w:rPr>
        <w:t xml:space="preserve"> correlation</w:t>
      </w:r>
      <w:r>
        <w:rPr>
          <w:rFonts w:asciiTheme="majorBidi" w:hAnsiTheme="majorBidi" w:cstheme="majorBidi"/>
        </w:rPr>
        <w:t xml:space="preserve"> test </w:t>
      </w:r>
      <w:r w:rsidRPr="003E24E9">
        <w:rPr>
          <w:rFonts w:asciiTheme="majorBidi" w:hAnsiTheme="majorBidi" w:cstheme="majorBidi"/>
        </w:rPr>
        <w:t xml:space="preserve">to evaluate the </w:t>
      </w:r>
      <w:r>
        <w:rPr>
          <w:rFonts w:asciiTheme="majorBidi" w:hAnsiTheme="majorBidi" w:cstheme="majorBidi"/>
        </w:rPr>
        <w:t>association</w:t>
      </w:r>
      <w:r w:rsidRPr="003E24E9">
        <w:rPr>
          <w:rFonts w:asciiTheme="majorBidi" w:hAnsiTheme="majorBidi" w:cstheme="majorBidi"/>
        </w:rPr>
        <w:t xml:space="preserve"> between </w:t>
      </w:r>
      <w:r>
        <w:rPr>
          <w:rFonts w:asciiTheme="majorBidi" w:hAnsiTheme="majorBidi" w:cstheme="majorBidi"/>
        </w:rPr>
        <w:t xml:space="preserve">change in PPT </w:t>
      </w:r>
      <w:r w:rsidRPr="003E24E9">
        <w:rPr>
          <w:rFonts w:asciiTheme="majorBidi" w:hAnsiTheme="majorBidi" w:cstheme="majorBidi"/>
        </w:rPr>
        <w:t>at both test sites</w:t>
      </w:r>
      <w:r>
        <w:rPr>
          <w:rFonts w:asciiTheme="majorBidi" w:hAnsiTheme="majorBidi" w:cstheme="majorBidi"/>
        </w:rPr>
        <w:t xml:space="preserve"> during CPM and MIPM</w:t>
      </w:r>
      <w:r w:rsidRPr="003E24E9">
        <w:rPr>
          <w:rFonts w:asciiTheme="majorBidi" w:hAnsiTheme="majorBidi" w:cstheme="majorBidi"/>
        </w:rPr>
        <w:t xml:space="preserve"> </w:t>
      </w:r>
      <w:r>
        <w:rPr>
          <w:rFonts w:asciiTheme="majorBidi" w:hAnsiTheme="majorBidi" w:cstheme="majorBidi"/>
        </w:rPr>
        <w:t>assessment protocols</w:t>
      </w:r>
      <w:r w:rsidRPr="003E24E9">
        <w:rPr>
          <w:rFonts w:asciiTheme="majorBidi" w:hAnsiTheme="majorBidi" w:cstheme="majorBidi"/>
        </w:rPr>
        <w:t xml:space="preserve">. </w:t>
      </w:r>
    </w:p>
    <w:p w:rsidR="00EA343B" w:rsidRPr="00AD01F6"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iCs/>
        </w:rPr>
        <w:t>To</w:t>
      </w:r>
      <w:r w:rsidRPr="003E24E9">
        <w:rPr>
          <w:rFonts w:asciiTheme="majorBidi" w:hAnsiTheme="majorBidi" w:cstheme="majorBidi"/>
          <w:iCs/>
        </w:rPr>
        <w:t xml:space="preserve"> test </w:t>
      </w:r>
      <w:r>
        <w:rPr>
          <w:rFonts w:asciiTheme="majorBidi" w:hAnsiTheme="majorBidi" w:cstheme="majorBidi"/>
          <w:iCs/>
        </w:rPr>
        <w:t xml:space="preserve">‘null </w:t>
      </w:r>
      <w:r w:rsidRPr="003E24E9">
        <w:rPr>
          <w:rFonts w:asciiTheme="majorBidi" w:hAnsiTheme="majorBidi" w:cstheme="majorBidi"/>
          <w:iCs/>
        </w:rPr>
        <w:t>hypothesis</w:t>
      </w:r>
      <w:r w:rsidRPr="00881C95">
        <w:rPr>
          <w:rFonts w:asciiTheme="majorBidi" w:hAnsiTheme="majorBidi" w:cstheme="majorBidi"/>
          <w:b/>
          <w:bCs/>
          <w:iCs/>
        </w:rPr>
        <w:t xml:space="preserve"> </w:t>
      </w:r>
      <w:r w:rsidRPr="003F05A5">
        <w:rPr>
          <w:rFonts w:asciiTheme="majorBidi" w:hAnsiTheme="majorBidi" w:cstheme="majorBidi"/>
          <w:bCs/>
          <w:iCs/>
        </w:rPr>
        <w:t>2</w:t>
      </w:r>
      <w:r>
        <w:rPr>
          <w:rFonts w:asciiTheme="majorBidi" w:hAnsiTheme="majorBidi" w:cstheme="majorBidi"/>
          <w:bCs/>
          <w:iCs/>
        </w:rPr>
        <w:t>’</w:t>
      </w:r>
      <w:r w:rsidRPr="003E24E9">
        <w:rPr>
          <w:rFonts w:asciiTheme="majorBidi" w:hAnsiTheme="majorBidi" w:cstheme="majorBidi"/>
          <w:i/>
          <w:iCs/>
        </w:rPr>
        <w:t xml:space="preserve"> </w:t>
      </w:r>
      <w:r w:rsidRPr="003E24E9">
        <w:rPr>
          <w:rFonts w:asciiTheme="majorBidi" w:hAnsiTheme="majorBidi" w:cstheme="majorBidi"/>
        </w:rPr>
        <w:t>subjects will be assigned post hoc into two groups</w:t>
      </w:r>
      <w:r>
        <w:rPr>
          <w:rFonts w:asciiTheme="majorBidi" w:hAnsiTheme="majorBidi" w:cstheme="majorBidi"/>
        </w:rPr>
        <w:t>,</w:t>
      </w:r>
      <w:r w:rsidRPr="003E24E9">
        <w:rPr>
          <w:rFonts w:asciiTheme="majorBidi" w:hAnsiTheme="majorBidi" w:cstheme="majorBidi"/>
        </w:rPr>
        <w:t xml:space="preserve"> based on whether </w:t>
      </w:r>
      <w:r>
        <w:rPr>
          <w:rFonts w:asciiTheme="majorBidi" w:hAnsiTheme="majorBidi" w:cstheme="majorBidi"/>
        </w:rPr>
        <w:t xml:space="preserve">or not </w:t>
      </w:r>
      <w:r w:rsidRPr="003E24E9">
        <w:rPr>
          <w:rFonts w:asciiTheme="majorBidi" w:hAnsiTheme="majorBidi" w:cstheme="majorBidi"/>
        </w:rPr>
        <w:t>they demonstrate a meaningful CPM effect at the wrist test site</w:t>
      </w:r>
      <w:r>
        <w:rPr>
          <w:rFonts w:asciiTheme="majorBidi" w:hAnsiTheme="majorBidi" w:cstheme="majorBidi"/>
        </w:rPr>
        <w:t xml:space="preserve">. The assessment of </w:t>
      </w:r>
      <w:r w:rsidRPr="003E24E9">
        <w:rPr>
          <w:rFonts w:asciiTheme="majorBidi" w:hAnsiTheme="majorBidi" w:cstheme="majorBidi"/>
        </w:rPr>
        <w:t xml:space="preserve">meaningful CPM effect will be determined based on the criteria described by Locke et al. (2014). CPM effect will be considered meaningful if the percentage increase in </w:t>
      </w:r>
      <w:r>
        <w:rPr>
          <w:rFonts w:asciiTheme="majorBidi" w:hAnsiTheme="majorBidi" w:cstheme="majorBidi"/>
        </w:rPr>
        <w:t xml:space="preserve">wrist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T from baseline is greater than the standard error of measurement (SEM)</w:t>
      </w:r>
      <w:r>
        <w:rPr>
          <w:rFonts w:asciiTheme="majorBidi" w:hAnsiTheme="majorBidi" w:cstheme="majorBidi"/>
        </w:rPr>
        <w:t xml:space="preserve"> for repeated PPT measures.</w:t>
      </w:r>
      <w:r w:rsidRPr="003E24E9">
        <w:rPr>
          <w:rFonts w:asciiTheme="majorBidi" w:hAnsiTheme="majorBidi" w:cstheme="majorBidi"/>
        </w:rPr>
        <w:t xml:space="preserve"> To compute the SEM, a pilot study </w:t>
      </w:r>
      <w:r>
        <w:rPr>
          <w:rFonts w:asciiTheme="majorBidi" w:hAnsiTheme="majorBidi" w:cstheme="majorBidi"/>
        </w:rPr>
        <w:t>(</w:t>
      </w:r>
      <w:r w:rsidRPr="00B46838">
        <w:rPr>
          <w:rFonts w:asciiTheme="majorBidi" w:hAnsiTheme="majorBidi" w:cstheme="majorBidi"/>
        </w:rPr>
        <w:t>HRE2016-0181)</w:t>
      </w:r>
      <w:r>
        <w:rPr>
          <w:rFonts w:asciiTheme="majorBidi" w:hAnsiTheme="majorBidi" w:cstheme="majorBidi"/>
        </w:rPr>
        <w:t xml:space="preserve"> </w:t>
      </w:r>
      <w:r w:rsidRPr="003E24E9">
        <w:rPr>
          <w:rFonts w:asciiTheme="majorBidi" w:hAnsiTheme="majorBidi" w:cstheme="majorBidi"/>
        </w:rPr>
        <w:t>of 10 participants will be conducted following the same PPT test</w:t>
      </w:r>
      <w:r>
        <w:rPr>
          <w:rFonts w:asciiTheme="majorBidi" w:hAnsiTheme="majorBidi" w:cstheme="majorBidi"/>
        </w:rPr>
        <w:t>-</w:t>
      </w:r>
      <w:r w:rsidRPr="003E24E9">
        <w:rPr>
          <w:rFonts w:asciiTheme="majorBidi" w:hAnsiTheme="majorBidi" w:cstheme="majorBidi"/>
        </w:rPr>
        <w:t xml:space="preserve">retest protocol </w:t>
      </w:r>
      <w:r>
        <w:rPr>
          <w:rFonts w:asciiTheme="majorBidi" w:hAnsiTheme="majorBidi" w:cstheme="majorBidi"/>
        </w:rPr>
        <w:t xml:space="preserve">(baseline, at 1 minute and at 2 mins) </w:t>
      </w:r>
      <w:r w:rsidRPr="003E24E9">
        <w:rPr>
          <w:rFonts w:asciiTheme="majorBidi" w:hAnsiTheme="majorBidi" w:cstheme="majorBidi"/>
        </w:rPr>
        <w:t>but without applying CPT. The SEM will then be calculated for each time point using the formula SD x √(1-ICC), where ICC represents the interclass correlation coefficient of the mean value for each time point. The SEM value will then be added to the P</w:t>
      </w:r>
      <w:r>
        <w:rPr>
          <w:rFonts w:asciiTheme="majorBidi" w:hAnsiTheme="majorBidi" w:cstheme="majorBidi"/>
        </w:rPr>
        <w:t>P</w:t>
      </w:r>
      <w:r w:rsidRPr="003E24E9">
        <w:rPr>
          <w:rFonts w:asciiTheme="majorBidi" w:hAnsiTheme="majorBidi" w:cstheme="majorBidi"/>
        </w:rPr>
        <w:t>T mean value to indicate the maximum upper value of normal variation in repeated PPT measures</w:t>
      </w:r>
      <w:r>
        <w:rPr>
          <w:rFonts w:asciiTheme="majorBidi" w:hAnsiTheme="majorBidi" w:cstheme="majorBidi"/>
        </w:rPr>
        <w:t xml:space="preserve"> (Lock et al. 2014)</w:t>
      </w:r>
      <w:r w:rsidRPr="003E24E9">
        <w:rPr>
          <w:rFonts w:asciiTheme="majorBidi" w:hAnsiTheme="majorBidi" w:cstheme="majorBidi"/>
        </w:rPr>
        <w:t xml:space="preserve">. This value will then be represented as </w:t>
      </w:r>
      <w:r>
        <w:rPr>
          <w:rFonts w:asciiTheme="majorBidi" w:hAnsiTheme="majorBidi" w:cstheme="majorBidi"/>
        </w:rPr>
        <w:t xml:space="preserve">a </w:t>
      </w:r>
      <w:r w:rsidRPr="003E24E9">
        <w:rPr>
          <w:rFonts w:asciiTheme="majorBidi" w:hAnsiTheme="majorBidi" w:cstheme="majorBidi"/>
        </w:rPr>
        <w:t xml:space="preserve">percentage </w:t>
      </w:r>
      <w:r>
        <w:rPr>
          <w:rFonts w:asciiTheme="majorBidi" w:hAnsiTheme="majorBidi" w:cstheme="majorBidi"/>
        </w:rPr>
        <w:t xml:space="preserve">change </w:t>
      </w:r>
      <w:r w:rsidRPr="003E24E9">
        <w:rPr>
          <w:rFonts w:asciiTheme="majorBidi" w:hAnsiTheme="majorBidi" w:cstheme="majorBidi"/>
        </w:rPr>
        <w:t xml:space="preserve">value. Therefore, any PPT percentage value above this percentage </w:t>
      </w:r>
      <w:r>
        <w:rPr>
          <w:rFonts w:asciiTheme="majorBidi" w:hAnsiTheme="majorBidi" w:cstheme="majorBidi"/>
        </w:rPr>
        <w:t xml:space="preserve">change </w:t>
      </w:r>
      <w:r w:rsidRPr="003E24E9">
        <w:rPr>
          <w:rFonts w:asciiTheme="majorBidi" w:hAnsiTheme="majorBidi" w:cstheme="majorBidi"/>
        </w:rPr>
        <w:t>value will indicate a meaningful CPM effect</w:t>
      </w:r>
      <w:r>
        <w:rPr>
          <w:rFonts w:asciiTheme="majorBidi" w:hAnsiTheme="majorBidi" w:cstheme="majorBidi"/>
        </w:rPr>
        <w:t>, greater than the normal measurement error</w:t>
      </w:r>
      <w:r w:rsidRPr="003E24E9">
        <w:rPr>
          <w:rFonts w:asciiTheme="majorBidi" w:hAnsiTheme="majorBidi" w:cstheme="majorBidi"/>
        </w:rPr>
        <w:t xml:space="preserve">. Subjects with a CPM effect above this percentage will be classified as CPM responders and those with a CPM effect below this percentage will be classified as CPM non-responders. In the study by Locke </w:t>
      </w:r>
      <w:r>
        <w:rPr>
          <w:rFonts w:asciiTheme="majorBidi" w:hAnsiTheme="majorBidi" w:cstheme="majorBidi"/>
        </w:rPr>
        <w:t>et al (2014) the meaningful CPM cut-off value was 5.3%, with approximately 10</w:t>
      </w:r>
      <w:r w:rsidRPr="003E24E9">
        <w:rPr>
          <w:rFonts w:asciiTheme="majorBidi" w:hAnsiTheme="majorBidi" w:cstheme="majorBidi"/>
        </w:rPr>
        <w:t xml:space="preserve">% of subjects </w:t>
      </w:r>
      <w:r>
        <w:rPr>
          <w:rFonts w:asciiTheme="majorBidi" w:hAnsiTheme="majorBidi" w:cstheme="majorBidi"/>
        </w:rPr>
        <w:t>found to be</w:t>
      </w:r>
      <w:r w:rsidRPr="003E24E9">
        <w:rPr>
          <w:rFonts w:asciiTheme="majorBidi" w:hAnsiTheme="majorBidi" w:cstheme="majorBidi"/>
        </w:rPr>
        <w:t xml:space="preserve"> non-responders.</w:t>
      </w:r>
      <w:r w:rsidRPr="002D3B53">
        <w:rPr>
          <w:rFonts w:asciiTheme="majorBidi" w:hAnsiTheme="majorBidi" w:cstheme="majorBidi"/>
        </w:rPr>
        <w:t xml:space="preserve"> </w:t>
      </w:r>
      <w:r>
        <w:rPr>
          <w:rFonts w:asciiTheme="majorBidi" w:hAnsiTheme="majorBidi" w:cstheme="majorBidi"/>
        </w:rPr>
        <w:t>It is anticipated that in this patient population this percentage of non-responders will be higher.</w:t>
      </w:r>
    </w:p>
    <w:p w:rsidR="00EA343B" w:rsidRPr="00AD01F6"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rPr>
        <w:lastRenderedPageBreak/>
        <w:t xml:space="preserve">Once CPM effect groups have been determined, differences between the two groups for MIPM measures will be analysed. Percentage change in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 xml:space="preserve">T </w:t>
      </w:r>
      <w:r>
        <w:rPr>
          <w:rFonts w:asciiTheme="majorBidi" w:hAnsiTheme="majorBidi" w:cstheme="majorBidi"/>
        </w:rPr>
        <w:t xml:space="preserve">at the elbow, </w:t>
      </w:r>
      <w:r w:rsidRPr="003E24E9">
        <w:rPr>
          <w:rFonts w:asciiTheme="majorBidi" w:hAnsiTheme="majorBidi" w:cstheme="majorBidi"/>
        </w:rPr>
        <w:t>PFG, and ULNDT (shoulder abduction),</w:t>
      </w:r>
      <w:r>
        <w:rPr>
          <w:rFonts w:asciiTheme="majorBidi" w:hAnsiTheme="majorBidi" w:cstheme="majorBidi"/>
        </w:rPr>
        <w:t xml:space="preserve"> will be used to compare the MIPM</w:t>
      </w:r>
      <w:r w:rsidRPr="003E24E9">
        <w:rPr>
          <w:rFonts w:asciiTheme="majorBidi" w:hAnsiTheme="majorBidi" w:cstheme="majorBidi"/>
        </w:rPr>
        <w:t xml:space="preserve"> effect between the CPM groups (i.e. CPM responder and CPM non-responder)</w:t>
      </w:r>
      <w:r>
        <w:rPr>
          <w:rFonts w:asciiTheme="majorBidi" w:hAnsiTheme="majorBidi" w:cstheme="majorBidi"/>
        </w:rPr>
        <w:t xml:space="preserve"> using</w:t>
      </w:r>
      <w:r w:rsidRPr="003E24E9">
        <w:rPr>
          <w:rFonts w:asciiTheme="majorBidi" w:hAnsiTheme="majorBidi" w:cstheme="majorBidi"/>
        </w:rPr>
        <w:t xml:space="preserve"> </w:t>
      </w:r>
      <w:r>
        <w:rPr>
          <w:rFonts w:asciiTheme="majorBidi" w:hAnsiTheme="majorBidi" w:cstheme="majorBidi"/>
        </w:rPr>
        <w:t>independent</w:t>
      </w:r>
      <w:r w:rsidRPr="003E24E9">
        <w:rPr>
          <w:rFonts w:asciiTheme="majorBidi" w:hAnsiTheme="majorBidi" w:cstheme="majorBidi"/>
        </w:rPr>
        <w:t xml:space="preserve"> t-tests</w:t>
      </w:r>
      <w:r>
        <w:rPr>
          <w:rFonts w:asciiTheme="majorBidi" w:hAnsiTheme="majorBidi" w:cstheme="majorBidi"/>
        </w:rPr>
        <w:t>.</w:t>
      </w:r>
    </w:p>
    <w:p w:rsidR="00EA343B" w:rsidRDefault="00EA343B" w:rsidP="00EA343B">
      <w:pPr>
        <w:spacing w:after="0" w:line="240" w:lineRule="auto"/>
        <w:jc w:val="both"/>
        <w:rPr>
          <w:rFonts w:asciiTheme="majorBidi" w:hAnsiTheme="majorBidi" w:cstheme="majorBidi"/>
        </w:rPr>
      </w:pPr>
    </w:p>
    <w:p w:rsidR="00EA343B" w:rsidRPr="00BB6ED7" w:rsidRDefault="00EA343B" w:rsidP="00BB6ED7">
      <w:pPr>
        <w:shd w:val="clear" w:color="auto" w:fill="D0CECE" w:themeFill="background2" w:themeFillShade="E6"/>
        <w:spacing w:after="0" w:line="240" w:lineRule="auto"/>
        <w:jc w:val="both"/>
        <w:rPr>
          <w:rFonts w:asciiTheme="majorBidi" w:eastAsia="Times New Roman" w:hAnsiTheme="majorBidi" w:cs="Times New Roman"/>
          <w:b/>
          <w:bCs/>
          <w:i/>
          <w:iCs/>
        </w:rPr>
      </w:pPr>
      <w:r>
        <w:rPr>
          <w:rFonts w:asciiTheme="majorBidi" w:eastAsia="Times New Roman" w:hAnsiTheme="majorBidi" w:cs="Times New Roman"/>
          <w:b/>
          <w:bCs/>
        </w:rPr>
        <w:t>Part</w:t>
      </w:r>
      <w:r w:rsidRPr="00921344">
        <w:rPr>
          <w:rFonts w:asciiTheme="majorBidi" w:eastAsia="Times New Roman" w:hAnsiTheme="majorBidi" w:cs="Times New Roman"/>
          <w:b/>
          <w:bCs/>
        </w:rPr>
        <w:t xml:space="preserve"> </w:t>
      </w:r>
      <w:r>
        <w:rPr>
          <w:rFonts w:asciiTheme="majorBidi" w:eastAsia="Times New Roman" w:hAnsiTheme="majorBidi" w:cs="Times New Roman"/>
          <w:b/>
          <w:bCs/>
        </w:rPr>
        <w:t>Two</w:t>
      </w:r>
      <w:r w:rsidRPr="00921344">
        <w:rPr>
          <w:rFonts w:asciiTheme="majorBidi" w:eastAsia="Times New Roman" w:hAnsiTheme="majorBidi" w:cs="Times New Roman"/>
        </w:rPr>
        <w:t>:</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b/>
          <w:bCs/>
          <w:i/>
          <w:iCs/>
        </w:rPr>
        <w:t xml:space="preserve">The influence of aerobic exercise on CPM and MIPM </w:t>
      </w:r>
    </w:p>
    <w:p w:rsidR="00BB6ED7" w:rsidRDefault="00BB6ED7" w:rsidP="00EA343B">
      <w:pPr>
        <w:spacing w:after="0" w:line="240" w:lineRule="auto"/>
        <w:jc w:val="both"/>
        <w:rPr>
          <w:rFonts w:asciiTheme="majorBidi" w:eastAsia="Times New Roman" w:hAnsiTheme="majorBidi" w:cs="Times New Roman"/>
          <w:b/>
          <w:bCs/>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Aim</w:t>
      </w:r>
    </w:p>
    <w:p w:rsidR="00EA343B" w:rsidRPr="00921344" w:rsidRDefault="00EA343B" w:rsidP="00EA343B">
      <w:pPr>
        <w:spacing w:after="0" w:line="240" w:lineRule="auto"/>
        <w:rPr>
          <w:rFonts w:asciiTheme="majorBidi" w:eastAsia="Times New Roman" w:hAnsiTheme="majorBidi" w:cs="Times New Roman"/>
        </w:rPr>
      </w:pPr>
      <w:r w:rsidRPr="00921344">
        <w:rPr>
          <w:rFonts w:asciiTheme="majorBidi" w:eastAsia="Times New Roman" w:hAnsiTheme="majorBidi" w:cs="Times New Roman"/>
        </w:rPr>
        <w:t xml:space="preserve">To determine the effect of moderate and low intensity aerobic exercise on a cycle ergometer on CPM and MIPM responses as measured by percentage change in PPT in a patient population with Lateral Epicondylalgia.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Null hypothesis </w:t>
      </w:r>
    </w:p>
    <w:p w:rsidR="00EA343B" w:rsidRPr="00921344" w:rsidRDefault="00EA343B" w:rsidP="00EA343B">
      <w:pPr>
        <w:jc w:val="both"/>
        <w:rPr>
          <w:rFonts w:asciiTheme="majorBidi" w:eastAsia="Times New Roman" w:hAnsiTheme="majorBidi" w:cs="Times New Roman"/>
        </w:rPr>
      </w:pPr>
      <w:r w:rsidRPr="00921344">
        <w:rPr>
          <w:rFonts w:asciiTheme="majorBidi" w:eastAsia="Times New Roman" w:hAnsiTheme="majorBidi" w:cs="Times New Roman"/>
        </w:rPr>
        <w:t xml:space="preserve">There will be no difference in the level of CPM and MIPM analgesia between participants who receive moderate intensity aerobic exercise and those who receive low intensity aerobic exercise.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EA343B" w:rsidRDefault="00EA343B" w:rsidP="00EA343B">
      <w:pPr>
        <w:spacing w:after="0" w:line="240" w:lineRule="auto"/>
        <w:jc w:val="both"/>
        <w:rPr>
          <w:rFonts w:asciiTheme="majorBidi" w:hAnsiTheme="majorBidi" w:cstheme="majorBidi"/>
        </w:rPr>
      </w:pPr>
      <w:r>
        <w:rPr>
          <w:rFonts w:asciiTheme="majorBidi" w:hAnsiTheme="majorBidi" w:cstheme="majorBidi"/>
        </w:rPr>
        <w:t xml:space="preserve">60 participants diagnosed with LE </w:t>
      </w:r>
      <w:r w:rsidRPr="003E24E9">
        <w:rPr>
          <w:rFonts w:asciiTheme="majorBidi" w:hAnsiTheme="majorBidi" w:cstheme="majorBidi"/>
        </w:rPr>
        <w:t xml:space="preserve">will be recruited from the community and will meet the </w:t>
      </w:r>
      <w:r>
        <w:rPr>
          <w:rFonts w:asciiTheme="majorBidi" w:hAnsiTheme="majorBidi" w:cstheme="majorBidi"/>
        </w:rPr>
        <w:t>same eligibility criteria</w:t>
      </w:r>
      <w:r w:rsidRPr="003E24E9">
        <w:rPr>
          <w:rFonts w:asciiTheme="majorBidi" w:hAnsiTheme="majorBidi" w:cstheme="majorBidi"/>
        </w:rPr>
        <w:t xml:space="preserve"> outlined </w:t>
      </w:r>
      <w:r>
        <w:rPr>
          <w:rFonts w:asciiTheme="majorBidi" w:hAnsiTheme="majorBidi" w:cstheme="majorBidi"/>
        </w:rPr>
        <w:t xml:space="preserve">in Study One above. </w:t>
      </w:r>
    </w:p>
    <w:p w:rsidR="00EA343B"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eastAsia="Times New Roman" w:hAnsiTheme="majorBidi" w:cs="Times New Roman"/>
          <w:b/>
        </w:rPr>
      </w:pPr>
      <w:r w:rsidRPr="00921344">
        <w:rPr>
          <w:rFonts w:asciiTheme="majorBidi" w:eastAsia="Times New Roman" w:hAnsiTheme="majorBidi" w:cs="Times New Roman"/>
          <w:b/>
        </w:rPr>
        <w:t>Procedure</w:t>
      </w:r>
    </w:p>
    <w:p w:rsidR="00EA343B"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 xml:space="preserve">A randomized between-group design will be used in this study. </w:t>
      </w:r>
      <w:r>
        <w:rPr>
          <w:rFonts w:asciiTheme="majorBidi" w:eastAsia="Times New Roman" w:hAnsiTheme="majorBidi" w:cs="Times New Roman"/>
        </w:rPr>
        <w:t>Three days subsequent to Study One, eligible s</w:t>
      </w:r>
      <w:r w:rsidRPr="00921344">
        <w:rPr>
          <w:rFonts w:asciiTheme="majorBidi" w:eastAsia="Times New Roman" w:hAnsiTheme="majorBidi" w:cs="Times New Roman"/>
        </w:rPr>
        <w:t xml:space="preserve">ubjects will be randomized to receive either low (50% VO2 max) or moderate intensity (75% VO2 max) aerobic exercise </w:t>
      </w:r>
      <w:r>
        <w:rPr>
          <w:rFonts w:asciiTheme="majorBidi" w:eastAsia="Times New Roman" w:hAnsiTheme="majorBidi" w:cs="Times New Roman"/>
        </w:rPr>
        <w:t>on a cycle ergometer</w:t>
      </w:r>
      <w:r w:rsidRPr="00921344">
        <w:rPr>
          <w:rFonts w:asciiTheme="majorBidi" w:eastAsia="Times New Roman" w:hAnsiTheme="majorBidi" w:cs="Times New Roman"/>
        </w:rPr>
        <w:t xml:space="preserve">. Participants in each group will </w:t>
      </w:r>
      <w:r>
        <w:rPr>
          <w:rFonts w:asciiTheme="majorBidi" w:eastAsia="Times New Roman" w:hAnsiTheme="majorBidi" w:cs="Times New Roman"/>
        </w:rPr>
        <w:t xml:space="preserve">be initially tested for PPT at both elbow and wrist measurement sites. They will </w:t>
      </w:r>
      <w:r w:rsidRPr="00921344">
        <w:rPr>
          <w:rFonts w:asciiTheme="majorBidi" w:eastAsia="Times New Roman" w:hAnsiTheme="majorBidi" w:cs="Times New Roman"/>
        </w:rPr>
        <w:t xml:space="preserve">then be randomized to undergo a CPM assessment protocol </w:t>
      </w:r>
      <w:r>
        <w:rPr>
          <w:rFonts w:asciiTheme="majorBidi" w:eastAsia="Times New Roman" w:hAnsiTheme="majorBidi" w:cs="Times New Roman"/>
        </w:rPr>
        <w:t>or</w:t>
      </w:r>
      <w:r w:rsidRPr="00921344">
        <w:rPr>
          <w:rFonts w:asciiTheme="majorBidi" w:eastAsia="Times New Roman" w:hAnsiTheme="majorBidi" w:cs="Times New Roman"/>
        </w:rPr>
        <w:t xml:space="preserve"> an MIPM assessment protocol, in two </w:t>
      </w:r>
      <w:r>
        <w:rPr>
          <w:rFonts w:asciiTheme="majorBidi" w:eastAsia="Times New Roman" w:hAnsiTheme="majorBidi" w:cs="Times New Roman"/>
        </w:rPr>
        <w:t xml:space="preserve">separate </w:t>
      </w:r>
      <w:r w:rsidRPr="00921344">
        <w:rPr>
          <w:rFonts w:asciiTheme="majorBidi" w:eastAsia="Times New Roman" w:hAnsiTheme="majorBidi" w:cs="Times New Roman"/>
        </w:rPr>
        <w:t>test sessions (</w:t>
      </w:r>
      <w:r w:rsidRPr="00921344">
        <w:rPr>
          <w:rFonts w:asciiTheme="majorBidi" w:eastAsia="Times New Roman" w:hAnsiTheme="majorBidi" w:cs="Times New Roman"/>
          <w:lang w:val="en-AU"/>
        </w:rPr>
        <w:t>i.e. two study days)</w:t>
      </w:r>
      <w:r>
        <w:rPr>
          <w:rFonts w:asciiTheme="majorBidi" w:eastAsia="Times New Roman" w:hAnsiTheme="majorBidi" w:cs="Times New Roman"/>
        </w:rPr>
        <w:t xml:space="preserve"> separated by three days (see Fig. 1). The randomisation process will be managed by </w:t>
      </w:r>
      <w:r>
        <w:rPr>
          <w:rFonts w:asciiTheme="majorBidi" w:hAnsiTheme="majorBidi" w:cstheme="majorBidi"/>
        </w:rPr>
        <w:t xml:space="preserve">the Physiotherapy Clinic supervisor (Mr John Watson). </w:t>
      </w:r>
      <w:r w:rsidRPr="00921344">
        <w:rPr>
          <w:rFonts w:asciiTheme="majorBidi" w:eastAsia="Times New Roman" w:hAnsiTheme="majorBidi" w:cs="Times New Roman"/>
        </w:rPr>
        <w:t>All CPM and MIPM protocols will be performed by the same assessor who will remain blinded to the level of aerobic ex</w:t>
      </w:r>
      <w:r>
        <w:rPr>
          <w:rFonts w:asciiTheme="majorBidi" w:eastAsia="Times New Roman" w:hAnsiTheme="majorBidi" w:cs="Times New Roman"/>
        </w:rPr>
        <w:t xml:space="preserve">ercise subjects are completing. </w:t>
      </w:r>
      <w:r w:rsidRPr="00921344">
        <w:rPr>
          <w:rFonts w:asciiTheme="majorBidi" w:eastAsia="Times New Roman" w:hAnsiTheme="majorBidi" w:cs="Times New Roman"/>
        </w:rPr>
        <w:t xml:space="preserve">Following completion of the aerobic exercise, all subjects will be assessed for </w:t>
      </w:r>
      <w:r>
        <w:rPr>
          <w:rFonts w:asciiTheme="majorBidi" w:eastAsia="Times New Roman" w:hAnsiTheme="majorBidi" w:cs="Times New Roman"/>
        </w:rPr>
        <w:t xml:space="preserve">either </w:t>
      </w:r>
      <w:r w:rsidRPr="00921344">
        <w:rPr>
          <w:rFonts w:asciiTheme="majorBidi" w:eastAsia="Times New Roman" w:hAnsiTheme="majorBidi" w:cs="Times New Roman"/>
        </w:rPr>
        <w:t xml:space="preserve">CPM </w:t>
      </w:r>
      <w:r>
        <w:rPr>
          <w:rFonts w:asciiTheme="majorBidi" w:eastAsia="Times New Roman" w:hAnsiTheme="majorBidi" w:cs="Times New Roman"/>
        </w:rPr>
        <w:t>or</w:t>
      </w:r>
      <w:r w:rsidRPr="00921344">
        <w:rPr>
          <w:rFonts w:asciiTheme="majorBidi" w:eastAsia="Times New Roman" w:hAnsiTheme="majorBidi" w:cs="Times New Roman"/>
        </w:rPr>
        <w:t xml:space="preserve"> MIPM </w:t>
      </w:r>
      <w:r>
        <w:rPr>
          <w:rFonts w:asciiTheme="majorBidi" w:eastAsia="Times New Roman" w:hAnsiTheme="majorBidi" w:cs="Times New Roman"/>
        </w:rPr>
        <w:t xml:space="preserve">effect </w:t>
      </w:r>
      <w:r w:rsidRPr="00921344">
        <w:rPr>
          <w:rFonts w:asciiTheme="majorBidi" w:eastAsia="Times New Roman" w:hAnsiTheme="majorBidi" w:cs="Times New Roman"/>
        </w:rPr>
        <w:t>by the assessor</w:t>
      </w:r>
      <w:r>
        <w:rPr>
          <w:rFonts w:asciiTheme="majorBidi" w:eastAsia="Times New Roman" w:hAnsiTheme="majorBidi" w:cs="Times New Roman"/>
        </w:rPr>
        <w:t xml:space="preserve"> who will remain blinded to the level of aerobic exercise that the subjects have completed</w:t>
      </w:r>
      <w:r w:rsidRPr="00921344">
        <w:rPr>
          <w:rFonts w:asciiTheme="majorBidi" w:eastAsia="Times New Roman" w:hAnsiTheme="majorBidi" w:cs="Times New Roman"/>
        </w:rPr>
        <w:t>. Subjects will be asked to avoid</w:t>
      </w:r>
      <w:r>
        <w:rPr>
          <w:rFonts w:asciiTheme="majorBidi" w:eastAsia="Times New Roman" w:hAnsiTheme="majorBidi" w:cs="Times New Roman"/>
        </w:rPr>
        <w:t xml:space="preserve"> physiotherapy treatment and</w:t>
      </w:r>
      <w:r w:rsidRPr="00921344">
        <w:rPr>
          <w:rFonts w:asciiTheme="majorBidi" w:eastAsia="Times New Roman" w:hAnsiTheme="majorBidi" w:cs="Times New Roman"/>
        </w:rPr>
        <w:t xml:space="preserve"> other forms of physical exercis</w:t>
      </w:r>
      <w:r>
        <w:rPr>
          <w:rFonts w:asciiTheme="majorBidi" w:eastAsia="Times New Roman" w:hAnsiTheme="majorBidi" w:cs="Times New Roman"/>
        </w:rPr>
        <w:t>e during the study</w:t>
      </w:r>
      <w:r w:rsidRPr="00921344">
        <w:rPr>
          <w:rFonts w:asciiTheme="majorBidi" w:eastAsia="Times New Roman" w:hAnsiTheme="majorBidi" w:cs="Times New Roman"/>
        </w:rPr>
        <w:t>.</w:t>
      </w:r>
    </w:p>
    <w:p w:rsidR="00EA343B" w:rsidRDefault="00EA343B" w:rsidP="00EA343B">
      <w:pPr>
        <w:spacing w:after="0" w:line="240" w:lineRule="auto"/>
        <w:jc w:val="both"/>
        <w:rPr>
          <w:rFonts w:asciiTheme="majorBidi" w:eastAsia="Times New Roman" w:hAnsiTheme="majorBidi" w:cs="Times New Roman"/>
        </w:rPr>
      </w:pPr>
    </w:p>
    <w:p w:rsidR="00EA343B"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EA343B" w:rsidRPr="00A30A30" w:rsidRDefault="00EA343B" w:rsidP="00EA343B">
      <w:pPr>
        <w:spacing w:after="0" w:line="240" w:lineRule="auto"/>
        <w:jc w:val="both"/>
        <w:rPr>
          <w:rFonts w:asciiTheme="majorBidi" w:hAnsiTheme="majorBidi" w:cstheme="majorBidi"/>
          <w:iCs/>
        </w:rPr>
      </w:pPr>
      <w:r>
        <w:rPr>
          <w:rFonts w:asciiTheme="majorBidi" w:hAnsiTheme="majorBidi" w:cstheme="majorBidi"/>
        </w:rPr>
        <w:t>On each test occasion, pressure pain threshold at the lateral elbow and the wrist will be measured</w:t>
      </w:r>
      <w:r w:rsidRPr="003E24E9">
        <w:rPr>
          <w:rFonts w:asciiTheme="majorBidi" w:hAnsiTheme="majorBidi" w:cstheme="majorBidi"/>
        </w:rPr>
        <w:t xml:space="preserve"> before </w:t>
      </w:r>
      <w:r>
        <w:rPr>
          <w:rFonts w:asciiTheme="majorBidi" w:hAnsiTheme="majorBidi" w:cstheme="majorBidi"/>
        </w:rPr>
        <w:t xml:space="preserve">aerobic exercise, before </w:t>
      </w:r>
      <w:r w:rsidRPr="003E24E9">
        <w:rPr>
          <w:rFonts w:asciiTheme="majorBidi" w:hAnsiTheme="majorBidi" w:cstheme="majorBidi"/>
        </w:rPr>
        <w:t>and after cold water immersion</w:t>
      </w:r>
      <w:r>
        <w:rPr>
          <w:rFonts w:asciiTheme="majorBidi" w:hAnsiTheme="majorBidi" w:cstheme="majorBidi"/>
        </w:rPr>
        <w:t xml:space="preserve"> (for CPM assessment), or before and after CLG (for MIPM assessment) based on the randomization schedule. The mean of three trials at each site will be used for analysis for each protocol. PFG and </w:t>
      </w:r>
      <w:r>
        <w:rPr>
          <w:rFonts w:asciiTheme="majorBidi" w:hAnsiTheme="majorBidi" w:cstheme="majorBidi"/>
          <w:iCs/>
        </w:rPr>
        <w:t xml:space="preserve">ULNDT </w:t>
      </w:r>
      <w:r w:rsidRPr="003F05A5">
        <w:rPr>
          <w:rFonts w:asciiTheme="majorBidi" w:hAnsiTheme="majorBidi" w:cstheme="majorBidi"/>
          <w:iCs/>
        </w:rPr>
        <w:t>with radial nerve bias</w:t>
      </w:r>
      <w:r>
        <w:rPr>
          <w:rFonts w:asciiTheme="majorBidi" w:hAnsiTheme="majorBidi" w:cstheme="majorBidi"/>
          <w:iCs/>
        </w:rPr>
        <w:t xml:space="preserve"> will also be assessed before and after CLG for MIPM assessment. All procedures are described above in Part One. Eligible </w:t>
      </w:r>
      <w:r>
        <w:rPr>
          <w:rFonts w:asciiTheme="majorBidi" w:hAnsiTheme="majorBidi" w:cstheme="majorBidi"/>
        </w:rPr>
        <w:t xml:space="preserve">subjects randomly allocated to moderate and low intensity aerobic exercise groups will attend the Curtin University Physiotherapy Clinic for aerobic physical exercise testing, as described below. </w:t>
      </w:r>
      <w:r w:rsidRPr="003E24E9">
        <w:rPr>
          <w:rFonts w:asciiTheme="majorBidi" w:hAnsiTheme="majorBidi" w:cstheme="majorBidi"/>
        </w:rPr>
        <w:t xml:space="preserve">Subjects in both groups will be </w:t>
      </w:r>
      <w:r>
        <w:rPr>
          <w:rFonts w:asciiTheme="majorBidi" w:hAnsiTheme="majorBidi" w:cstheme="majorBidi"/>
        </w:rPr>
        <w:t>asked</w:t>
      </w:r>
      <w:r w:rsidRPr="003E24E9">
        <w:rPr>
          <w:rFonts w:asciiTheme="majorBidi" w:hAnsiTheme="majorBidi" w:cstheme="majorBidi"/>
        </w:rPr>
        <w:t xml:space="preserve"> to avoid any </w:t>
      </w:r>
      <w:r>
        <w:rPr>
          <w:rFonts w:asciiTheme="majorBidi" w:hAnsiTheme="majorBidi" w:cstheme="majorBidi"/>
        </w:rPr>
        <w:t>additional</w:t>
      </w:r>
      <w:r w:rsidRPr="003E24E9">
        <w:rPr>
          <w:rFonts w:asciiTheme="majorBidi" w:hAnsiTheme="majorBidi" w:cstheme="majorBidi"/>
        </w:rPr>
        <w:t xml:space="preserve"> physiotherapy </w:t>
      </w:r>
      <w:r>
        <w:rPr>
          <w:rFonts w:asciiTheme="majorBidi" w:hAnsiTheme="majorBidi" w:cstheme="majorBidi"/>
        </w:rPr>
        <w:t xml:space="preserve">treatment </w:t>
      </w:r>
      <w:r w:rsidRPr="003E24E9">
        <w:rPr>
          <w:rFonts w:asciiTheme="majorBidi" w:hAnsiTheme="majorBidi" w:cstheme="majorBidi"/>
        </w:rPr>
        <w:t xml:space="preserve">or </w:t>
      </w:r>
      <w:r>
        <w:rPr>
          <w:rFonts w:asciiTheme="majorBidi" w:hAnsiTheme="majorBidi" w:cstheme="majorBidi"/>
        </w:rPr>
        <w:t>other physical</w:t>
      </w:r>
      <w:r w:rsidRPr="003E24E9">
        <w:rPr>
          <w:rFonts w:asciiTheme="majorBidi" w:hAnsiTheme="majorBidi" w:cstheme="majorBidi"/>
        </w:rPr>
        <w:t xml:space="preserve"> treatment during the cours</w:t>
      </w:r>
      <w:r>
        <w:rPr>
          <w:rFonts w:asciiTheme="majorBidi" w:hAnsiTheme="majorBidi" w:cstheme="majorBidi"/>
        </w:rPr>
        <w:t xml:space="preserve">e of the experiment. </w:t>
      </w:r>
      <w:r>
        <w:rPr>
          <w:rFonts w:asciiTheme="majorBidi" w:eastAsia="Times New Roman" w:hAnsiTheme="majorBidi" w:cs="Times New Roman"/>
        </w:rPr>
        <w:t xml:space="preserve">They will also be asked to avoid taking pain medications on the study days. </w:t>
      </w:r>
      <w:r>
        <w:rPr>
          <w:rFonts w:asciiTheme="majorBidi" w:hAnsiTheme="majorBidi" w:cstheme="majorBidi"/>
        </w:rPr>
        <w:t>CPM or MIPM</w:t>
      </w:r>
      <w:r w:rsidRPr="003E24E9">
        <w:rPr>
          <w:rFonts w:asciiTheme="majorBidi" w:hAnsiTheme="majorBidi" w:cstheme="majorBidi"/>
        </w:rPr>
        <w:t xml:space="preserve"> responses will be reassessed </w:t>
      </w:r>
      <w:r>
        <w:rPr>
          <w:rFonts w:asciiTheme="majorBidi" w:hAnsiTheme="majorBidi" w:cstheme="majorBidi"/>
        </w:rPr>
        <w:t>in each subject immediately after the aerobic exercise sessions on the cycle ergometer.</w:t>
      </w:r>
    </w:p>
    <w:p w:rsidR="00EA343B" w:rsidRPr="00921344" w:rsidRDefault="00EA343B" w:rsidP="00EA343B">
      <w:pPr>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Experimental conditions</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 xml:space="preserve">Several studies have shown strong analgesic responses induced post aerobic exercise at low and moderate intensities (Koltyn et al. 1996; Naugle et al. 2014; Vaegter et al. 2014, 2016), therefore these intensities are selected for this study. The method mentioned here is based on a study by Naugle et al. (2014).    </w:t>
      </w:r>
    </w:p>
    <w:p w:rsidR="00EA343B" w:rsidRPr="00921344" w:rsidRDefault="00EA343B" w:rsidP="00EA343B">
      <w:pPr>
        <w:tabs>
          <w:tab w:val="left" w:pos="284"/>
        </w:tabs>
        <w:spacing w:after="0" w:line="240" w:lineRule="auto"/>
        <w:jc w:val="both"/>
        <w:rPr>
          <w:rFonts w:asciiTheme="majorBidi" w:eastAsia="Times New Roman" w:hAnsiTheme="majorBidi" w:cs="Times New Roman"/>
          <w:b/>
          <w:bCs/>
        </w:rPr>
      </w:pPr>
    </w:p>
    <w:p w:rsidR="00EA343B" w:rsidRPr="00921344" w:rsidRDefault="00EA343B" w:rsidP="00EA343B">
      <w:pPr>
        <w:tabs>
          <w:tab w:val="left" w:pos="284"/>
        </w:tabs>
        <w:spacing w:after="0" w:line="240" w:lineRule="auto"/>
        <w:contextualSpacing/>
        <w:jc w:val="both"/>
        <w:rPr>
          <w:rFonts w:asciiTheme="majorBidi" w:eastAsiaTheme="minorEastAsia" w:hAnsiTheme="majorBidi" w:cs="Times New Roman"/>
        </w:rPr>
      </w:pPr>
      <w:r w:rsidRPr="00921344">
        <w:rPr>
          <w:rFonts w:asciiTheme="majorBidi" w:eastAsiaTheme="minorEastAsia" w:hAnsiTheme="majorBidi" w:cs="Times New Roman"/>
          <w:b/>
          <w:bCs/>
        </w:rPr>
        <w:t>Moderate intensity aerobic exercise:</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Participants in this condition will</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 xml:space="preserve">undergo a 15 min session of stationary cycling at an intensity of 75% VO2 heart rate reserve (HRR). Prior to beginning the session, the target heart rate (THR) matching 75% VO2 max will be determined using the Karvonen formula (Swain et al. 1994). </w:t>
      </w:r>
      <w:r w:rsidRPr="00921344">
        <w:rPr>
          <w:rFonts w:asciiTheme="majorBidi" w:eastAsiaTheme="minorEastAsia" w:hAnsiTheme="majorBidi" w:cs="Times New Roman"/>
          <w:lang w:val="en"/>
        </w:rPr>
        <w:t xml:space="preserve">THR = ((maximal HR − resting HR) × %Intensity) + resting HR), where maximal HR = 220-age. Heart rate will be </w:t>
      </w:r>
      <w:r w:rsidRPr="00921344">
        <w:rPr>
          <w:rFonts w:asciiTheme="majorBidi" w:eastAsiaTheme="minorEastAsia" w:hAnsiTheme="majorBidi" w:cs="Times New Roman"/>
          <w:lang w:val="en"/>
        </w:rPr>
        <w:lastRenderedPageBreak/>
        <w:t xml:space="preserve">regularly observed during rest and exercise using a heart rate monitor, which will be fitted at the start of the session. </w:t>
      </w:r>
      <w:r w:rsidRPr="00921344">
        <w:rPr>
          <w:rFonts w:asciiTheme="majorBidi" w:eastAsiaTheme="minorEastAsia" w:hAnsiTheme="majorBidi" w:cs="Times New Roman"/>
        </w:rPr>
        <w:t xml:space="preserve">The targeted exercise intensity level will be achieved through controlling the speed and the resistance of the cycle ergometer. </w:t>
      </w:r>
      <w:r>
        <w:rPr>
          <w:rFonts w:asciiTheme="majorBidi" w:eastAsiaTheme="minorEastAsia" w:hAnsiTheme="majorBidi" w:cs="Times New Roman"/>
        </w:rPr>
        <w:t>Participants will initially start warming up by cycling gradually to reach the desired exercise intensity during the first 5mins, they will then continue cycling for the following 10mins while maintaining the exercise intensity at a l</w:t>
      </w:r>
      <w:r w:rsidR="00AD5C08">
        <w:rPr>
          <w:rFonts w:asciiTheme="majorBidi" w:eastAsiaTheme="minorEastAsia" w:hAnsiTheme="majorBidi" w:cs="Times New Roman"/>
        </w:rPr>
        <w:t xml:space="preserve">evel that will enable them to </w:t>
      </w:r>
      <w:r>
        <w:rPr>
          <w:rFonts w:asciiTheme="majorBidi" w:eastAsiaTheme="minorEastAsia" w:hAnsiTheme="majorBidi" w:cs="Times New Roman"/>
        </w:rPr>
        <w:t xml:space="preserve">achieve the target exercise intensity of 75%Vo2max. The heart rate will be continuously monitored to ensure that the exercise intensity is achieved and adequately maintained during the session. </w:t>
      </w:r>
      <w:r w:rsidRPr="00921344">
        <w:rPr>
          <w:rFonts w:asciiTheme="majorBidi" w:eastAsiaTheme="minorEastAsia" w:hAnsiTheme="majorBidi" w:cs="Times New Roman"/>
        </w:rPr>
        <w:t xml:space="preserve">This intervention will be conducted under standardized conditions by a </w:t>
      </w:r>
      <w:r>
        <w:rPr>
          <w:rFonts w:asciiTheme="majorBidi" w:eastAsiaTheme="minorEastAsia" w:hAnsiTheme="majorBidi" w:cs="Times New Roman"/>
        </w:rPr>
        <w:t xml:space="preserve">final year </w:t>
      </w:r>
      <w:r w:rsidRPr="00921344">
        <w:rPr>
          <w:rFonts w:asciiTheme="majorBidi" w:eastAsiaTheme="minorEastAsia" w:hAnsiTheme="majorBidi" w:cs="Times New Roman"/>
        </w:rPr>
        <w:t>physiotherapy student, who is under the supervision of senior physiotherapy staff at Curtin University Physiotherapy Clinic</w:t>
      </w:r>
      <w:r>
        <w:rPr>
          <w:rFonts w:asciiTheme="majorBidi" w:eastAsiaTheme="minorEastAsia" w:hAnsiTheme="majorBidi" w:cs="Times New Roman"/>
        </w:rPr>
        <w:t xml:space="preserve"> (Mr John Watson)</w:t>
      </w:r>
      <w:r w:rsidRPr="00921344">
        <w:rPr>
          <w:rFonts w:asciiTheme="majorBidi" w:eastAsiaTheme="minorEastAsia" w:hAnsiTheme="majorBidi" w:cs="Times New Roman"/>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Low intensity aerobic exercise:</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rPr>
        <w:t xml:space="preserve">Participants in this condition will undergo the same experimental procedure defined in the moderate intensity aerobic exercise, but </w:t>
      </w:r>
      <w:r>
        <w:rPr>
          <w:rFonts w:asciiTheme="majorBidi" w:eastAsia="Times New Roman" w:hAnsiTheme="majorBidi" w:cs="Times New Roman"/>
        </w:rPr>
        <w:t xml:space="preserve">at a cycle ergometer resistance level that enables them to achieve a target exercise intensity </w:t>
      </w:r>
      <w:r w:rsidRPr="00921344">
        <w:rPr>
          <w:rFonts w:asciiTheme="majorBidi" w:eastAsia="Times New Roman" w:hAnsiTheme="majorBidi" w:cs="Times New Roman"/>
        </w:rPr>
        <w:t xml:space="preserve">of 50% VO2 max instead of 75% VO2 max. </w:t>
      </w:r>
    </w:p>
    <w:p w:rsidR="00EA343B" w:rsidRDefault="00EA343B" w:rsidP="00EA343B">
      <w:pPr>
        <w:spacing w:after="0" w:line="240" w:lineRule="auto"/>
        <w:jc w:val="both"/>
        <w:rPr>
          <w:rFonts w:asciiTheme="majorBidi" w:eastAsia="Times New Roman" w:hAnsiTheme="majorBidi" w:cs="Times New Roman"/>
        </w:rPr>
      </w:pPr>
    </w:p>
    <w:p w:rsidR="00EA343B" w:rsidRPr="003E24E9" w:rsidRDefault="00EA343B" w:rsidP="00EA343B">
      <w:pPr>
        <w:spacing w:after="0" w:line="240" w:lineRule="auto"/>
        <w:jc w:val="both"/>
        <w:rPr>
          <w:rFonts w:asciiTheme="majorBidi" w:hAnsiTheme="majorBidi" w:cstheme="majorBidi"/>
        </w:rPr>
      </w:pPr>
      <w:r w:rsidRPr="003E24E9">
        <w:rPr>
          <w:rFonts w:asciiTheme="majorBidi" w:hAnsiTheme="majorBidi" w:cstheme="majorBidi"/>
          <w:b/>
          <w:bCs/>
        </w:rPr>
        <w:t xml:space="preserve">Analysis </w:t>
      </w:r>
    </w:p>
    <w:p w:rsidR="00EA343B" w:rsidRDefault="00EA343B" w:rsidP="00EA343B">
      <w:pPr>
        <w:spacing w:after="0" w:line="240" w:lineRule="auto"/>
        <w:jc w:val="both"/>
        <w:rPr>
          <w:rFonts w:asciiTheme="majorBidi" w:hAnsiTheme="majorBidi" w:cstheme="majorBidi"/>
          <w:sz w:val="24"/>
          <w:szCs w:val="24"/>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Independent groups t-tests will be performed to eva</w:t>
      </w:r>
      <w:r>
        <w:rPr>
          <w:rFonts w:asciiTheme="majorBidi" w:hAnsiTheme="majorBidi" w:cstheme="majorBidi"/>
        </w:rPr>
        <w:t>luate differences in CPM and MIPM</w:t>
      </w:r>
      <w:r w:rsidRPr="003E24E9">
        <w:rPr>
          <w:rFonts w:asciiTheme="majorBidi" w:hAnsiTheme="majorBidi" w:cstheme="majorBidi"/>
        </w:rPr>
        <w:t xml:space="preserve"> effects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EA343B" w:rsidRPr="00921344" w:rsidRDefault="00EA343B" w:rsidP="00EA343B">
      <w:pPr>
        <w:spacing w:after="0" w:line="240" w:lineRule="auto"/>
        <w:jc w:val="both"/>
        <w:rPr>
          <w:rFonts w:asciiTheme="majorBidi" w:eastAsia="Times New Roman" w:hAnsiTheme="majorBidi" w:cs="Times New Roman"/>
        </w:rPr>
      </w:pPr>
    </w:p>
    <w:p w:rsidR="00EA343B" w:rsidRDefault="00EA343B" w:rsidP="00EA343B">
      <w:pPr>
        <w:spacing w:after="0" w:line="240" w:lineRule="auto"/>
        <w:jc w:val="both"/>
        <w:rPr>
          <w:rFonts w:asciiTheme="majorBidi" w:hAnsiTheme="majorBidi" w:cstheme="majorBidi"/>
          <w:sz w:val="24"/>
          <w:szCs w:val="24"/>
        </w:rPr>
      </w:pPr>
      <w:r w:rsidRPr="003E24E9">
        <w:rPr>
          <w:rFonts w:asciiTheme="majorBidi" w:hAnsiTheme="majorBidi" w:cstheme="majorBidi"/>
        </w:rPr>
        <w:t xml:space="preserve">Measures of </w:t>
      </w:r>
      <w:r>
        <w:rPr>
          <w:rFonts w:asciiTheme="majorBidi" w:hAnsiTheme="majorBidi" w:cstheme="majorBidi"/>
        </w:rPr>
        <w:t xml:space="preserve">aerobic exercise hypolagesia (EIH) effect (% change PPT) </w:t>
      </w:r>
      <w:r w:rsidRPr="003E24E9">
        <w:rPr>
          <w:rFonts w:asciiTheme="majorBidi" w:hAnsiTheme="majorBidi" w:cstheme="majorBidi"/>
        </w:rPr>
        <w:t xml:space="preserve">will be </w:t>
      </w:r>
      <w:r>
        <w:rPr>
          <w:rFonts w:asciiTheme="majorBidi" w:hAnsiTheme="majorBidi" w:cstheme="majorBidi"/>
        </w:rPr>
        <w:t xml:space="preserve">also </w:t>
      </w:r>
      <w:r w:rsidRPr="003E24E9">
        <w:rPr>
          <w:rFonts w:asciiTheme="majorBidi" w:hAnsiTheme="majorBidi" w:cstheme="majorBidi"/>
        </w:rPr>
        <w:t>obtained for the wrist and elbow sites</w:t>
      </w:r>
      <w:r>
        <w:rPr>
          <w:rFonts w:asciiTheme="majorBidi" w:hAnsiTheme="majorBidi" w:cstheme="majorBidi"/>
        </w:rPr>
        <w:t xml:space="preserve"> based on the pre to post exercise PPT measures</w:t>
      </w:r>
      <w:r w:rsidRPr="003E24E9">
        <w:rPr>
          <w:rFonts w:asciiTheme="majorBidi" w:hAnsiTheme="majorBidi" w:cstheme="majorBidi"/>
        </w:rPr>
        <w:t>. Independent groups t-tests will be performed to eva</w:t>
      </w:r>
      <w:r>
        <w:rPr>
          <w:rFonts w:asciiTheme="majorBidi" w:hAnsiTheme="majorBidi" w:cstheme="majorBidi"/>
        </w:rPr>
        <w:t>luate differences in EIH effect</w:t>
      </w:r>
      <w:r w:rsidRPr="003E24E9">
        <w:rPr>
          <w:rFonts w:asciiTheme="majorBidi" w:hAnsiTheme="majorBidi" w:cstheme="majorBidi"/>
        </w:rPr>
        <w:t xml:space="preserve">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1A0C40" w:rsidRDefault="001A0C40"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b/>
          <w:bCs/>
          <w:sz w:val="24"/>
          <w:szCs w:val="24"/>
        </w:rPr>
      </w:pPr>
      <w:r w:rsidRPr="0038418F">
        <w:rPr>
          <w:rFonts w:asciiTheme="majorBidi" w:hAnsiTheme="majorBidi" w:cstheme="majorBidi"/>
          <w:b/>
          <w:bCs/>
          <w:sz w:val="24"/>
          <w:szCs w:val="24"/>
        </w:rPr>
        <w:lastRenderedPageBreak/>
        <w:t xml:space="preserve">References </w:t>
      </w:r>
    </w:p>
    <w:p w:rsidR="00E81C02" w:rsidRPr="0038418F" w:rsidRDefault="00E81C02" w:rsidP="00EA343B">
      <w:pPr>
        <w:spacing w:after="0" w:line="240" w:lineRule="auto"/>
        <w:jc w:val="both"/>
        <w:rPr>
          <w:rFonts w:asciiTheme="majorBidi" w:hAnsiTheme="majorBidi" w:cstheme="majorBidi"/>
          <w:b/>
          <w:bCs/>
          <w:sz w:val="24"/>
          <w:szCs w:val="24"/>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Biurrun Manresa, JA, Fritsche, R, Vuilleumier, PH, Oehler, C, Morch, CD, Arendt-Nielsen, L, Andersen, OK &amp; Curatolo, M 2014, ‘Is the conditioned pain modulation paradigm reliable? A test-retest assessment using the nociceptive withdrawal reflex’, </w:t>
      </w:r>
      <w:r w:rsidRPr="0038418F">
        <w:rPr>
          <w:rFonts w:asciiTheme="majorBidi" w:hAnsiTheme="majorBidi" w:cstheme="majorBidi"/>
          <w:i/>
          <w:iCs/>
        </w:rPr>
        <w:t>PLoS One</w:t>
      </w:r>
      <w:r w:rsidRPr="0038418F">
        <w:rPr>
          <w:rFonts w:asciiTheme="majorBidi" w:hAnsiTheme="majorBidi" w:cstheme="majorBidi"/>
        </w:rPr>
        <w:t xml:space="preserve">, vol. 9, no. 6, viewed on 4 February 2016, &lt; http://dx.doi.org/ 10.1371/journal.pone.0100241 &gt;.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line="240" w:lineRule="auto"/>
        <w:rPr>
          <w:rStyle w:val="citation"/>
          <w:rFonts w:asciiTheme="majorBidi" w:hAnsiTheme="majorBidi" w:cstheme="majorBidi"/>
        </w:rPr>
      </w:pPr>
      <w:r w:rsidRPr="0038418F">
        <w:rPr>
          <w:rStyle w:val="citation"/>
          <w:rFonts w:asciiTheme="majorBidi" w:hAnsiTheme="majorBidi" w:cstheme="majorBidi"/>
        </w:rPr>
        <w:t xml:space="preserve">Bouhassira, D, Danziger, N, Atta, N &amp; Guirimand, F 2003, ‘Comparison of the pain suppressive effects of clinical and experimental painful conditioning stimuli’, </w:t>
      </w:r>
      <w:r w:rsidRPr="0038418F">
        <w:rPr>
          <w:rStyle w:val="ref-journal"/>
          <w:rFonts w:asciiTheme="majorBidi" w:hAnsiTheme="majorBidi" w:cstheme="majorBidi"/>
          <w:i/>
          <w:iCs/>
        </w:rPr>
        <w:t>Brain</w:t>
      </w:r>
      <w:r w:rsidRPr="0038418F">
        <w:rPr>
          <w:rStyle w:val="ref-journal"/>
          <w:rFonts w:asciiTheme="majorBidi" w:hAnsiTheme="majorBidi" w:cstheme="majorBidi"/>
        </w:rPr>
        <w:t xml:space="preserve">, vol. </w:t>
      </w:r>
      <w:r w:rsidRPr="0038418F">
        <w:rPr>
          <w:rStyle w:val="ref-vol"/>
          <w:rFonts w:asciiTheme="majorBidi" w:hAnsiTheme="majorBidi" w:cstheme="majorBidi"/>
        </w:rPr>
        <w:t>126</w:t>
      </w:r>
      <w:r w:rsidRPr="0038418F">
        <w:rPr>
          <w:rStyle w:val="citation"/>
          <w:rFonts w:asciiTheme="majorBidi" w:hAnsiTheme="majorBidi" w:cstheme="majorBidi"/>
        </w:rPr>
        <w:t xml:space="preserve">, pp. 1068-1078.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lang w:val="en-AU"/>
        </w:rPr>
      </w:pPr>
      <w:r w:rsidRPr="0038418F">
        <w:rPr>
          <w:rFonts w:asciiTheme="majorBidi" w:hAnsiTheme="majorBidi" w:cstheme="majorBidi"/>
          <w:lang w:val="en-AU"/>
        </w:rPr>
        <w:t xml:space="preserve">Butler, DS 2000, </w:t>
      </w:r>
      <w:r w:rsidRPr="0038418F">
        <w:rPr>
          <w:rFonts w:asciiTheme="majorBidi" w:hAnsiTheme="majorBidi" w:cstheme="majorBidi"/>
          <w:i/>
          <w:iCs/>
          <w:lang w:val="en-AU"/>
        </w:rPr>
        <w:t>The sensitive nervous system</w:t>
      </w:r>
      <w:r w:rsidRPr="0038418F">
        <w:rPr>
          <w:rFonts w:asciiTheme="majorBidi" w:hAnsiTheme="majorBidi" w:cstheme="majorBidi"/>
          <w:lang w:val="en-AU"/>
        </w:rPr>
        <w:t xml:space="preserve">, Noigroup Publication, Adelaide, Australia.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4B0F64" w:rsidP="00EA7CC5">
      <w:pPr>
        <w:shd w:val="clear" w:color="auto" w:fill="FFFFFF"/>
        <w:rPr>
          <w:rFonts w:asciiTheme="majorBidi" w:hAnsiTheme="majorBidi" w:cstheme="majorBidi"/>
        </w:rPr>
      </w:pPr>
      <w:hyperlink r:id="rId10" w:history="1">
        <w:r w:rsidR="00EA7CC5" w:rsidRPr="0038418F">
          <w:rPr>
            <w:rFonts w:asciiTheme="majorBidi" w:hAnsiTheme="majorBidi" w:cstheme="majorBidi"/>
          </w:rPr>
          <w:t>Coombes, BK</w:t>
        </w:r>
      </w:hyperlink>
      <w:r w:rsidR="00EA7CC5" w:rsidRPr="0038418F">
        <w:rPr>
          <w:rFonts w:asciiTheme="majorBidi" w:hAnsiTheme="majorBidi" w:cstheme="majorBidi"/>
        </w:rPr>
        <w:t xml:space="preserve">, </w:t>
      </w:r>
      <w:hyperlink r:id="rId11" w:history="1">
        <w:r w:rsidR="00EA7CC5" w:rsidRPr="0038418F">
          <w:rPr>
            <w:rFonts w:asciiTheme="majorBidi" w:hAnsiTheme="majorBidi" w:cstheme="majorBidi"/>
          </w:rPr>
          <w:t>Bisset, L</w:t>
        </w:r>
      </w:hyperlink>
      <w:r w:rsidR="00EA7CC5" w:rsidRPr="0038418F">
        <w:rPr>
          <w:rFonts w:asciiTheme="majorBidi" w:hAnsiTheme="majorBidi" w:cstheme="majorBidi"/>
        </w:rPr>
        <w:t xml:space="preserve"> &amp; </w:t>
      </w:r>
      <w:hyperlink r:id="rId12" w:history="1">
        <w:r w:rsidR="00EA7CC5" w:rsidRPr="0038418F">
          <w:rPr>
            <w:rFonts w:asciiTheme="majorBidi" w:hAnsiTheme="majorBidi" w:cstheme="majorBidi"/>
          </w:rPr>
          <w:t>Vicenzino, B</w:t>
        </w:r>
      </w:hyperlink>
      <w:r w:rsidR="00EA7CC5" w:rsidRPr="0038418F">
        <w:rPr>
          <w:rFonts w:asciiTheme="majorBidi" w:hAnsiTheme="majorBidi" w:cstheme="majorBidi"/>
        </w:rPr>
        <w:t xml:space="preserve"> 2015, ‘Cold hyperalgesia associated with poorer prognosis in lateral epicondylalgia: a 1-year prognostic study of physical and psychological factors’, </w:t>
      </w:r>
      <w:r w:rsidR="00EA7CC5" w:rsidRPr="0038418F">
        <w:rPr>
          <w:rFonts w:asciiTheme="majorBidi" w:hAnsiTheme="majorBidi" w:cstheme="majorBidi"/>
          <w:i/>
          <w:iCs/>
        </w:rPr>
        <w:t>The Clinical Journal of Pain</w:t>
      </w:r>
      <w:r w:rsidR="00EA7CC5" w:rsidRPr="0038418F">
        <w:rPr>
          <w:rFonts w:asciiTheme="majorBidi" w:hAnsiTheme="majorBidi" w:cstheme="majorBidi"/>
        </w:rPr>
        <w:t xml:space="preserve">, vol. 31, no. 1, pp. 30-35. </w:t>
      </w: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Fernández-Carnero, J, Fernández-de-las-Peñas, C, Sterling, M, Souvlis, T, Arendt-Nielsen, L &amp; Vicenzino, B 2009, ‘Exploration of the Extent of Somato-Sensory Impairment in Patients with Unilateral Lateral Epicondylalgia’, </w:t>
      </w:r>
      <w:r w:rsidRPr="0038418F">
        <w:rPr>
          <w:rFonts w:asciiTheme="majorBidi" w:hAnsiTheme="majorBidi" w:cstheme="majorBidi"/>
          <w:i/>
          <w:iCs/>
        </w:rPr>
        <w:t>The Journal of Pain</w:t>
      </w:r>
      <w:r w:rsidRPr="0038418F">
        <w:rPr>
          <w:rFonts w:asciiTheme="majorBidi" w:hAnsiTheme="majorBidi" w:cstheme="majorBidi"/>
        </w:rPr>
        <w:t xml:space="preserve">, vol. 10, no. 11, pp. 1179–1185. </w:t>
      </w:r>
    </w:p>
    <w:p w:rsidR="00EA7CC5" w:rsidRPr="0038418F" w:rsidRDefault="00EA7CC5" w:rsidP="00EA7CC5">
      <w:pPr>
        <w:spacing w:after="0"/>
        <w:rPr>
          <w:rFonts w:asciiTheme="majorBidi" w:hAnsiTheme="majorBidi" w:cstheme="majorBidi"/>
        </w:rPr>
      </w:pPr>
    </w:p>
    <w:p w:rsidR="00EA7CC5" w:rsidRPr="0038418F" w:rsidRDefault="00EA7CC5" w:rsidP="00EA7CC5">
      <w:pPr>
        <w:spacing w:after="0" w:line="240" w:lineRule="auto"/>
        <w:rPr>
          <w:rStyle w:val="citation"/>
          <w:rFonts w:asciiTheme="majorBidi" w:hAnsiTheme="majorBidi" w:cstheme="majorBidi"/>
        </w:rPr>
      </w:pPr>
      <w:r w:rsidRPr="0038418F">
        <w:rPr>
          <w:rStyle w:val="citation"/>
          <w:rFonts w:asciiTheme="majorBidi" w:hAnsiTheme="majorBidi" w:cstheme="majorBidi"/>
        </w:rPr>
        <w:t xml:space="preserve">Graven-Nielsen, T, Gibson SJ, Laursen, RJ, Svensson, P &amp; Arendt-Nielsen, L 2002, ‘Opioid-insensitive hypoalgesia to mechanical stimuli at sites ipsilateral and contralateral to experimental muscle pain in human volunteers’, </w:t>
      </w:r>
      <w:r w:rsidRPr="0038418F">
        <w:rPr>
          <w:rStyle w:val="ref-journal"/>
          <w:rFonts w:asciiTheme="majorBidi" w:hAnsiTheme="majorBidi" w:cstheme="majorBidi"/>
          <w:i/>
          <w:iCs/>
        </w:rPr>
        <w:t>Experimental Brain Research</w:t>
      </w:r>
      <w:r w:rsidRPr="0038418F">
        <w:rPr>
          <w:rStyle w:val="ref-journal"/>
          <w:rFonts w:asciiTheme="majorBidi" w:hAnsiTheme="majorBidi" w:cstheme="majorBidi"/>
        </w:rPr>
        <w:t xml:space="preserve">, vol. </w:t>
      </w:r>
      <w:r w:rsidRPr="0038418F">
        <w:rPr>
          <w:rStyle w:val="ref-vol"/>
          <w:rFonts w:asciiTheme="majorBidi" w:hAnsiTheme="majorBidi" w:cstheme="majorBidi"/>
        </w:rPr>
        <w:t>146</w:t>
      </w:r>
      <w:r w:rsidRPr="0038418F">
        <w:rPr>
          <w:rStyle w:val="citation"/>
          <w:rFonts w:asciiTheme="majorBidi" w:hAnsiTheme="majorBidi" w:cstheme="majorBidi"/>
        </w:rPr>
        <w:t xml:space="preserve">, pp. 213-222. </w:t>
      </w:r>
    </w:p>
    <w:p w:rsidR="00EA7CC5" w:rsidRPr="0038418F" w:rsidRDefault="00EA7CC5" w:rsidP="00EA7CC5">
      <w:pPr>
        <w:spacing w:after="0" w:line="240" w:lineRule="auto"/>
        <w:rPr>
          <w:rStyle w:val="citation"/>
          <w:rFonts w:asciiTheme="majorBidi" w:hAnsiTheme="majorBidi" w:cstheme="majorBidi"/>
        </w:rPr>
      </w:pPr>
    </w:p>
    <w:p w:rsidR="00EA7CC5" w:rsidRDefault="00EA7CC5" w:rsidP="00EA7CC5">
      <w:pPr>
        <w:spacing w:after="0" w:line="240" w:lineRule="auto"/>
        <w:rPr>
          <w:rFonts w:asciiTheme="majorBidi" w:eastAsia="Times New Roman" w:hAnsiTheme="majorBidi" w:cstheme="majorBidi"/>
          <w:color w:val="0A0905"/>
        </w:rPr>
      </w:pPr>
      <w:r w:rsidRPr="0038418F">
        <w:rPr>
          <w:rFonts w:asciiTheme="majorBidi" w:eastAsia="Times New Roman" w:hAnsiTheme="majorBidi" w:cstheme="majorBidi"/>
          <w:color w:val="0A0905"/>
        </w:rPr>
        <w:t xml:space="preserve">Haker, E &amp; Lundeberg, T 1990, ‘Laser treatment applied to acupuncture points in lateral humeral epicondylalgia: a double-blind study’, </w:t>
      </w:r>
      <w:r w:rsidRPr="0038418F">
        <w:rPr>
          <w:rFonts w:asciiTheme="majorBidi" w:eastAsia="Times New Roman" w:hAnsiTheme="majorBidi" w:cstheme="majorBidi"/>
          <w:i/>
          <w:iCs/>
          <w:color w:val="0A0905"/>
        </w:rPr>
        <w:t>Pain,</w:t>
      </w:r>
      <w:r w:rsidRPr="0038418F">
        <w:rPr>
          <w:rFonts w:asciiTheme="majorBidi" w:eastAsia="Times New Roman" w:hAnsiTheme="majorBidi" w:cstheme="majorBidi"/>
          <w:color w:val="0A0905"/>
        </w:rPr>
        <w:t xml:space="preserve"> vol. 43, pp. 243-247.  </w:t>
      </w:r>
    </w:p>
    <w:p w:rsidR="003F1AF9" w:rsidRDefault="003F1AF9" w:rsidP="00EA7CC5">
      <w:pPr>
        <w:spacing w:after="0" w:line="240" w:lineRule="auto"/>
        <w:rPr>
          <w:rFonts w:asciiTheme="majorBidi" w:eastAsia="Times New Roman" w:hAnsiTheme="majorBidi" w:cstheme="majorBidi"/>
          <w:color w:val="0A0905"/>
        </w:rPr>
      </w:pPr>
    </w:p>
    <w:p w:rsidR="00EA7CC5" w:rsidRDefault="003F1AF9" w:rsidP="003F1AF9">
      <w:pPr>
        <w:rPr>
          <w:rFonts w:asciiTheme="majorBidi" w:hAnsiTheme="majorBidi" w:cstheme="majorBidi"/>
        </w:rPr>
      </w:pPr>
      <w:r w:rsidRPr="003F1AF9">
        <w:rPr>
          <w:rStyle w:val="HTMLCite"/>
          <w:rFonts w:asciiTheme="majorBidi" w:hAnsiTheme="majorBidi" w:cstheme="majorBidi"/>
          <w:i w:val="0"/>
          <w:iCs w:val="0"/>
        </w:rPr>
        <w:t>Herrmann, SD, Heumann, KJ, Der, Ananian, CA &amp; Ainsworth, BE 2013, ‘Validity and reliability of the Global Physical Activity Questionnaire (GPAQ)’,</w:t>
      </w:r>
      <w:r>
        <w:rPr>
          <w:rStyle w:val="HTMLCite"/>
          <w:rFonts w:asciiTheme="majorBidi" w:hAnsiTheme="majorBidi" w:cstheme="majorBidi"/>
        </w:rPr>
        <w:t xml:space="preserve"> Measurement in Physical Education and Exercise Science</w:t>
      </w:r>
      <w:r w:rsidRPr="003F1AF9">
        <w:rPr>
          <w:rStyle w:val="HTMLCite"/>
          <w:rFonts w:asciiTheme="majorBidi" w:hAnsiTheme="majorBidi" w:cstheme="majorBidi"/>
          <w:i w:val="0"/>
          <w:iCs w:val="0"/>
        </w:rPr>
        <w:t xml:space="preserve">, vol. 17, no. 3, pp. 221-235, viewed on 2/10/2016 </w:t>
      </w:r>
      <w:r w:rsidRPr="003F1AF9">
        <w:rPr>
          <w:rStyle w:val="HTMLCite"/>
          <w:rFonts w:asciiTheme="majorBidi" w:hAnsiTheme="majorBidi" w:cstheme="majorBidi"/>
        </w:rPr>
        <w:t>&lt;</w:t>
      </w:r>
      <w:hyperlink r:id="rId13" w:history="1">
        <w:r w:rsidRPr="003F1AF9">
          <w:rPr>
            <w:rStyle w:val="Hyperlink"/>
            <w:rFonts w:asciiTheme="majorBidi" w:hAnsiTheme="majorBidi" w:cstheme="majorBidi"/>
            <w:color w:val="auto"/>
            <w:u w:val="none"/>
          </w:rPr>
          <w:t>http://dx.doi.org/10.1080/1091367X.2013.805139</w:t>
        </w:r>
      </w:hyperlink>
      <w:r w:rsidRPr="003F1AF9">
        <w:rPr>
          <w:rFonts w:asciiTheme="majorBidi" w:hAnsiTheme="majorBidi" w:cstheme="majorBidi"/>
        </w:rPr>
        <w:t>&gt;.</w:t>
      </w:r>
    </w:p>
    <w:p w:rsidR="0021784A" w:rsidRPr="0021784A" w:rsidRDefault="0021784A" w:rsidP="0021784A">
      <w:pPr>
        <w:rPr>
          <w:rStyle w:val="citation"/>
          <w:rFonts w:asciiTheme="majorBidi" w:hAnsiTheme="majorBidi" w:cstheme="majorBidi"/>
        </w:rPr>
      </w:pPr>
      <w:r>
        <w:rPr>
          <w:rFonts w:asciiTheme="majorBidi" w:hAnsiTheme="majorBidi" w:cstheme="majorBidi"/>
        </w:rPr>
        <w:t>Koltyn, KF, Garvin, AW, Gardiner, RL &amp; Nelson, TF 1996, ‘</w:t>
      </w:r>
      <w:r w:rsidRPr="001E5039">
        <w:rPr>
          <w:rFonts w:asciiTheme="majorBidi" w:hAnsiTheme="majorBidi" w:cstheme="majorBidi"/>
        </w:rPr>
        <w:t xml:space="preserve">Perception of </w:t>
      </w:r>
      <w:r>
        <w:rPr>
          <w:rFonts w:asciiTheme="majorBidi" w:hAnsiTheme="majorBidi" w:cstheme="majorBidi"/>
        </w:rPr>
        <w:t>pain following aerobic exercise’,</w:t>
      </w:r>
      <w:r w:rsidRPr="001E5039">
        <w:rPr>
          <w:rFonts w:asciiTheme="majorBidi" w:hAnsiTheme="majorBidi" w:cstheme="majorBidi"/>
        </w:rPr>
        <w:t xml:space="preserve"> </w:t>
      </w:r>
      <w:r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28</w:t>
      </w:r>
      <w:r>
        <w:rPr>
          <w:rFonts w:asciiTheme="majorBidi" w:hAnsiTheme="majorBidi" w:cstheme="majorBidi"/>
        </w:rPr>
        <w:t xml:space="preserve">, no. 11, pp. </w:t>
      </w:r>
      <w:r w:rsidRPr="001E5039">
        <w:rPr>
          <w:rFonts w:asciiTheme="majorBidi" w:hAnsiTheme="majorBidi" w:cstheme="majorBidi"/>
        </w:rPr>
        <w:t>1418-</w:t>
      </w:r>
      <w:r>
        <w:rPr>
          <w:rFonts w:asciiTheme="majorBidi" w:hAnsiTheme="majorBidi" w:cstheme="majorBidi"/>
        </w:rPr>
        <w:t>14</w:t>
      </w:r>
      <w:r w:rsidRPr="001E5039">
        <w:rPr>
          <w:rFonts w:asciiTheme="majorBidi" w:hAnsiTheme="majorBidi" w:cstheme="majorBidi"/>
        </w:rPr>
        <w:t xml:space="preserve">21. </w:t>
      </w:r>
    </w:p>
    <w:p w:rsidR="00EA7CC5" w:rsidRPr="0038418F" w:rsidRDefault="00EA7CC5" w:rsidP="00EA7CC5">
      <w:pPr>
        <w:spacing w:after="0" w:line="240" w:lineRule="auto"/>
        <w:jc w:val="both"/>
        <w:rPr>
          <w:rFonts w:asciiTheme="majorBidi" w:hAnsiTheme="majorBidi" w:cstheme="majorBidi"/>
        </w:rPr>
      </w:pPr>
      <w:r w:rsidRPr="0038418F">
        <w:rPr>
          <w:rFonts w:asciiTheme="majorBidi" w:hAnsiTheme="majorBidi" w:cstheme="majorBidi"/>
        </w:rPr>
        <w:t xml:space="preserve">Le Bars, D, Dickenson, AH &amp; Besson, JM 1979, ‘Diffuse noxious inhibitory controls (DNIC): I. effects on dorsal horn convergent neurons in the rat’, </w:t>
      </w:r>
      <w:r w:rsidRPr="0038418F">
        <w:rPr>
          <w:rFonts w:asciiTheme="majorBidi" w:hAnsiTheme="majorBidi" w:cstheme="majorBidi"/>
          <w:i/>
          <w:iCs/>
        </w:rPr>
        <w:t>Pain</w:t>
      </w:r>
      <w:r w:rsidRPr="0038418F">
        <w:rPr>
          <w:rFonts w:asciiTheme="majorBidi" w:hAnsiTheme="majorBidi" w:cstheme="majorBidi"/>
        </w:rPr>
        <w:t>, vol. 6, pp. 283-304.</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Lewis, GN, Heales, L, Rice, DA, Rome, K &amp; McNair, PJ 2012b, ‘Reliability of the conditioned pain modulation paradigm to assess endogenous inhibitory pain pathways’, </w:t>
      </w:r>
      <w:r w:rsidRPr="0038418F">
        <w:rPr>
          <w:rFonts w:asciiTheme="majorBidi" w:hAnsiTheme="majorBidi" w:cstheme="majorBidi"/>
          <w:i/>
          <w:iCs/>
        </w:rPr>
        <w:t>Pain Research and Management</w:t>
      </w:r>
      <w:r w:rsidRPr="0038418F">
        <w:rPr>
          <w:rFonts w:asciiTheme="majorBidi" w:hAnsiTheme="majorBidi" w:cstheme="majorBidi"/>
        </w:rPr>
        <w:t>, vol. 17, no. 2, pp. 98-102.</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Lewis, GN, Rice, DA &amp; McNair, PJ 2012a, ‘Conditioned pain modulations in populations with chronic pain: a systematic review and meta-analysis’, </w:t>
      </w:r>
      <w:r w:rsidRPr="0038418F">
        <w:rPr>
          <w:rFonts w:asciiTheme="majorBidi" w:hAnsiTheme="majorBidi" w:cstheme="majorBidi"/>
          <w:i/>
          <w:iCs/>
        </w:rPr>
        <w:t>The Journal of Pain</w:t>
      </w:r>
      <w:r w:rsidRPr="0038418F">
        <w:rPr>
          <w:rFonts w:asciiTheme="majorBidi" w:hAnsiTheme="majorBidi" w:cstheme="majorBidi"/>
        </w:rPr>
        <w:t xml:space="preserve">, vol. 13, no. 10, pp. 936-944. </w:t>
      </w:r>
    </w:p>
    <w:p w:rsidR="00EA7CC5" w:rsidRPr="0038418F" w:rsidRDefault="00EA7CC5" w:rsidP="00EA7CC5">
      <w:pPr>
        <w:spacing w:after="0" w:line="240" w:lineRule="auto"/>
        <w:jc w:val="both"/>
        <w:rPr>
          <w:rFonts w:asciiTheme="majorBidi" w:hAnsiTheme="majorBidi" w:cstheme="majorBidi"/>
        </w:rPr>
      </w:pPr>
    </w:p>
    <w:p w:rsidR="00EA7CC5" w:rsidRDefault="00EA7CC5" w:rsidP="00EA7CC5">
      <w:pPr>
        <w:spacing w:after="0" w:line="240" w:lineRule="auto"/>
        <w:jc w:val="both"/>
        <w:rPr>
          <w:rFonts w:asciiTheme="majorBidi" w:hAnsiTheme="majorBidi" w:cstheme="majorBidi"/>
        </w:rPr>
      </w:pPr>
      <w:r w:rsidRPr="0038418F">
        <w:rPr>
          <w:rFonts w:asciiTheme="majorBidi" w:hAnsiTheme="majorBidi" w:cstheme="majorBidi"/>
        </w:rPr>
        <w:t xml:space="preserve">Locke, D, Gibson, W, Moss, P, Munyard, K, Mamotte, C &amp; Wright, A 2014, ‘Analysis of meaningful conditioned pain modulation effect in a pain-free adult population’, </w:t>
      </w:r>
      <w:r w:rsidRPr="0038418F">
        <w:rPr>
          <w:rFonts w:asciiTheme="majorBidi" w:hAnsiTheme="majorBidi" w:cstheme="majorBidi"/>
          <w:i/>
          <w:iCs/>
        </w:rPr>
        <w:t>The Journal of Pain</w:t>
      </w:r>
      <w:r w:rsidRPr="0038418F">
        <w:rPr>
          <w:rFonts w:asciiTheme="majorBidi" w:hAnsiTheme="majorBidi" w:cstheme="majorBidi"/>
        </w:rPr>
        <w:t>, vol. 15, no. 11, pp. 1190-1198.</w:t>
      </w:r>
    </w:p>
    <w:p w:rsidR="0061772D" w:rsidRDefault="0061772D" w:rsidP="00EA7CC5">
      <w:pPr>
        <w:spacing w:after="0" w:line="240" w:lineRule="auto"/>
        <w:jc w:val="both"/>
        <w:rPr>
          <w:rFonts w:asciiTheme="majorBidi" w:hAnsiTheme="majorBidi" w:cstheme="majorBidi"/>
        </w:rPr>
      </w:pPr>
    </w:p>
    <w:p w:rsidR="00EA7CC5" w:rsidRPr="0038418F" w:rsidRDefault="0061772D" w:rsidP="0061772D">
      <w:pPr>
        <w:rPr>
          <w:rFonts w:asciiTheme="majorBidi" w:hAnsiTheme="majorBidi" w:cstheme="majorBidi"/>
        </w:rPr>
      </w:pPr>
      <w:r>
        <w:rPr>
          <w:rFonts w:asciiTheme="majorBidi" w:hAnsiTheme="majorBidi" w:cstheme="majorBidi"/>
        </w:rPr>
        <w:t xml:space="preserve">Naugle, KM, Naugle, KE, Fillingim, </w:t>
      </w:r>
      <w:r w:rsidRPr="001E5039">
        <w:rPr>
          <w:rFonts w:asciiTheme="majorBidi" w:hAnsiTheme="majorBidi" w:cstheme="majorBidi"/>
        </w:rPr>
        <w:t>RB, Samuels</w:t>
      </w:r>
      <w:r>
        <w:rPr>
          <w:rFonts w:asciiTheme="majorBidi" w:hAnsiTheme="majorBidi" w:cstheme="majorBidi"/>
        </w:rPr>
        <w:t xml:space="preserve">, B &amp; Riley, </w:t>
      </w:r>
      <w:r w:rsidRPr="001E5039">
        <w:rPr>
          <w:rFonts w:asciiTheme="majorBidi" w:hAnsiTheme="majorBidi" w:cstheme="majorBidi"/>
        </w:rPr>
        <w:t xml:space="preserve">JL, 3rd. </w:t>
      </w:r>
      <w:r>
        <w:rPr>
          <w:rFonts w:asciiTheme="majorBidi" w:hAnsiTheme="majorBidi" w:cstheme="majorBidi"/>
        </w:rPr>
        <w:t>2014, ‘Intensity thresholds for a</w:t>
      </w:r>
      <w:r w:rsidRPr="001E5039">
        <w:rPr>
          <w:rFonts w:asciiTheme="majorBidi" w:hAnsiTheme="majorBidi" w:cstheme="majorBidi"/>
        </w:rPr>
        <w:t>erob</w:t>
      </w:r>
      <w:r>
        <w:rPr>
          <w:rFonts w:asciiTheme="majorBidi" w:hAnsiTheme="majorBidi" w:cstheme="majorBidi"/>
        </w:rPr>
        <w:t xml:space="preserve">ic exercise-induced hypoalgesia’, </w:t>
      </w:r>
      <w:r w:rsidRPr="0061772D">
        <w:rPr>
          <w:rFonts w:asciiTheme="majorBidi" w:hAnsiTheme="majorBidi" w:cstheme="majorBidi"/>
          <w:i/>
          <w:iCs/>
        </w:rPr>
        <w:t>Medicine and Science in Sports Exercise</w:t>
      </w:r>
      <w:r>
        <w:rPr>
          <w:rFonts w:asciiTheme="majorBidi" w:hAnsiTheme="majorBidi" w:cstheme="majorBidi"/>
        </w:rPr>
        <w:t xml:space="preserve">, vol. 46, no. 4, pp. </w:t>
      </w:r>
      <w:r w:rsidRPr="001E5039">
        <w:rPr>
          <w:rFonts w:asciiTheme="majorBidi" w:hAnsiTheme="majorBidi" w:cstheme="majorBidi"/>
        </w:rPr>
        <w:t>817-</w:t>
      </w:r>
      <w:r>
        <w:rPr>
          <w:rFonts w:asciiTheme="majorBidi" w:hAnsiTheme="majorBidi" w:cstheme="majorBidi"/>
        </w:rPr>
        <w:t>8</w:t>
      </w:r>
      <w:r w:rsidRPr="001E5039">
        <w:rPr>
          <w:rFonts w:asciiTheme="majorBidi" w:hAnsiTheme="majorBidi" w:cstheme="majorBidi"/>
        </w:rPr>
        <w:t>25.</w:t>
      </w:r>
    </w:p>
    <w:p w:rsidR="00EA7CC5" w:rsidRDefault="00EA7CC5" w:rsidP="00EA7CC5">
      <w:pPr>
        <w:spacing w:after="0" w:line="240" w:lineRule="auto"/>
        <w:jc w:val="both"/>
        <w:rPr>
          <w:rFonts w:asciiTheme="majorBidi" w:hAnsiTheme="majorBidi" w:cstheme="majorBidi"/>
        </w:rPr>
      </w:pPr>
      <w:r w:rsidRPr="0038418F">
        <w:rPr>
          <w:rFonts w:asciiTheme="majorBidi" w:hAnsiTheme="majorBidi" w:cstheme="majorBidi"/>
        </w:rPr>
        <w:t>Nir, RR &amp; Yarnitsky, D 2015, ‘Conditioned pain modulation’</w:t>
      </w:r>
      <w:r w:rsidRPr="0038418F">
        <w:rPr>
          <w:rFonts w:asciiTheme="majorBidi" w:hAnsiTheme="majorBidi" w:cstheme="majorBidi"/>
          <w:i/>
          <w:iCs/>
        </w:rPr>
        <w:t xml:space="preserve">, Current Opinion in Supportive and Palliative Care, </w:t>
      </w:r>
      <w:r w:rsidRPr="0038418F">
        <w:rPr>
          <w:rFonts w:asciiTheme="majorBidi" w:hAnsiTheme="majorBidi" w:cstheme="majorBidi"/>
        </w:rPr>
        <w:t xml:space="preserve">vol. 9, no. 2, pp. 131-137. </w:t>
      </w:r>
    </w:p>
    <w:p w:rsidR="003F1AF9" w:rsidRDefault="003F1AF9" w:rsidP="00EA7CC5">
      <w:pPr>
        <w:spacing w:after="0" w:line="240" w:lineRule="auto"/>
        <w:jc w:val="both"/>
        <w:rPr>
          <w:rFonts w:asciiTheme="majorBidi" w:hAnsiTheme="majorBidi" w:cstheme="majorBidi"/>
        </w:rPr>
      </w:pPr>
    </w:p>
    <w:p w:rsidR="00EA7CC5" w:rsidRPr="0038418F" w:rsidRDefault="003F1AF9" w:rsidP="003F1AF9">
      <w:pPr>
        <w:rPr>
          <w:rFonts w:asciiTheme="majorBidi" w:hAnsiTheme="majorBidi" w:cstheme="majorBidi"/>
        </w:rPr>
      </w:pPr>
      <w:r>
        <w:rPr>
          <w:rFonts w:asciiTheme="majorBidi" w:hAnsiTheme="majorBidi" w:cstheme="majorBidi"/>
        </w:rPr>
        <w:t xml:space="preserve">Norton, K &amp; Norton L 2011, </w:t>
      </w:r>
      <w:r>
        <w:rPr>
          <w:rFonts w:asciiTheme="majorBidi" w:hAnsiTheme="majorBidi" w:cstheme="majorBidi"/>
          <w:i/>
          <w:iCs/>
        </w:rPr>
        <w:t>Pre-exercise screening: a guide to the Australian adult pre-exercise screening tool</w:t>
      </w:r>
      <w:r>
        <w:rPr>
          <w:rFonts w:asciiTheme="majorBidi" w:hAnsiTheme="majorBidi" w:cstheme="majorBidi"/>
        </w:rPr>
        <w:t xml:space="preserve">, </w:t>
      </w:r>
      <w:r>
        <w:rPr>
          <w:rFonts w:asciiTheme="majorBidi" w:eastAsia="Times New Roman" w:hAnsiTheme="majorBidi" w:cstheme="majorBidi"/>
        </w:rPr>
        <w:t>E</w:t>
      </w:r>
      <w:r>
        <w:rPr>
          <w:rFonts w:asciiTheme="majorBidi" w:hAnsiTheme="majorBidi" w:cstheme="majorBidi"/>
        </w:rPr>
        <w:t xml:space="preserve">xercise and Sport Science Australia (ESSA), Fitness Australia (FA), and Sports Medicine Australia (SMA), Australia. </w:t>
      </w:r>
    </w:p>
    <w:p w:rsidR="00EA7CC5" w:rsidRPr="0038418F" w:rsidRDefault="00EA7CC5" w:rsidP="00EA7CC5">
      <w:pPr>
        <w:spacing w:after="0" w:line="240" w:lineRule="auto"/>
        <w:jc w:val="both"/>
        <w:rPr>
          <w:rFonts w:asciiTheme="majorBidi" w:eastAsia="Times New Roman" w:hAnsiTheme="majorBidi" w:cstheme="majorBidi"/>
          <w:kern w:val="36"/>
        </w:rPr>
      </w:pPr>
      <w:r w:rsidRPr="0038418F">
        <w:rPr>
          <w:rFonts w:asciiTheme="majorBidi" w:eastAsia="Times New Roman" w:hAnsiTheme="majorBidi" w:cstheme="majorBidi"/>
          <w:kern w:val="36"/>
        </w:rPr>
        <w:t xml:space="preserve">Oono, Y, Nie, H, Matos, RL, Wang, K &amp; Arendt-Nielson, L 2011, ‘The inter- and intra-individual variance in descending pain modulation evoked by different conditioning stimuli in healthy men’, </w:t>
      </w:r>
      <w:r w:rsidRPr="0038418F">
        <w:rPr>
          <w:rFonts w:asciiTheme="majorBidi" w:eastAsia="Times New Roman" w:hAnsiTheme="majorBidi" w:cstheme="majorBidi"/>
          <w:i/>
          <w:iCs/>
          <w:kern w:val="36"/>
        </w:rPr>
        <w:t>Scandinavian Journal of Pain,</w:t>
      </w:r>
      <w:r w:rsidRPr="0038418F">
        <w:rPr>
          <w:rFonts w:asciiTheme="majorBidi" w:eastAsia="Times New Roman" w:hAnsiTheme="majorBidi" w:cstheme="majorBidi"/>
          <w:kern w:val="36"/>
        </w:rPr>
        <w:t xml:space="preserve"> vol. 2, no. 4, pp. 162-169. </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Paungmali, A, O’Leary, S, Souvlis, T &amp; Vicenzino, B 2003, ‘Hypoalgesic and sympathoexcitatory effects of mobilization with movement for lateral epicondylalgia’, </w:t>
      </w:r>
      <w:r w:rsidRPr="0038418F">
        <w:rPr>
          <w:rFonts w:asciiTheme="majorBidi" w:hAnsiTheme="majorBidi" w:cstheme="majorBidi"/>
          <w:i/>
          <w:iCs/>
        </w:rPr>
        <w:t>Physical Therapy</w:t>
      </w:r>
      <w:r w:rsidRPr="0038418F">
        <w:rPr>
          <w:rFonts w:asciiTheme="majorBidi" w:hAnsiTheme="majorBidi" w:cstheme="majorBidi"/>
        </w:rPr>
        <w:t xml:space="preserve">, vol. 83, no. 4, pp. 374-383. </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Pud, D, Granovsky, Y &amp; Yarnitsky, D 2009, ‘The methodology of experimentally induced diffuse noxious inhibitory control (DNIC)-like effect in humans’, </w:t>
      </w:r>
      <w:r w:rsidRPr="0038418F">
        <w:rPr>
          <w:rFonts w:asciiTheme="majorBidi" w:hAnsiTheme="majorBidi" w:cstheme="majorBidi"/>
          <w:i/>
          <w:iCs/>
        </w:rPr>
        <w:t>Pain</w:t>
      </w:r>
      <w:r w:rsidRPr="0038418F">
        <w:rPr>
          <w:rFonts w:asciiTheme="majorBidi" w:hAnsiTheme="majorBidi" w:cstheme="majorBidi"/>
        </w:rPr>
        <w:t>, vol. 144, pp. 16-19.</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jc w:val="both"/>
        <w:rPr>
          <w:rStyle w:val="citation"/>
          <w:rFonts w:asciiTheme="majorBidi" w:hAnsiTheme="majorBidi" w:cstheme="majorBidi"/>
        </w:rPr>
      </w:pPr>
      <w:r w:rsidRPr="0038418F">
        <w:rPr>
          <w:rStyle w:val="citation"/>
          <w:rFonts w:asciiTheme="majorBidi" w:hAnsiTheme="majorBidi" w:cstheme="majorBidi"/>
        </w:rPr>
        <w:t xml:space="preserve">Reinert, A, Treede, RD &amp; Bromm, B 2000, ‘The pain inhibiting pain effect: an electrophysiological study in humans’, </w:t>
      </w:r>
      <w:r w:rsidRPr="0038418F">
        <w:rPr>
          <w:rStyle w:val="ref-journal"/>
          <w:rFonts w:asciiTheme="majorBidi" w:hAnsiTheme="majorBidi" w:cstheme="majorBidi"/>
          <w:i/>
          <w:iCs/>
        </w:rPr>
        <w:t>Brain Research,</w:t>
      </w:r>
      <w:r w:rsidRPr="0038418F">
        <w:rPr>
          <w:rStyle w:val="ref-journal"/>
          <w:rFonts w:asciiTheme="majorBidi" w:hAnsiTheme="majorBidi" w:cstheme="majorBidi"/>
        </w:rPr>
        <w:t xml:space="preserve"> vol. </w:t>
      </w:r>
      <w:r w:rsidRPr="0038418F">
        <w:rPr>
          <w:rStyle w:val="ref-vol"/>
          <w:rFonts w:asciiTheme="majorBidi" w:hAnsiTheme="majorBidi" w:cstheme="majorBidi"/>
        </w:rPr>
        <w:t>862</w:t>
      </w:r>
      <w:r w:rsidRPr="0038418F">
        <w:rPr>
          <w:rStyle w:val="citation"/>
          <w:rFonts w:asciiTheme="majorBidi" w:hAnsiTheme="majorBidi" w:cstheme="majorBidi"/>
        </w:rPr>
        <w:t xml:space="preserve">, pp. 103–110. </w:t>
      </w:r>
    </w:p>
    <w:p w:rsidR="00EA7CC5" w:rsidRPr="0038418F" w:rsidRDefault="00EA7CC5" w:rsidP="00EA7CC5">
      <w:pPr>
        <w:spacing w:after="0" w:line="240" w:lineRule="auto"/>
        <w:jc w:val="both"/>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Skyba, DA Radhakrishnan, R, Rohlwing, JJ, Wright, A &amp; Sluka, KA 2003, ‘Joint manipulation reduces hyperalgesia by activation of monoamine receptors but not opioid or GABA receptors in the spinal cord’, </w:t>
      </w:r>
      <w:r w:rsidRPr="0038418F">
        <w:rPr>
          <w:rFonts w:asciiTheme="majorBidi" w:hAnsiTheme="majorBidi" w:cstheme="majorBidi"/>
          <w:i/>
          <w:iCs/>
        </w:rPr>
        <w:t>Pain</w:t>
      </w:r>
      <w:r w:rsidRPr="0038418F">
        <w:rPr>
          <w:rFonts w:asciiTheme="majorBidi" w:hAnsiTheme="majorBidi" w:cstheme="majorBidi"/>
        </w:rPr>
        <w:t xml:space="preserve">, vol. 106, no. 1-2, pp. 159–168. </w:t>
      </w:r>
    </w:p>
    <w:p w:rsidR="00EA7CC5" w:rsidRPr="0038418F" w:rsidRDefault="00EA7CC5" w:rsidP="00EA7CC5">
      <w:pPr>
        <w:spacing w:after="0" w:line="240" w:lineRule="auto"/>
        <w:jc w:val="both"/>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Sluka, KA &amp; Wright, A 2001, ‘Knee joint mobilization reduces secondary mechanical hyperalgesia induced by capsaicin injection into the ankle joint’, </w:t>
      </w:r>
      <w:r w:rsidRPr="0038418F">
        <w:rPr>
          <w:rFonts w:asciiTheme="majorBidi" w:hAnsiTheme="majorBidi" w:cstheme="majorBidi"/>
          <w:i/>
          <w:iCs/>
        </w:rPr>
        <w:t>European Journal of Pain</w:t>
      </w:r>
      <w:r w:rsidRPr="0038418F">
        <w:rPr>
          <w:rFonts w:asciiTheme="majorBidi" w:hAnsiTheme="majorBidi" w:cstheme="majorBidi"/>
        </w:rPr>
        <w:t xml:space="preserve">, vol. 5, pp. 81-87. </w:t>
      </w:r>
    </w:p>
    <w:p w:rsidR="00EA7CC5" w:rsidRPr="0038418F" w:rsidRDefault="00EA7CC5" w:rsidP="00EA7CC5">
      <w:pPr>
        <w:spacing w:after="0" w:line="240" w:lineRule="auto"/>
        <w:rPr>
          <w:rFonts w:asciiTheme="majorBidi" w:hAnsiTheme="majorBidi" w:cstheme="majorBidi"/>
          <w:color w:val="000000" w:themeColor="text1"/>
        </w:rPr>
      </w:pPr>
    </w:p>
    <w:p w:rsidR="0021784A" w:rsidRDefault="004B0F64" w:rsidP="0021784A">
      <w:pPr>
        <w:spacing w:after="0" w:line="240" w:lineRule="auto"/>
        <w:rPr>
          <w:rFonts w:asciiTheme="majorBidi" w:hAnsiTheme="majorBidi" w:cstheme="majorBidi"/>
          <w:color w:val="000000" w:themeColor="text1"/>
        </w:rPr>
      </w:pPr>
      <w:hyperlink r:id="rId14" w:history="1">
        <w:r w:rsidR="00EA7CC5" w:rsidRPr="0038418F">
          <w:rPr>
            <w:rStyle w:val="Hyperlink"/>
            <w:rFonts w:asciiTheme="majorBidi" w:hAnsiTheme="majorBidi" w:cstheme="majorBidi"/>
            <w:color w:val="000000" w:themeColor="text1"/>
            <w:u w:val="none"/>
          </w:rPr>
          <w:t>Smidt, N</w:t>
        </w:r>
      </w:hyperlink>
      <w:r w:rsidR="00EA7CC5" w:rsidRPr="0038418F">
        <w:rPr>
          <w:rFonts w:asciiTheme="majorBidi" w:hAnsiTheme="majorBidi" w:cstheme="majorBidi"/>
          <w:color w:val="000000" w:themeColor="text1"/>
        </w:rPr>
        <w:t xml:space="preserve">, </w:t>
      </w:r>
      <w:hyperlink r:id="rId15" w:history="1">
        <w:r w:rsidR="00EA7CC5" w:rsidRPr="0038418F">
          <w:rPr>
            <w:rStyle w:val="Hyperlink"/>
            <w:rFonts w:asciiTheme="majorBidi" w:hAnsiTheme="majorBidi" w:cstheme="majorBidi"/>
            <w:color w:val="000000" w:themeColor="text1"/>
            <w:u w:val="none"/>
          </w:rPr>
          <w:t>van der Windt, DA</w:t>
        </w:r>
      </w:hyperlink>
      <w:r w:rsidR="00EA7CC5" w:rsidRPr="0038418F">
        <w:rPr>
          <w:rFonts w:asciiTheme="majorBidi" w:hAnsiTheme="majorBidi" w:cstheme="majorBidi"/>
          <w:color w:val="000000" w:themeColor="text1"/>
        </w:rPr>
        <w:t xml:space="preserve">, </w:t>
      </w:r>
      <w:hyperlink r:id="rId16" w:history="1">
        <w:r w:rsidR="00EA7CC5" w:rsidRPr="0038418F">
          <w:rPr>
            <w:rStyle w:val="Hyperlink"/>
            <w:rFonts w:asciiTheme="majorBidi" w:hAnsiTheme="majorBidi" w:cstheme="majorBidi"/>
            <w:color w:val="000000" w:themeColor="text1"/>
            <w:u w:val="none"/>
          </w:rPr>
          <w:t>Assendelft, WJ</w:t>
        </w:r>
      </w:hyperlink>
      <w:r w:rsidR="00EA7CC5" w:rsidRPr="0038418F">
        <w:rPr>
          <w:rFonts w:asciiTheme="majorBidi" w:hAnsiTheme="majorBidi" w:cstheme="majorBidi"/>
          <w:color w:val="000000" w:themeColor="text1"/>
        </w:rPr>
        <w:t xml:space="preserve">, </w:t>
      </w:r>
      <w:hyperlink r:id="rId17" w:history="1">
        <w:r w:rsidR="00EA7CC5" w:rsidRPr="0038418F">
          <w:rPr>
            <w:rStyle w:val="Hyperlink"/>
            <w:rFonts w:asciiTheme="majorBidi" w:hAnsiTheme="majorBidi" w:cstheme="majorBidi"/>
            <w:color w:val="000000" w:themeColor="text1"/>
            <w:u w:val="none"/>
          </w:rPr>
          <w:t>Mourits, AJ</w:t>
        </w:r>
      </w:hyperlink>
      <w:r w:rsidR="00EA7CC5" w:rsidRPr="0038418F">
        <w:rPr>
          <w:rFonts w:asciiTheme="majorBidi" w:hAnsiTheme="majorBidi" w:cstheme="majorBidi"/>
          <w:color w:val="000000" w:themeColor="text1"/>
        </w:rPr>
        <w:t xml:space="preserve">, </w:t>
      </w:r>
      <w:hyperlink r:id="rId18" w:history="1">
        <w:r w:rsidR="00EA7CC5" w:rsidRPr="0038418F">
          <w:rPr>
            <w:rStyle w:val="Hyperlink"/>
            <w:rFonts w:asciiTheme="majorBidi" w:hAnsiTheme="majorBidi" w:cstheme="majorBidi"/>
            <w:color w:val="000000" w:themeColor="text1"/>
            <w:u w:val="none"/>
          </w:rPr>
          <w:t>Devillé, WL</w:t>
        </w:r>
      </w:hyperlink>
      <w:r w:rsidR="00EA7CC5" w:rsidRPr="0038418F">
        <w:rPr>
          <w:rFonts w:asciiTheme="majorBidi" w:hAnsiTheme="majorBidi" w:cstheme="majorBidi"/>
          <w:color w:val="000000" w:themeColor="text1"/>
        </w:rPr>
        <w:t xml:space="preserve">, </w:t>
      </w:r>
      <w:hyperlink r:id="rId19" w:history="1">
        <w:r w:rsidR="00EA7CC5" w:rsidRPr="0038418F">
          <w:rPr>
            <w:rStyle w:val="Hyperlink"/>
            <w:rFonts w:asciiTheme="majorBidi" w:hAnsiTheme="majorBidi" w:cstheme="majorBidi"/>
            <w:color w:val="000000" w:themeColor="text1"/>
            <w:u w:val="none"/>
          </w:rPr>
          <w:t>de Winter, AF</w:t>
        </w:r>
      </w:hyperlink>
      <w:r w:rsidR="00EA7CC5" w:rsidRPr="0038418F">
        <w:rPr>
          <w:rFonts w:asciiTheme="majorBidi" w:hAnsiTheme="majorBidi" w:cstheme="majorBidi"/>
          <w:color w:val="000000" w:themeColor="text1"/>
        </w:rPr>
        <w:t xml:space="preserve"> &amp; </w:t>
      </w:r>
      <w:hyperlink r:id="rId20" w:history="1">
        <w:r w:rsidR="00EA7CC5" w:rsidRPr="0038418F">
          <w:rPr>
            <w:rStyle w:val="Hyperlink"/>
            <w:rFonts w:asciiTheme="majorBidi" w:hAnsiTheme="majorBidi" w:cstheme="majorBidi"/>
            <w:color w:val="000000" w:themeColor="text1"/>
            <w:u w:val="none"/>
          </w:rPr>
          <w:t>Bouter, LM</w:t>
        </w:r>
      </w:hyperlink>
      <w:r w:rsidR="00EA7CC5" w:rsidRPr="0038418F">
        <w:rPr>
          <w:rFonts w:asciiTheme="majorBidi" w:hAnsiTheme="majorBidi" w:cstheme="majorBidi"/>
          <w:color w:val="000000" w:themeColor="text1"/>
        </w:rPr>
        <w:t xml:space="preserve"> 2002 ‘Interobserver reproducibility of the assessment of severity of complaints, grip strength, and pressure pain threshold in patients with lateral epicondylitis’, </w:t>
      </w:r>
      <w:r w:rsidR="00EA7CC5" w:rsidRPr="0038418F">
        <w:rPr>
          <w:rFonts w:asciiTheme="majorBidi" w:hAnsiTheme="majorBidi" w:cstheme="majorBidi"/>
          <w:i/>
          <w:iCs/>
          <w:color w:val="000000" w:themeColor="text1"/>
        </w:rPr>
        <w:t>Archives of Physical Medicine and Rehabilitation</w:t>
      </w:r>
      <w:r w:rsidR="00EA7CC5" w:rsidRPr="0038418F">
        <w:rPr>
          <w:rFonts w:asciiTheme="majorBidi" w:hAnsiTheme="majorBidi" w:cstheme="majorBidi"/>
          <w:color w:val="000000" w:themeColor="text1"/>
        </w:rPr>
        <w:t xml:space="preserve">, </w:t>
      </w:r>
      <w:hyperlink r:id="rId21" w:tooltip="Go to table of contents for this volume/issue" w:history="1">
        <w:r w:rsidR="00EA7CC5" w:rsidRPr="0038418F">
          <w:rPr>
            <w:rStyle w:val="Hyperlink"/>
            <w:rFonts w:asciiTheme="majorBidi" w:hAnsiTheme="majorBidi" w:cstheme="majorBidi"/>
            <w:color w:val="000000" w:themeColor="text1"/>
            <w:u w:val="none"/>
          </w:rPr>
          <w:t>vol. 83, no. 8</w:t>
        </w:r>
      </w:hyperlink>
      <w:r w:rsidR="00EA7CC5" w:rsidRPr="0038418F">
        <w:rPr>
          <w:rFonts w:asciiTheme="majorBidi" w:hAnsiTheme="majorBidi" w:cstheme="majorBidi"/>
          <w:color w:val="000000" w:themeColor="text1"/>
        </w:rPr>
        <w:t>, pp. 1145–1150.</w:t>
      </w:r>
    </w:p>
    <w:p w:rsidR="0021784A" w:rsidRPr="0021784A" w:rsidRDefault="0021784A" w:rsidP="0021784A">
      <w:pPr>
        <w:spacing w:after="0" w:line="240" w:lineRule="auto"/>
        <w:rPr>
          <w:rFonts w:asciiTheme="majorBidi" w:hAnsiTheme="majorBidi" w:cstheme="majorBidi"/>
          <w:color w:val="000000" w:themeColor="text1"/>
        </w:rPr>
      </w:pPr>
    </w:p>
    <w:p w:rsidR="0061772D" w:rsidRPr="0061772D" w:rsidRDefault="0061772D" w:rsidP="0021784A">
      <w:pPr>
        <w:rPr>
          <w:rFonts w:asciiTheme="majorBidi" w:hAnsiTheme="majorBidi" w:cstheme="majorBidi"/>
        </w:rPr>
      </w:pPr>
      <w:r w:rsidRPr="001E5039">
        <w:rPr>
          <w:rFonts w:asciiTheme="majorBidi" w:hAnsiTheme="majorBidi" w:cstheme="majorBidi"/>
        </w:rPr>
        <w:t>Swain</w:t>
      </w:r>
      <w:r>
        <w:rPr>
          <w:rFonts w:asciiTheme="majorBidi" w:hAnsiTheme="majorBidi" w:cstheme="majorBidi"/>
        </w:rPr>
        <w:t xml:space="preserve">, </w:t>
      </w:r>
      <w:r w:rsidRPr="001E5039">
        <w:rPr>
          <w:rFonts w:asciiTheme="majorBidi" w:hAnsiTheme="majorBidi" w:cstheme="majorBidi"/>
        </w:rPr>
        <w:t>DP,</w:t>
      </w:r>
      <w:r>
        <w:rPr>
          <w:rFonts w:asciiTheme="majorBidi" w:hAnsiTheme="majorBidi" w:cstheme="majorBidi"/>
        </w:rPr>
        <w:t xml:space="preserve"> </w:t>
      </w:r>
      <w:r w:rsidRPr="001E5039">
        <w:rPr>
          <w:rFonts w:asciiTheme="majorBidi" w:hAnsiTheme="majorBidi" w:cstheme="majorBidi"/>
        </w:rPr>
        <w:t>Abernathy</w:t>
      </w:r>
      <w:r>
        <w:rPr>
          <w:rFonts w:asciiTheme="majorBidi" w:hAnsiTheme="majorBidi" w:cstheme="majorBidi"/>
        </w:rPr>
        <w:t xml:space="preserve">, </w:t>
      </w:r>
      <w:r w:rsidRPr="001E5039">
        <w:rPr>
          <w:rFonts w:asciiTheme="majorBidi" w:hAnsiTheme="majorBidi" w:cstheme="majorBidi"/>
        </w:rPr>
        <w:t>KS,</w:t>
      </w:r>
      <w:r>
        <w:rPr>
          <w:rFonts w:asciiTheme="majorBidi" w:hAnsiTheme="majorBidi" w:cstheme="majorBidi"/>
        </w:rPr>
        <w:t xml:space="preserve"> </w:t>
      </w:r>
      <w:r w:rsidRPr="001E5039">
        <w:rPr>
          <w:rFonts w:asciiTheme="majorBidi" w:hAnsiTheme="majorBidi" w:cstheme="majorBidi"/>
        </w:rPr>
        <w:t>Smith</w:t>
      </w:r>
      <w:r>
        <w:rPr>
          <w:rFonts w:asciiTheme="majorBidi" w:hAnsiTheme="majorBidi" w:cstheme="majorBidi"/>
        </w:rPr>
        <w:t xml:space="preserve">, CS, </w:t>
      </w:r>
      <w:r w:rsidRPr="001E5039">
        <w:rPr>
          <w:rFonts w:asciiTheme="majorBidi" w:hAnsiTheme="majorBidi" w:cstheme="majorBidi"/>
        </w:rPr>
        <w:t>Lee</w:t>
      </w:r>
      <w:r>
        <w:rPr>
          <w:rFonts w:asciiTheme="majorBidi" w:hAnsiTheme="majorBidi" w:cstheme="majorBidi"/>
        </w:rPr>
        <w:t xml:space="preserve">, </w:t>
      </w:r>
      <w:r w:rsidRPr="001E5039">
        <w:rPr>
          <w:rFonts w:asciiTheme="majorBidi" w:hAnsiTheme="majorBidi" w:cstheme="majorBidi"/>
        </w:rPr>
        <w:t>SJ</w:t>
      </w:r>
      <w:r w:rsidR="0021784A">
        <w:rPr>
          <w:rFonts w:asciiTheme="majorBidi" w:hAnsiTheme="majorBidi" w:cstheme="majorBidi"/>
        </w:rPr>
        <w:t xml:space="preserve"> &amp; </w:t>
      </w:r>
      <w:r w:rsidRPr="001E5039">
        <w:rPr>
          <w:rFonts w:asciiTheme="majorBidi" w:hAnsiTheme="majorBidi" w:cstheme="majorBidi"/>
        </w:rPr>
        <w:t>Bunn</w:t>
      </w:r>
      <w:r>
        <w:rPr>
          <w:rFonts w:asciiTheme="majorBidi" w:hAnsiTheme="majorBidi" w:cstheme="majorBidi"/>
        </w:rPr>
        <w:t xml:space="preserve">, </w:t>
      </w:r>
      <w:r w:rsidRPr="001E5039">
        <w:rPr>
          <w:rFonts w:asciiTheme="majorBidi" w:hAnsiTheme="majorBidi" w:cstheme="majorBidi"/>
        </w:rPr>
        <w:t>SA</w:t>
      </w:r>
      <w:r>
        <w:rPr>
          <w:rFonts w:asciiTheme="majorBidi" w:hAnsiTheme="majorBidi" w:cstheme="majorBidi"/>
        </w:rPr>
        <w:t xml:space="preserve"> 1994, ‘</w:t>
      </w:r>
      <w:r w:rsidRPr="001E5039">
        <w:rPr>
          <w:rFonts w:asciiTheme="majorBidi" w:hAnsiTheme="majorBidi" w:cstheme="majorBidi"/>
        </w:rPr>
        <w:t>Target heart rates for the development of cardiorespiratory ﬁtness</w:t>
      </w:r>
      <w:r>
        <w:rPr>
          <w:rFonts w:asciiTheme="majorBidi" w:hAnsiTheme="majorBidi" w:cstheme="majorBidi"/>
        </w:rPr>
        <w:t xml:space="preserve">’, </w:t>
      </w:r>
      <w:r w:rsidR="0021784A"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26</w:t>
      </w:r>
      <w:r>
        <w:rPr>
          <w:rFonts w:asciiTheme="majorBidi" w:hAnsiTheme="majorBidi" w:cstheme="majorBidi"/>
        </w:rPr>
        <w:t xml:space="preserve">, no. 1, pp. </w:t>
      </w:r>
      <w:r w:rsidRPr="001E5039">
        <w:rPr>
          <w:rFonts w:asciiTheme="majorBidi" w:hAnsiTheme="majorBidi" w:cstheme="majorBidi"/>
        </w:rPr>
        <w:t>112–</w:t>
      </w:r>
      <w:r>
        <w:rPr>
          <w:rFonts w:asciiTheme="majorBidi" w:hAnsiTheme="majorBidi" w:cstheme="majorBidi"/>
        </w:rPr>
        <w:t>11</w:t>
      </w:r>
      <w:r w:rsidRPr="001E5039">
        <w:rPr>
          <w:rFonts w:asciiTheme="majorBidi" w:hAnsiTheme="majorBidi" w:cstheme="majorBidi"/>
        </w:rPr>
        <w:t>6.</w:t>
      </w:r>
    </w:p>
    <w:p w:rsidR="00EA7CC5" w:rsidRDefault="0061772D" w:rsidP="0061772D">
      <w:pPr>
        <w:rPr>
          <w:rFonts w:asciiTheme="majorBidi" w:hAnsiTheme="majorBidi" w:cstheme="majorBidi"/>
        </w:rPr>
      </w:pPr>
      <w:r w:rsidRPr="001E5039">
        <w:rPr>
          <w:rFonts w:asciiTheme="majorBidi" w:hAnsiTheme="majorBidi" w:cstheme="majorBidi"/>
        </w:rPr>
        <w:t xml:space="preserve">Vaegter, HB, Handberg, G &amp; Graven-Nielsen, T 2014, ‘Similarities between exercise induced hypoalgesia and conditioned pain modulation in humans’, </w:t>
      </w:r>
      <w:r w:rsidRPr="001E5039">
        <w:rPr>
          <w:rFonts w:asciiTheme="majorBidi" w:hAnsiTheme="majorBidi" w:cstheme="majorBidi"/>
          <w:i/>
          <w:iCs/>
        </w:rPr>
        <w:t>Pain</w:t>
      </w:r>
      <w:r w:rsidRPr="001E5039">
        <w:rPr>
          <w:rFonts w:asciiTheme="majorBidi" w:hAnsiTheme="majorBidi" w:cstheme="majorBidi"/>
        </w:rPr>
        <w:t>, vol. 155, no. 1, pp. 158</w:t>
      </w:r>
      <w:r>
        <w:rPr>
          <w:rFonts w:asciiTheme="majorBidi" w:hAnsiTheme="majorBidi" w:cstheme="majorBidi"/>
        </w:rPr>
        <w:t>-1</w:t>
      </w:r>
      <w:r w:rsidRPr="001E5039">
        <w:rPr>
          <w:rFonts w:asciiTheme="majorBidi" w:hAnsiTheme="majorBidi" w:cstheme="majorBidi"/>
        </w:rPr>
        <w:t>67</w:t>
      </w:r>
      <w:r>
        <w:rPr>
          <w:rFonts w:asciiTheme="majorBidi" w:hAnsiTheme="majorBidi" w:cstheme="majorBidi"/>
        </w:rPr>
        <w:t>.</w:t>
      </w:r>
    </w:p>
    <w:p w:rsidR="0061772D" w:rsidRDefault="0061772D" w:rsidP="0061772D">
      <w:pPr>
        <w:rPr>
          <w:rFonts w:asciiTheme="majorBidi" w:hAnsiTheme="majorBidi" w:cstheme="majorBidi"/>
        </w:rPr>
      </w:pPr>
      <w:r>
        <w:rPr>
          <w:rFonts w:asciiTheme="majorBidi" w:hAnsiTheme="majorBidi" w:cstheme="majorBidi"/>
        </w:rPr>
        <w:t>Vaegter, HB, Handberg, G &amp; Graven-Nielsen, T 2016, ‘</w:t>
      </w:r>
      <w:r w:rsidRPr="001E5039">
        <w:rPr>
          <w:rFonts w:asciiTheme="majorBidi" w:hAnsiTheme="majorBidi" w:cstheme="majorBidi"/>
        </w:rPr>
        <w:t>Hypoalgesi</w:t>
      </w:r>
      <w:r>
        <w:rPr>
          <w:rFonts w:asciiTheme="majorBidi" w:hAnsiTheme="majorBidi" w:cstheme="majorBidi"/>
        </w:rPr>
        <w:t>a after exericse and cold pressor test are reduced in chronic musculuskeletal pain p</w:t>
      </w:r>
      <w:r w:rsidRPr="001E5039">
        <w:rPr>
          <w:rFonts w:asciiTheme="majorBidi" w:hAnsiTheme="majorBidi" w:cstheme="majorBidi"/>
        </w:rPr>
        <w:t>ati</w:t>
      </w:r>
      <w:r w:rsidR="0021784A">
        <w:rPr>
          <w:rFonts w:asciiTheme="majorBidi" w:hAnsiTheme="majorBidi" w:cstheme="majorBidi"/>
        </w:rPr>
        <w:t>ents with high pain s</w:t>
      </w:r>
      <w:r>
        <w:rPr>
          <w:rFonts w:asciiTheme="majorBidi" w:hAnsiTheme="majorBidi" w:cstheme="majorBidi"/>
        </w:rPr>
        <w:t>ensitivity’,</w:t>
      </w:r>
      <w:r w:rsidRPr="001E5039">
        <w:rPr>
          <w:rFonts w:asciiTheme="majorBidi" w:hAnsiTheme="majorBidi" w:cstheme="majorBidi"/>
        </w:rPr>
        <w:t xml:space="preserve"> </w:t>
      </w:r>
      <w:r w:rsidR="0021784A">
        <w:rPr>
          <w:rFonts w:asciiTheme="majorBidi" w:hAnsiTheme="majorBidi" w:cstheme="majorBidi"/>
          <w:i/>
          <w:iCs/>
        </w:rPr>
        <w:t xml:space="preserve">The </w:t>
      </w:r>
      <w:r w:rsidRPr="001E5039">
        <w:rPr>
          <w:rFonts w:asciiTheme="majorBidi" w:hAnsiTheme="majorBidi" w:cstheme="majorBidi"/>
          <w:i/>
          <w:iCs/>
        </w:rPr>
        <w:t>Clinical Journal of Pain</w:t>
      </w:r>
      <w:r w:rsidR="0021784A">
        <w:rPr>
          <w:rFonts w:asciiTheme="majorBidi" w:hAnsiTheme="majorBidi" w:cstheme="majorBidi"/>
        </w:rPr>
        <w:t xml:space="preserve">, </w:t>
      </w:r>
      <w:r>
        <w:rPr>
          <w:rFonts w:asciiTheme="majorBidi" w:hAnsiTheme="majorBidi" w:cstheme="majorBidi"/>
        </w:rPr>
        <w:t xml:space="preserve">vol. </w:t>
      </w:r>
      <w:r w:rsidRPr="001E5039">
        <w:rPr>
          <w:rFonts w:asciiTheme="majorBidi" w:hAnsiTheme="majorBidi" w:cstheme="majorBidi"/>
        </w:rPr>
        <w:t>32</w:t>
      </w:r>
      <w:r>
        <w:rPr>
          <w:rFonts w:asciiTheme="majorBidi" w:hAnsiTheme="majorBidi" w:cstheme="majorBidi"/>
        </w:rPr>
        <w:t xml:space="preserve">, no. 1, pp. </w:t>
      </w:r>
      <w:r w:rsidRPr="001E5039">
        <w:rPr>
          <w:rFonts w:asciiTheme="majorBidi" w:hAnsiTheme="majorBidi" w:cstheme="majorBidi"/>
        </w:rPr>
        <w:t>58-69.</w:t>
      </w:r>
    </w:p>
    <w:p w:rsidR="008220C3" w:rsidRDefault="0061772D" w:rsidP="00EA7CC5">
      <w:pPr>
        <w:spacing w:after="0" w:line="240" w:lineRule="auto"/>
        <w:rPr>
          <w:rFonts w:asciiTheme="majorBidi" w:hAnsiTheme="majorBidi" w:cstheme="majorBidi"/>
        </w:rPr>
      </w:pPr>
      <w:r w:rsidRPr="0061772D">
        <w:rPr>
          <w:rFonts w:asciiTheme="majorBidi" w:hAnsiTheme="majorBidi" w:cstheme="majorBidi"/>
        </w:rPr>
        <w:t>Vaegter, H</w:t>
      </w:r>
      <w:r w:rsidR="008220C3" w:rsidRPr="0061772D">
        <w:rPr>
          <w:rFonts w:asciiTheme="majorBidi" w:hAnsiTheme="majorBidi" w:cstheme="majorBidi"/>
        </w:rPr>
        <w:t>B, Han</w:t>
      </w:r>
      <w:r w:rsidRPr="0061772D">
        <w:rPr>
          <w:rFonts w:asciiTheme="majorBidi" w:hAnsiTheme="majorBidi" w:cstheme="majorBidi"/>
        </w:rPr>
        <w:t xml:space="preserve">dberg, G, Jørgensen, MN, Kinly, A &amp; Graven-Nielsen, </w:t>
      </w:r>
      <w:r w:rsidR="008220C3" w:rsidRPr="0061772D">
        <w:rPr>
          <w:rFonts w:asciiTheme="majorBidi" w:hAnsiTheme="majorBidi" w:cstheme="majorBidi"/>
        </w:rPr>
        <w:t>T</w:t>
      </w:r>
      <w:r w:rsidRPr="0061772D">
        <w:rPr>
          <w:rFonts w:asciiTheme="majorBidi" w:hAnsiTheme="majorBidi" w:cstheme="majorBidi"/>
        </w:rPr>
        <w:t xml:space="preserve"> 2015, ‘</w:t>
      </w:r>
      <w:r>
        <w:rPr>
          <w:rFonts w:asciiTheme="majorBidi" w:hAnsiTheme="majorBidi" w:cstheme="majorBidi"/>
        </w:rPr>
        <w:t>Aerobic exercise and cold pressor test induce hypoalgesia in a</w:t>
      </w:r>
      <w:r w:rsidRPr="0061772D">
        <w:rPr>
          <w:rFonts w:asciiTheme="majorBidi" w:hAnsiTheme="majorBidi" w:cstheme="majorBidi"/>
        </w:rPr>
        <w:t>c</w:t>
      </w:r>
      <w:r>
        <w:rPr>
          <w:rFonts w:asciiTheme="majorBidi" w:hAnsiTheme="majorBidi" w:cstheme="majorBidi"/>
        </w:rPr>
        <w:t>tive and inactive men and w</w:t>
      </w:r>
      <w:r w:rsidRPr="0061772D">
        <w:rPr>
          <w:rFonts w:asciiTheme="majorBidi" w:hAnsiTheme="majorBidi" w:cstheme="majorBidi"/>
        </w:rPr>
        <w:t xml:space="preserve">omen’, </w:t>
      </w:r>
      <w:r w:rsidRPr="0061772D">
        <w:rPr>
          <w:rFonts w:asciiTheme="majorBidi" w:hAnsiTheme="majorBidi" w:cstheme="majorBidi"/>
          <w:i/>
          <w:iCs/>
        </w:rPr>
        <w:t>Pain Medicine</w:t>
      </w:r>
      <w:r w:rsidRPr="0061772D">
        <w:rPr>
          <w:rFonts w:asciiTheme="majorBidi" w:hAnsiTheme="majorBidi" w:cstheme="majorBidi"/>
        </w:rPr>
        <w:t>, vol. 16, no. 5, pp. 923-933.</w:t>
      </w:r>
    </w:p>
    <w:p w:rsidR="0061772D" w:rsidRPr="0061772D" w:rsidRDefault="0061772D" w:rsidP="00EA7CC5">
      <w:pPr>
        <w:spacing w:after="0" w:line="240" w:lineRule="auto"/>
        <w:rPr>
          <w:rFonts w:asciiTheme="majorBidi" w:hAnsiTheme="majorBidi" w:cstheme="majorBidi"/>
        </w:rPr>
      </w:pPr>
    </w:p>
    <w:p w:rsidR="00EA7CC5" w:rsidRPr="0038418F" w:rsidRDefault="004B0F64" w:rsidP="00EA7CC5">
      <w:pPr>
        <w:spacing w:after="0" w:line="240" w:lineRule="auto"/>
        <w:rPr>
          <w:rStyle w:val="exlresultdetails"/>
          <w:rFonts w:asciiTheme="majorBidi" w:hAnsiTheme="majorBidi" w:cstheme="majorBidi"/>
          <w:color w:val="000000" w:themeColor="text1"/>
        </w:rPr>
      </w:pPr>
      <w:hyperlink r:id="rId22" w:history="1">
        <w:r w:rsidR="00EA7CC5" w:rsidRPr="0038418F">
          <w:rPr>
            <w:rStyle w:val="Hyperlink"/>
            <w:rFonts w:asciiTheme="majorBidi" w:hAnsiTheme="majorBidi" w:cstheme="majorBidi"/>
            <w:color w:val="000000" w:themeColor="text1"/>
            <w:u w:val="none"/>
          </w:rPr>
          <w:t>Vicenzino, B</w:t>
        </w:r>
      </w:hyperlink>
      <w:r w:rsidR="00EA7CC5" w:rsidRPr="0038418F">
        <w:rPr>
          <w:rFonts w:asciiTheme="majorBidi" w:hAnsiTheme="majorBidi" w:cstheme="majorBidi"/>
          <w:color w:val="000000" w:themeColor="text1"/>
        </w:rPr>
        <w:t xml:space="preserve">, </w:t>
      </w:r>
      <w:hyperlink r:id="rId23" w:history="1">
        <w:r w:rsidR="00EA7CC5" w:rsidRPr="0038418F">
          <w:rPr>
            <w:rStyle w:val="Hyperlink"/>
            <w:rFonts w:asciiTheme="majorBidi" w:hAnsiTheme="majorBidi" w:cstheme="majorBidi"/>
            <w:color w:val="000000" w:themeColor="text1"/>
            <w:u w:val="none"/>
          </w:rPr>
          <w:t>Collins, D</w:t>
        </w:r>
      </w:hyperlink>
      <w:r w:rsidR="00EA7CC5" w:rsidRPr="0038418F">
        <w:rPr>
          <w:rFonts w:asciiTheme="majorBidi" w:hAnsiTheme="majorBidi" w:cstheme="majorBidi"/>
          <w:color w:val="000000" w:themeColor="text1"/>
        </w:rPr>
        <w:t xml:space="preserve">, </w:t>
      </w:r>
      <w:hyperlink r:id="rId24" w:history="1">
        <w:r w:rsidR="00EA7CC5" w:rsidRPr="0038418F">
          <w:rPr>
            <w:rStyle w:val="Hyperlink"/>
            <w:rFonts w:asciiTheme="majorBidi" w:hAnsiTheme="majorBidi" w:cstheme="majorBidi"/>
            <w:color w:val="000000" w:themeColor="text1"/>
            <w:u w:val="none"/>
          </w:rPr>
          <w:t>Benson, H</w:t>
        </w:r>
      </w:hyperlink>
      <w:r w:rsidR="00EA7CC5" w:rsidRPr="0038418F">
        <w:rPr>
          <w:rFonts w:asciiTheme="majorBidi" w:hAnsiTheme="majorBidi" w:cstheme="majorBidi"/>
          <w:color w:val="000000" w:themeColor="text1"/>
        </w:rPr>
        <w:t xml:space="preserve"> &amp; </w:t>
      </w:r>
      <w:hyperlink r:id="rId25" w:history="1">
        <w:r w:rsidR="00EA7CC5" w:rsidRPr="0038418F">
          <w:rPr>
            <w:rStyle w:val="Hyperlink"/>
            <w:rFonts w:asciiTheme="majorBidi" w:hAnsiTheme="majorBidi" w:cstheme="majorBidi"/>
            <w:color w:val="000000" w:themeColor="text1"/>
            <w:u w:val="none"/>
          </w:rPr>
          <w:t>Wright, A</w:t>
        </w:r>
      </w:hyperlink>
      <w:r w:rsidR="00EA7CC5" w:rsidRPr="0038418F">
        <w:rPr>
          <w:rFonts w:asciiTheme="majorBidi" w:hAnsiTheme="majorBidi" w:cstheme="majorBidi"/>
          <w:color w:val="000000" w:themeColor="text1"/>
        </w:rPr>
        <w:t xml:space="preserve"> 1998, ‘An investigation of the interrelationship between manipulative therapy-induced hypoalgesia and sympathoexcitation’, </w:t>
      </w:r>
      <w:r w:rsidR="00EA7CC5" w:rsidRPr="0038418F">
        <w:rPr>
          <w:rStyle w:val="exlresultdetails"/>
          <w:rFonts w:asciiTheme="majorBidi" w:hAnsiTheme="majorBidi" w:cstheme="majorBidi"/>
          <w:i/>
          <w:iCs/>
          <w:color w:val="000000" w:themeColor="text1"/>
        </w:rPr>
        <w:t xml:space="preserve">Journal of </w:t>
      </w:r>
      <w:r w:rsidR="00EA7CC5" w:rsidRPr="0038418F">
        <w:rPr>
          <w:rStyle w:val="searchword"/>
          <w:rFonts w:asciiTheme="majorBidi" w:hAnsiTheme="majorBidi" w:cstheme="majorBidi"/>
          <w:i/>
          <w:iCs/>
          <w:color w:val="000000" w:themeColor="text1"/>
        </w:rPr>
        <w:t>Manipulative</w:t>
      </w:r>
      <w:r w:rsidR="00EA7CC5" w:rsidRPr="0038418F">
        <w:rPr>
          <w:rStyle w:val="exlresultdetails"/>
          <w:rFonts w:asciiTheme="majorBidi" w:hAnsiTheme="majorBidi" w:cstheme="majorBidi"/>
          <w:i/>
          <w:iCs/>
          <w:color w:val="000000" w:themeColor="text1"/>
        </w:rPr>
        <w:t xml:space="preserve"> and Physiological Therapeutics, </w:t>
      </w:r>
      <w:r w:rsidR="00EA7CC5" w:rsidRPr="0038418F">
        <w:rPr>
          <w:rStyle w:val="exlresultdetails"/>
          <w:rFonts w:asciiTheme="majorBidi" w:hAnsiTheme="majorBidi" w:cstheme="majorBidi"/>
          <w:color w:val="000000" w:themeColor="text1"/>
        </w:rPr>
        <w:t>vol. 21, no. 7, pp.448-453.</w:t>
      </w:r>
      <w:r w:rsidR="00EA7CC5" w:rsidRPr="0038418F">
        <w:rPr>
          <w:rStyle w:val="exlresultdetails"/>
          <w:rFonts w:asciiTheme="majorBidi" w:hAnsiTheme="majorBidi" w:cstheme="majorBidi"/>
          <w:i/>
          <w:iCs/>
          <w:color w:val="000000" w:themeColor="text1"/>
        </w:rPr>
        <w:t xml:space="preserve"> </w:t>
      </w:r>
    </w:p>
    <w:p w:rsidR="00EA7CC5" w:rsidRPr="0038418F" w:rsidRDefault="00EA7CC5" w:rsidP="00EA7CC5">
      <w:pPr>
        <w:spacing w:after="0" w:line="240" w:lineRule="auto"/>
        <w:rPr>
          <w:rStyle w:val="exlresultdetails"/>
          <w:rFonts w:asciiTheme="majorBidi" w:hAnsiTheme="majorBidi" w:cstheme="majorBidi"/>
          <w:i/>
          <w:iCs/>
          <w:color w:val="000000" w:themeColor="text1"/>
        </w:rPr>
      </w:pPr>
    </w:p>
    <w:p w:rsidR="00EA7CC5" w:rsidRPr="0038418F" w:rsidRDefault="004B0F64" w:rsidP="00EA7CC5">
      <w:pPr>
        <w:spacing w:after="0" w:line="240" w:lineRule="auto"/>
        <w:rPr>
          <w:rStyle w:val="exlresultdetails"/>
          <w:rFonts w:asciiTheme="majorBidi" w:hAnsiTheme="majorBidi" w:cstheme="majorBidi"/>
          <w:i/>
          <w:iCs/>
        </w:rPr>
      </w:pPr>
      <w:hyperlink r:id="rId26" w:history="1">
        <w:r w:rsidR="00EA7CC5" w:rsidRPr="0038418F">
          <w:rPr>
            <w:rStyle w:val="Hyperlink"/>
            <w:rFonts w:asciiTheme="majorBidi" w:hAnsiTheme="majorBidi" w:cstheme="majorBidi"/>
            <w:color w:val="000000" w:themeColor="text1"/>
            <w:u w:val="none"/>
          </w:rPr>
          <w:t>Vicenzino, B</w:t>
        </w:r>
      </w:hyperlink>
      <w:r w:rsidR="00EA7CC5" w:rsidRPr="0038418F">
        <w:rPr>
          <w:rFonts w:asciiTheme="majorBidi" w:hAnsiTheme="majorBidi" w:cstheme="majorBidi"/>
          <w:color w:val="000000" w:themeColor="text1"/>
        </w:rPr>
        <w:t xml:space="preserve">, </w:t>
      </w:r>
      <w:hyperlink r:id="rId27" w:history="1">
        <w:r w:rsidR="00EA7CC5" w:rsidRPr="0038418F">
          <w:rPr>
            <w:rStyle w:val="Hyperlink"/>
            <w:rFonts w:asciiTheme="majorBidi" w:hAnsiTheme="majorBidi" w:cstheme="majorBidi"/>
            <w:color w:val="000000" w:themeColor="text1"/>
            <w:u w:val="none"/>
          </w:rPr>
          <w:t>Collins, D</w:t>
        </w:r>
      </w:hyperlink>
      <w:r w:rsidR="00EA7CC5" w:rsidRPr="0038418F">
        <w:rPr>
          <w:rFonts w:asciiTheme="majorBidi" w:hAnsiTheme="majorBidi" w:cstheme="majorBidi"/>
          <w:color w:val="000000" w:themeColor="text1"/>
        </w:rPr>
        <w:t xml:space="preserve"> &amp; </w:t>
      </w:r>
      <w:hyperlink r:id="rId28" w:history="1">
        <w:r w:rsidR="00EA7CC5" w:rsidRPr="0038418F">
          <w:rPr>
            <w:rStyle w:val="Hyperlink"/>
            <w:rFonts w:asciiTheme="majorBidi" w:hAnsiTheme="majorBidi" w:cstheme="majorBidi"/>
            <w:color w:val="000000" w:themeColor="text1"/>
            <w:u w:val="none"/>
          </w:rPr>
          <w:t>Wright, A</w:t>
        </w:r>
      </w:hyperlink>
      <w:r w:rsidR="00EA7CC5" w:rsidRPr="0038418F">
        <w:rPr>
          <w:rFonts w:asciiTheme="majorBidi" w:hAnsiTheme="majorBidi" w:cstheme="majorBidi"/>
          <w:color w:val="000000" w:themeColor="text1"/>
        </w:rPr>
        <w:t xml:space="preserve"> 1996, ‘The initial effects of a cervical spine manipulative physiotherapy treatment on the pain and dysfunction of </w:t>
      </w:r>
      <w:r w:rsidR="00EA7CC5" w:rsidRPr="0038418F">
        <w:rPr>
          <w:rFonts w:asciiTheme="majorBidi" w:hAnsiTheme="majorBidi" w:cstheme="majorBidi"/>
        </w:rPr>
        <w:t xml:space="preserve">lateral epicondylalgia’, </w:t>
      </w:r>
      <w:r w:rsidR="00EA7CC5" w:rsidRPr="0038418F">
        <w:rPr>
          <w:rStyle w:val="exlresultdetails"/>
          <w:rFonts w:asciiTheme="majorBidi" w:hAnsiTheme="majorBidi" w:cstheme="majorBidi"/>
          <w:i/>
          <w:iCs/>
        </w:rPr>
        <w:t xml:space="preserve">Pain, </w:t>
      </w:r>
      <w:r w:rsidR="00EA7CC5" w:rsidRPr="0038418F">
        <w:rPr>
          <w:rStyle w:val="exlresultdetails"/>
          <w:rFonts w:asciiTheme="majorBidi" w:hAnsiTheme="majorBidi" w:cstheme="majorBidi"/>
        </w:rPr>
        <w:t>vol. 68, pp.69-74.</w:t>
      </w:r>
      <w:r w:rsidR="00EA7CC5" w:rsidRPr="0038418F">
        <w:rPr>
          <w:rStyle w:val="exlresultdetails"/>
          <w:rFonts w:asciiTheme="majorBidi" w:hAnsiTheme="majorBidi" w:cstheme="majorBidi"/>
          <w:i/>
          <w:iCs/>
        </w:rPr>
        <w:t xml:space="preserve"> </w:t>
      </w:r>
    </w:p>
    <w:p w:rsidR="00EA7CC5" w:rsidRPr="0038418F" w:rsidRDefault="00EA7CC5" w:rsidP="00EA7CC5">
      <w:pPr>
        <w:spacing w:after="0"/>
        <w:rPr>
          <w:rStyle w:val="exlresultdetails"/>
          <w:rFonts w:asciiTheme="majorBidi" w:hAnsiTheme="majorBidi" w:cstheme="majorBidi"/>
          <w:i/>
          <w:iCs/>
        </w:rPr>
      </w:pP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Voogt, L, de Vries, J, Meus, M, Struyf, F, Meufelss, D &amp; Nijs, J 2015, ‘Analgesic effect of manual therapy in patients with musculoskeletal pain: a systematic review’, </w:t>
      </w:r>
      <w:r w:rsidRPr="0038418F">
        <w:rPr>
          <w:rFonts w:asciiTheme="majorBidi" w:hAnsiTheme="majorBidi" w:cstheme="majorBidi"/>
          <w:i/>
          <w:iCs/>
        </w:rPr>
        <w:t>Manual therapy</w:t>
      </w:r>
      <w:r w:rsidRPr="0038418F">
        <w:rPr>
          <w:rFonts w:asciiTheme="majorBidi" w:hAnsiTheme="majorBidi" w:cstheme="majorBidi"/>
        </w:rPr>
        <w:t>, vol. 20, pp. 250-256.</w:t>
      </w:r>
    </w:p>
    <w:p w:rsidR="00EA7CC5" w:rsidRPr="0038418F" w:rsidRDefault="00EA7CC5" w:rsidP="00EA7CC5">
      <w:pPr>
        <w:spacing w:after="0"/>
        <w:rPr>
          <w:rFonts w:asciiTheme="majorBidi" w:hAnsiTheme="majorBidi" w:cstheme="majorBidi"/>
        </w:rPr>
      </w:pPr>
    </w:p>
    <w:p w:rsidR="00EA7CC5" w:rsidRDefault="00EA7CC5" w:rsidP="00EA7CC5">
      <w:pPr>
        <w:spacing w:after="0" w:line="240" w:lineRule="auto"/>
        <w:rPr>
          <w:rFonts w:asciiTheme="majorBidi" w:hAnsiTheme="majorBidi" w:cstheme="majorBidi"/>
          <w:color w:val="000000" w:themeColor="text1"/>
        </w:rPr>
      </w:pPr>
      <w:r w:rsidRPr="0038418F">
        <w:rPr>
          <w:rFonts w:asciiTheme="majorBidi" w:hAnsiTheme="majorBidi" w:cstheme="majorBidi"/>
          <w:kern w:val="36"/>
        </w:rPr>
        <w:t xml:space="preserve">Waller, R, Straker, L, O’Sullivan, P, Sterling, M &amp; Smith, A 2015, ‘Reliability of pressure pain threshold testing (PPT) in healthy pain free young adults’, </w:t>
      </w:r>
      <w:hyperlink r:id="rId29" w:tooltip="Go to Scandinavian Journal of Pain on ScienceDirect" w:history="1">
        <w:r w:rsidRPr="0038418F">
          <w:rPr>
            <w:rStyle w:val="Hyperlink"/>
            <w:rFonts w:asciiTheme="majorBidi" w:hAnsiTheme="majorBidi" w:cstheme="majorBidi"/>
            <w:i/>
            <w:iCs/>
            <w:color w:val="000000" w:themeColor="text1"/>
            <w:u w:val="none"/>
            <w:bdr w:val="none" w:sz="0" w:space="0" w:color="auto" w:frame="1"/>
          </w:rPr>
          <w:t>Scandinavian Journal of Pain</w:t>
        </w:r>
      </w:hyperlink>
      <w:r w:rsidRPr="0038418F">
        <w:rPr>
          <w:rFonts w:asciiTheme="majorBidi" w:hAnsiTheme="majorBidi" w:cstheme="majorBidi"/>
          <w:color w:val="000000" w:themeColor="text1"/>
        </w:rPr>
        <w:t xml:space="preserve">, </w:t>
      </w:r>
      <w:hyperlink r:id="rId30" w:tooltip="Go to table of contents for this volume/issue" w:history="1">
        <w:r w:rsidRPr="0038418F">
          <w:rPr>
            <w:rStyle w:val="Hyperlink"/>
            <w:rFonts w:asciiTheme="majorBidi" w:hAnsiTheme="majorBidi" w:cstheme="majorBidi"/>
            <w:color w:val="000000" w:themeColor="text1"/>
            <w:u w:val="none"/>
          </w:rPr>
          <w:t>vol. 9</w:t>
        </w:r>
      </w:hyperlink>
      <w:r w:rsidRPr="0038418F">
        <w:rPr>
          <w:rFonts w:asciiTheme="majorBidi" w:hAnsiTheme="majorBidi" w:cstheme="majorBidi"/>
          <w:color w:val="000000" w:themeColor="text1"/>
        </w:rPr>
        <w:t xml:space="preserve">, pp. 38-41. </w:t>
      </w:r>
    </w:p>
    <w:p w:rsidR="003F1AF9" w:rsidRDefault="003F1AF9" w:rsidP="00EA7CC5">
      <w:pPr>
        <w:spacing w:after="0" w:line="240" w:lineRule="auto"/>
        <w:rPr>
          <w:rFonts w:asciiTheme="majorBidi" w:hAnsiTheme="majorBidi" w:cstheme="majorBidi"/>
          <w:color w:val="000000" w:themeColor="text1"/>
        </w:rPr>
      </w:pPr>
    </w:p>
    <w:p w:rsidR="003F1AF9" w:rsidRPr="003F1AF9" w:rsidRDefault="003F1AF9" w:rsidP="003F1AF9">
      <w:pPr>
        <w:rPr>
          <w:rFonts w:asciiTheme="majorBidi" w:hAnsiTheme="majorBidi" w:cstheme="majorBidi"/>
        </w:rPr>
      </w:pPr>
      <w:r>
        <w:rPr>
          <w:rFonts w:asciiTheme="majorBidi" w:hAnsiTheme="majorBidi" w:cstheme="majorBidi"/>
        </w:rPr>
        <w:t>World Health Organization 2005</w:t>
      </w:r>
      <w:r>
        <w:rPr>
          <w:rFonts w:asciiTheme="majorBidi" w:hAnsiTheme="majorBidi" w:cstheme="majorBidi"/>
          <w:i/>
          <w:iCs/>
        </w:rPr>
        <w:t>, WHO STEPS Surveillance Manual: the WHO STEPwise Approach to Chronic Disease Risk Factor Surveillance</w:t>
      </w:r>
      <w:r>
        <w:rPr>
          <w:rFonts w:asciiTheme="majorBidi" w:hAnsiTheme="majorBidi" w:cstheme="majorBidi"/>
        </w:rPr>
        <w:t xml:space="preserve">, World Health Organization, Geneva, Switzerland.  </w:t>
      </w: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Wright, A 1995, ‘Hypoalgesia post-manipulative therapy: a review of a potential neurophysiological mechanism’, </w:t>
      </w:r>
      <w:r w:rsidRPr="0038418F">
        <w:rPr>
          <w:rFonts w:asciiTheme="majorBidi" w:hAnsiTheme="majorBidi" w:cstheme="majorBidi"/>
          <w:i/>
          <w:iCs/>
        </w:rPr>
        <w:t>Manual Therapy</w:t>
      </w:r>
      <w:r w:rsidRPr="0038418F">
        <w:rPr>
          <w:rFonts w:asciiTheme="majorBidi" w:hAnsiTheme="majorBidi" w:cstheme="majorBidi"/>
        </w:rPr>
        <w:t xml:space="preserve">, vol. 1, pp.11-16. </w:t>
      </w:r>
    </w:p>
    <w:p w:rsidR="00EA7CC5" w:rsidRPr="0038418F" w:rsidRDefault="00EA7CC5" w:rsidP="00EA7CC5">
      <w:pPr>
        <w:spacing w:after="0" w:line="240" w:lineRule="auto"/>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Yarnitsky, D 2015, ‘Role of endogenous pain modulation in chronic pain mechanisms and treatment’, </w:t>
      </w:r>
      <w:r w:rsidRPr="0038418F">
        <w:rPr>
          <w:rFonts w:asciiTheme="majorBidi" w:hAnsiTheme="majorBidi" w:cstheme="majorBidi"/>
          <w:i/>
          <w:iCs/>
        </w:rPr>
        <w:t>Pain</w:t>
      </w:r>
      <w:r w:rsidRPr="0038418F">
        <w:rPr>
          <w:rFonts w:asciiTheme="majorBidi" w:hAnsiTheme="majorBidi" w:cstheme="majorBidi"/>
        </w:rPr>
        <w:t xml:space="preserve">, vol. 156, no. 4, pp. 24-31. </w:t>
      </w:r>
    </w:p>
    <w:p w:rsidR="00EA7CC5" w:rsidRPr="0038418F" w:rsidRDefault="00EA7CC5" w:rsidP="00EA7CC5">
      <w:pPr>
        <w:spacing w:after="0" w:line="240" w:lineRule="auto"/>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 xml:space="preserve">Yarnitsky, D, Arendt-Nielsen, L, Bouhassira, D, Edwards, RR, Fillingim, RB, Garanot, M, Hansson, P, Lautenbacher, S, Marchand, S &amp; Wilder-Smith, O 2010, ‘Recommendations on terminology and practice of psychophysical DNIC testing’, </w:t>
      </w:r>
      <w:r w:rsidRPr="0038418F">
        <w:rPr>
          <w:rFonts w:asciiTheme="majorBidi" w:hAnsiTheme="majorBidi" w:cstheme="majorBidi"/>
          <w:i/>
          <w:iCs/>
        </w:rPr>
        <w:t>European Journal of Pain</w:t>
      </w:r>
      <w:r w:rsidRPr="0038418F">
        <w:rPr>
          <w:rFonts w:asciiTheme="majorBidi" w:hAnsiTheme="majorBidi" w:cstheme="majorBidi"/>
        </w:rPr>
        <w:t>, vol. 14, p. 339.</w:t>
      </w:r>
    </w:p>
    <w:p w:rsidR="00EA7CC5" w:rsidRPr="0038418F" w:rsidRDefault="00EA7CC5" w:rsidP="00EA7CC5">
      <w:pPr>
        <w:spacing w:after="0" w:line="240" w:lineRule="auto"/>
        <w:rPr>
          <w:rFonts w:asciiTheme="majorBidi" w:hAnsiTheme="majorBidi" w:cstheme="majorBidi"/>
        </w:rPr>
      </w:pPr>
    </w:p>
    <w:p w:rsidR="00EA343B" w:rsidRPr="003F1AF9" w:rsidRDefault="004B0F64" w:rsidP="003F1AF9">
      <w:pPr>
        <w:spacing w:after="0" w:line="240" w:lineRule="auto"/>
        <w:rPr>
          <w:rFonts w:asciiTheme="majorBidi" w:hAnsiTheme="majorBidi" w:cstheme="majorBidi"/>
          <w:color w:val="000000" w:themeColor="text1"/>
        </w:rPr>
      </w:pPr>
      <w:hyperlink r:id="rId31" w:history="1">
        <w:r w:rsidR="00EA7CC5" w:rsidRPr="0038418F">
          <w:rPr>
            <w:rStyle w:val="Hyperlink"/>
            <w:rFonts w:asciiTheme="majorBidi" w:hAnsiTheme="majorBidi" w:cstheme="majorBidi"/>
            <w:color w:val="000000" w:themeColor="text1"/>
            <w:u w:val="none"/>
          </w:rPr>
          <w:t>Yaxley</w:t>
        </w:r>
      </w:hyperlink>
      <w:r w:rsidR="00EA7CC5" w:rsidRPr="0038418F">
        <w:rPr>
          <w:rStyle w:val="author"/>
          <w:rFonts w:asciiTheme="majorBidi" w:hAnsiTheme="majorBidi" w:cstheme="majorBidi"/>
          <w:color w:val="000000" w:themeColor="text1"/>
        </w:rPr>
        <w:t>, GA &amp;</w:t>
      </w:r>
      <w:r w:rsidR="00EA7CC5" w:rsidRPr="0038418F">
        <w:rPr>
          <w:rStyle w:val="author-name"/>
          <w:rFonts w:asciiTheme="majorBidi" w:hAnsiTheme="majorBidi" w:cstheme="majorBidi"/>
          <w:color w:val="000000" w:themeColor="text1"/>
        </w:rPr>
        <w:t xml:space="preserve"> Jull</w:t>
      </w:r>
      <w:r w:rsidR="00EA7CC5" w:rsidRPr="0038418F">
        <w:rPr>
          <w:rStyle w:val="author"/>
          <w:rFonts w:asciiTheme="majorBidi" w:hAnsiTheme="majorBidi" w:cstheme="majorBidi"/>
          <w:color w:val="000000" w:themeColor="text1"/>
        </w:rPr>
        <w:t>, GA  1993, ‘</w:t>
      </w:r>
      <w:r w:rsidR="00EA7CC5" w:rsidRPr="0038418F">
        <w:rPr>
          <w:rFonts w:asciiTheme="majorBidi" w:hAnsiTheme="majorBidi" w:cstheme="majorBidi"/>
          <w:color w:val="000000" w:themeColor="text1"/>
        </w:rPr>
        <w:t xml:space="preserve">Adverse tension in the neural system. A preliminary study of tennis elbow’, </w:t>
      </w:r>
      <w:r w:rsidR="00EA7CC5" w:rsidRPr="0038418F">
        <w:rPr>
          <w:rFonts w:asciiTheme="majorBidi" w:hAnsiTheme="majorBidi" w:cstheme="majorBidi"/>
          <w:i/>
          <w:iCs/>
          <w:color w:val="000000" w:themeColor="text1"/>
        </w:rPr>
        <w:t>Australian Journal Physiotherapy</w:t>
      </w:r>
      <w:r w:rsidR="003F1AF9">
        <w:rPr>
          <w:rFonts w:asciiTheme="majorBidi" w:hAnsiTheme="majorBidi" w:cstheme="majorBidi"/>
          <w:color w:val="000000" w:themeColor="text1"/>
        </w:rPr>
        <w:t>, vol. 39, no. 1, pp. 15-22.</w:t>
      </w: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ectPr w:rsidR="00EA343B" w:rsidSect="009B30CE">
          <w:footerReference w:type="default" r:id="rId32"/>
          <w:pgSz w:w="12240" w:h="15840"/>
          <w:pgMar w:top="1134" w:right="1134" w:bottom="1134" w:left="1134" w:header="708" w:footer="708" w:gutter="0"/>
          <w:cols w:space="708"/>
          <w:docGrid w:linePitch="360"/>
        </w:sectPr>
      </w:pPr>
    </w:p>
    <w:p w:rsidR="00EA343B" w:rsidRPr="00C4247B" w:rsidRDefault="00EA343B" w:rsidP="00EA343B">
      <w:pPr>
        <w:jc w:val="center"/>
        <w:rPr>
          <w:rFonts w:asciiTheme="majorBidi" w:hAnsiTheme="majorBidi" w:cstheme="majorBidi"/>
          <w:b/>
          <w:bCs/>
          <w:sz w:val="32"/>
          <w:szCs w:val="32"/>
        </w:rPr>
      </w:pPr>
      <w:r>
        <w:rPr>
          <w:rFonts w:asciiTheme="majorBidi" w:hAnsiTheme="majorBidi" w:cstheme="majorBidi"/>
          <w:b/>
          <w:bCs/>
          <w:sz w:val="32"/>
          <w:szCs w:val="32"/>
        </w:rPr>
        <w:lastRenderedPageBreak/>
        <w:t xml:space="preserve">Fig. 1: </w:t>
      </w:r>
      <w:r w:rsidRPr="00C4247B">
        <w:rPr>
          <w:rFonts w:asciiTheme="majorBidi" w:hAnsiTheme="majorBidi" w:cstheme="majorBidi"/>
          <w:b/>
          <w:bCs/>
          <w:sz w:val="32"/>
          <w:szCs w:val="32"/>
        </w:rPr>
        <w:t>Aerobic exercise study</w:t>
      </w:r>
      <w:r>
        <w:rPr>
          <w:rFonts w:asciiTheme="majorBidi" w:hAnsiTheme="majorBidi" w:cstheme="majorBidi"/>
          <w:b/>
          <w:bCs/>
          <w:sz w:val="32"/>
          <w:szCs w:val="32"/>
        </w:rPr>
        <w:t>: P</w:t>
      </w:r>
      <w:r w:rsidRPr="00C4247B">
        <w:rPr>
          <w:rFonts w:asciiTheme="majorBidi" w:hAnsiTheme="majorBidi" w:cstheme="majorBidi"/>
          <w:b/>
          <w:bCs/>
          <w:sz w:val="32"/>
          <w:szCs w:val="32"/>
        </w:rPr>
        <w:t>art 1 and 2 with testing protocols</w:t>
      </w:r>
    </w:p>
    <w:p w:rsidR="00EA343B" w:rsidRPr="00E15450" w:rsidRDefault="00EA343B" w:rsidP="00EA343B">
      <w:pPr>
        <w:jc w:val="center"/>
        <w:rPr>
          <w:rFonts w:asciiTheme="majorBidi" w:hAnsiTheme="majorBidi" w:cstheme="majorBidi"/>
          <w:b/>
          <w:bCs/>
          <w:sz w:val="32"/>
          <w:szCs w:val="32"/>
        </w:rPr>
      </w:pPr>
    </w:p>
    <w:p w:rsidR="00EA343B" w:rsidRPr="003535C2" w:rsidRDefault="00EA343B" w:rsidP="00EA343B">
      <w:pPr>
        <w:rPr>
          <w:b/>
          <w:bCs/>
          <w:i/>
          <w:iCs/>
          <w:sz w:val="28"/>
          <w:szCs w:val="28"/>
        </w:rPr>
      </w:pPr>
      <w:r w:rsidRPr="0050640B">
        <w:rPr>
          <w:rFonts w:asciiTheme="majorBidi" w:hAnsiTheme="majorBidi" w:cstheme="majorBidi"/>
          <w:b/>
          <w:bCs/>
          <w:noProof/>
          <w:u w:val="single"/>
          <w:lang w:val="en-AU" w:eastAsia="en-AU"/>
        </w:rPr>
        <mc:AlternateContent>
          <mc:Choice Requires="wpg">
            <w:drawing>
              <wp:anchor distT="0" distB="0" distL="114300" distR="114300" simplePos="0" relativeHeight="251660288" behindDoc="0" locked="0" layoutInCell="1" allowOverlap="1" wp14:anchorId="420AB862" wp14:editId="305051EF">
                <wp:simplePos x="0" y="0"/>
                <wp:positionH relativeFrom="margin">
                  <wp:posOffset>1184910</wp:posOffset>
                </wp:positionH>
                <wp:positionV relativeFrom="paragraph">
                  <wp:posOffset>12065</wp:posOffset>
                </wp:positionV>
                <wp:extent cx="5448300" cy="2241903"/>
                <wp:effectExtent l="19050" t="0" r="19050" b="44450"/>
                <wp:wrapNone/>
                <wp:docPr id="22" name="Group 22"/>
                <wp:cNvGraphicFramePr/>
                <a:graphic xmlns:a="http://schemas.openxmlformats.org/drawingml/2006/main">
                  <a:graphicData uri="http://schemas.microsoft.com/office/word/2010/wordprocessingGroup">
                    <wpg:wgp>
                      <wpg:cNvGrpSpPr/>
                      <wpg:grpSpPr>
                        <a:xfrm>
                          <a:off x="0" y="0"/>
                          <a:ext cx="5448300" cy="2241903"/>
                          <a:chOff x="-1496752" y="0"/>
                          <a:chExt cx="4897177" cy="2322759"/>
                        </a:xfrm>
                      </wpg:grpSpPr>
                      <wps:wsp>
                        <wps:cNvPr id="23" name="Rectangle 7"/>
                        <wps:cNvSpPr/>
                        <wps:spPr>
                          <a:xfrm>
                            <a:off x="0" y="794385"/>
                            <a:ext cx="1028700" cy="9620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24" name="Rectangle 7"/>
                        <wps:cNvSpPr/>
                        <wps:spPr>
                          <a:xfrm>
                            <a:off x="2371725" y="803910"/>
                            <a:ext cx="1028700" cy="96139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25" name="Right Arrow 65"/>
                        <wps:cNvSpPr/>
                        <wps:spPr>
                          <a:xfrm>
                            <a:off x="1162050" y="822960"/>
                            <a:ext cx="1057275" cy="942340"/>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 xml:space="preserve">15 min Rest </w:t>
                              </w:r>
                            </w:p>
                          </w:txbxContent>
                        </wps:txbx>
                        <wps:bodyPr wrap="square" rtlCol="0" anchor="ctr">
                          <a:noAutofit/>
                        </wps:bodyPr>
                      </wps:wsp>
                      <wps:wsp>
                        <wps:cNvPr id="26" name="Rectangle 9"/>
                        <wps:cNvSpPr/>
                        <wps:spPr>
                          <a:xfrm rot="5400000">
                            <a:off x="1333500" y="-215265"/>
                            <a:ext cx="745490" cy="11760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sidRPr="00B62082">
                                <w:rPr>
                                  <w:rFonts w:asciiTheme="majorBidi" w:hAnsiTheme="majorBidi" w:cstheme="majorBidi"/>
                                  <w:b/>
                                  <w:bCs/>
                                  <w:color w:val="000000" w:themeColor="text1"/>
                                  <w:kern w:val="24"/>
                                </w:rPr>
                                <w:t>Clinical Exam</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LE</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N=60</w:t>
                              </w:r>
                            </w:p>
                          </w:txbxContent>
                        </wps:txbx>
                        <wps:bodyPr vert="vert270" wrap="square" rtlCol="0" anchor="ctr">
                          <a:noAutofit/>
                        </wps:bodyPr>
                      </wps:wsp>
                      <wps:wsp>
                        <wps:cNvPr id="27" name="Right Arrow 65"/>
                        <wps:cNvSpPr/>
                        <wps:spPr>
                          <a:xfrm rot="5400000">
                            <a:off x="-1890600" y="1216613"/>
                            <a:ext cx="1499994" cy="712298"/>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20AB862" id="Group 22" o:spid="_x0000_s1026" style="position:absolute;margin-left:93.3pt;margin-top:.95pt;width:429pt;height:176.55pt;z-index:251660288;mso-position-horizontal-relative:margin;mso-width-relative:margin;mso-height-relative:margin" coordorigin="-14967" coordsize="48971,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">
                <v:rect id="Rectangle 7" o:spid="_x0000_s1027" style="position:absolute;top:7943;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" fillcolor="#bfbfbf [2412]" strokecolor="black [3213]"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28" style="position:absolute;left:23717;top:8039;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" fillcolor="#bfbfbf [2412]" strokecolor="black [3213]"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11620;top:8229;width:10573;height:9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" adj="11974" fillcolor="#c5e0b3 [1305]" strokecolor="#1f4d78 [1604]"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 xml:space="preserve">15 min Rest </w:t>
                        </w:r>
                      </w:p>
                    </w:txbxContent>
                  </v:textbox>
                </v:shape>
                <v:rect id="Rectangle 9" o:spid="_x0000_s1030" style="position:absolute;left:13335;top:-2153;width:7454;height:11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" fillcolor="#e2efd9 [665]" strokecolor="#1f4d78 [1604]" strokeweight="1pt">
                  <v:textbox style="layout-flow:vertical;mso-layout-flow-alt:bottom-to-top">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sidRPr="00B62082">
                          <w:rPr>
                            <w:rFonts w:asciiTheme="majorBidi" w:hAnsiTheme="majorBidi" w:cstheme="majorBidi"/>
                            <w:b/>
                            <w:bCs/>
                            <w:color w:val="000000" w:themeColor="text1"/>
                            <w:kern w:val="24"/>
                          </w:rPr>
                          <w:t>Clinical Exam</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LE</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N=60</w:t>
                        </w:r>
                      </w:p>
                    </w:txbxContent>
                  </v:textbox>
                </v:rect>
                <v:shape id="_x0000_s1031" type="#_x0000_t13" style="position:absolute;left:-18905;top:12165;width:15000;height:71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" adj="16471" fillcolor="#9cc2e5 [1940]" strokecolor="#1f4d78 [1604]"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v:textbox>
                </v:shape>
                <w10:wrap anchorx="margin"/>
              </v:group>
            </w:pict>
          </mc:Fallback>
        </mc:AlternateContent>
      </w:r>
      <w:r w:rsidRPr="00DC3D5C">
        <w:rPr>
          <w:rFonts w:asciiTheme="majorBidi" w:hAnsiTheme="majorBidi" w:cstheme="majorBidi"/>
          <w:noProof/>
          <w:sz w:val="32"/>
          <w:szCs w:val="32"/>
          <w:lang w:val="en-AU" w:eastAsia="en-AU"/>
        </w:rPr>
        <mc:AlternateContent>
          <mc:Choice Requires="wps">
            <w:drawing>
              <wp:anchor distT="0" distB="0" distL="114300" distR="114300" simplePos="0" relativeHeight="251662336" behindDoc="0" locked="0" layoutInCell="1" allowOverlap="1" wp14:anchorId="1463F87F" wp14:editId="5A40DC3A">
                <wp:simplePos x="0" y="0"/>
                <wp:positionH relativeFrom="margin">
                  <wp:posOffset>1066800</wp:posOffset>
                </wp:positionH>
                <wp:positionV relativeFrom="paragraph">
                  <wp:posOffset>10795</wp:posOffset>
                </wp:positionV>
                <wp:extent cx="952500" cy="428625"/>
                <wp:effectExtent l="0" t="0" r="19050" b="28575"/>
                <wp:wrapNone/>
                <wp:docPr id="75" name="Flowchart: Process 2"/>
                <wp:cNvGraphicFramePr/>
                <a:graphic xmlns:a="http://schemas.openxmlformats.org/drawingml/2006/main">
                  <a:graphicData uri="http://schemas.microsoft.com/office/word/2010/wordprocessingShape">
                    <wps:wsp>
                      <wps:cNvSpPr/>
                      <wps:spPr>
                        <a:xfrm>
                          <a:off x="0" y="0"/>
                          <a:ext cx="952500" cy="428625"/>
                        </a:xfrm>
                        <a:prstGeom prst="flowChartProcess">
                          <a:avLst/>
                        </a:prstGeom>
                        <a:noFill/>
                        <a:ln w="25400" cap="flat" cmpd="sng" algn="ctr">
                          <a:solidFill>
                            <a:schemeClr val="tx1"/>
                          </a:solidFill>
                          <a:prstDash val="solid"/>
                          <a:miter lim="800000"/>
                        </a:ln>
                        <a:effectLst/>
                      </wps:spPr>
                      <wps:txbx>
                        <w:txbxContent>
                          <w:p w:rsidR="00EA343B" w:rsidRPr="00C4247B" w:rsidRDefault="00EA343B" w:rsidP="00EA343B">
                            <w:pPr>
                              <w:pStyle w:val="NormalWeb"/>
                              <w:spacing w:before="0" w:beforeAutospacing="0" w:after="0" w:afterAutospacing="0"/>
                              <w:jc w:val="center"/>
                              <w:rPr>
                                <w:rFonts w:asciiTheme="majorBidi" w:hAnsiTheme="majorBidi" w:cstheme="majorBidi"/>
                                <w:b/>
                                <w:bCs/>
                                <w:sz w:val="32"/>
                                <w:szCs w:val="32"/>
                              </w:rPr>
                            </w:pPr>
                            <w:r w:rsidRPr="00C4247B">
                              <w:rPr>
                                <w:rFonts w:asciiTheme="majorBidi" w:hAnsiTheme="majorBidi" w:cstheme="majorBidi"/>
                                <w:b/>
                                <w:bCs/>
                                <w:kern w:val="24"/>
                                <w:sz w:val="32"/>
                                <w:szCs w:val="32"/>
                              </w:rPr>
                              <w:t>Part 1</w:t>
                            </w:r>
                          </w:p>
                          <w:p w:rsidR="00EA343B" w:rsidRDefault="00EA343B" w:rsidP="00EA343B">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463F87F" id="_x0000_t109" coordsize="21600,21600" o:spt="109" path="m,l,21600r21600,l21600,xe">
                <v:stroke joinstyle="miter"/>
                <v:path gradientshapeok="t" o:connecttype="rect"/>
              </v:shapetype>
              <v:shape id="Flowchart: Process 2" o:spid="_x0000_s1032" type="#_x0000_t109" style="position:absolute;margin-left:84pt;margin-top:.85pt;width: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" filled="f" strokecolor="black [3213]" strokeweight="2pt">
                <v:textbox>
                  <w:txbxContent>
                    <w:p w:rsidR="00EA343B" w:rsidRPr="00C4247B" w:rsidRDefault="00EA343B" w:rsidP="00EA343B">
                      <w:pPr>
                        <w:pStyle w:val="NormalWeb"/>
                        <w:spacing w:before="0" w:beforeAutospacing="0" w:after="0" w:afterAutospacing="0"/>
                        <w:jc w:val="center"/>
                        <w:rPr>
                          <w:rFonts w:asciiTheme="majorBidi" w:hAnsiTheme="majorBidi" w:cstheme="majorBidi"/>
                          <w:b/>
                          <w:bCs/>
                          <w:sz w:val="32"/>
                          <w:szCs w:val="32"/>
                        </w:rPr>
                      </w:pPr>
                      <w:r w:rsidRPr="00C4247B">
                        <w:rPr>
                          <w:rFonts w:asciiTheme="majorBidi" w:hAnsiTheme="majorBidi" w:cstheme="majorBidi"/>
                          <w:b/>
                          <w:bCs/>
                          <w:kern w:val="24"/>
                          <w:sz w:val="32"/>
                          <w:szCs w:val="32"/>
                        </w:rPr>
                        <w:t>Part 1</w:t>
                      </w:r>
                    </w:p>
                    <w:p w:rsidR="00EA343B" w:rsidRDefault="00EA343B" w:rsidP="00EA343B">
                      <w:pPr>
                        <w:pStyle w:val="NormalWeb"/>
                        <w:spacing w:before="0" w:beforeAutospacing="0" w:after="0" w:afterAutospacing="0"/>
                        <w:jc w:val="center"/>
                      </w:pPr>
                    </w:p>
                  </w:txbxContent>
                </v:textbox>
                <w10:wrap anchorx="margin"/>
              </v:shape>
            </w:pict>
          </mc:Fallback>
        </mc:AlternateContent>
      </w:r>
      <w:r>
        <w:rPr>
          <w:b/>
          <w:bCs/>
          <w:sz w:val="28"/>
          <w:szCs w:val="28"/>
        </w:rPr>
        <w:t xml:space="preserve">                                                                             </w:t>
      </w:r>
      <w:r w:rsidRPr="003535C2">
        <w:rPr>
          <w:rFonts w:asciiTheme="majorBidi" w:hAnsiTheme="majorBidi" w:cstheme="majorBidi"/>
          <w:b/>
          <w:bCs/>
          <w:i/>
          <w:iCs/>
          <w:sz w:val="28"/>
          <w:szCs w:val="28"/>
        </w:rPr>
        <w:t xml:space="preserve">Day 1 </w:t>
      </w:r>
    </w:p>
    <w:p w:rsidR="00EA343B" w:rsidRDefault="00EA343B" w:rsidP="00EA343B">
      <w:r>
        <w:t xml:space="preserve">    </w:t>
      </w:r>
    </w:p>
    <w:p w:rsidR="00EA343B" w:rsidRDefault="00EA343B" w:rsidP="00EA343B"/>
    <w:p w:rsidR="00EA343B" w:rsidRDefault="00EA343B" w:rsidP="00EA343B">
      <w:r>
        <w:t xml:space="preserve">                                                                                                                                                                              </w:t>
      </w:r>
    </w:p>
    <w:p w:rsidR="00EA343B" w:rsidRDefault="00EA343B" w:rsidP="00EA343B">
      <w:r>
        <w:t xml:space="preserve">                                                                                                                                                                                      </w:t>
      </w:r>
    </w:p>
    <w:p w:rsidR="00EA343B" w:rsidRDefault="00EA343B" w:rsidP="00EA343B"/>
    <w:p w:rsidR="00EA343B" w:rsidRDefault="00EA343B" w:rsidP="00EA343B"/>
    <w:p w:rsidR="00EA343B" w:rsidRDefault="00EA343B" w:rsidP="00EA343B"/>
    <w:p w:rsidR="00EA343B" w:rsidRDefault="00EA343B" w:rsidP="00EA343B">
      <w:r w:rsidRPr="00DC3D5C">
        <w:rPr>
          <w:noProof/>
          <w:lang w:val="en-AU" w:eastAsia="en-AU"/>
        </w:rPr>
        <mc:AlternateContent>
          <mc:Choice Requires="wps">
            <w:drawing>
              <wp:anchor distT="0" distB="0" distL="114300" distR="114300" simplePos="0" relativeHeight="251663360" behindDoc="0" locked="0" layoutInCell="1" allowOverlap="1" wp14:anchorId="054D90D7" wp14:editId="0BBA2D93">
                <wp:simplePos x="0" y="0"/>
                <wp:positionH relativeFrom="column">
                  <wp:posOffset>1095375</wp:posOffset>
                </wp:positionH>
                <wp:positionV relativeFrom="paragraph">
                  <wp:posOffset>6985</wp:posOffset>
                </wp:positionV>
                <wp:extent cx="952500" cy="428625"/>
                <wp:effectExtent l="0" t="0" r="19050" b="28575"/>
                <wp:wrapNone/>
                <wp:docPr id="76" name="Flowchart: Process 2"/>
                <wp:cNvGraphicFramePr/>
                <a:graphic xmlns:a="http://schemas.openxmlformats.org/drawingml/2006/main">
                  <a:graphicData uri="http://schemas.microsoft.com/office/word/2010/wordprocessingShape">
                    <wps:wsp>
                      <wps:cNvSpPr/>
                      <wps:spPr>
                        <a:xfrm>
                          <a:off x="0" y="0"/>
                          <a:ext cx="952500" cy="428625"/>
                        </a:xfrm>
                        <a:prstGeom prst="flowChartProcess">
                          <a:avLst/>
                        </a:prstGeom>
                        <a:noFill/>
                        <a:ln w="25400" cap="flat" cmpd="sng" algn="ctr">
                          <a:solidFill>
                            <a:schemeClr val="tx1"/>
                          </a:solidFill>
                          <a:prstDash val="solid"/>
                          <a:miter lim="800000"/>
                        </a:ln>
                        <a:effectLst/>
                      </wps:spPr>
                      <wps:txbx>
                        <w:txbxContent>
                          <w:p w:rsidR="00EA343B" w:rsidRPr="00DC3D5C" w:rsidRDefault="00EA343B" w:rsidP="00EA343B">
                            <w:pPr>
                              <w:pStyle w:val="NormalWeb"/>
                              <w:spacing w:before="0" w:beforeAutospacing="0" w:after="0" w:afterAutospacing="0"/>
                              <w:jc w:val="center"/>
                              <w:rPr>
                                <w:rFonts w:asciiTheme="majorBidi" w:hAnsiTheme="majorBidi" w:cstheme="majorBidi"/>
                                <w:b/>
                                <w:bCs/>
                                <w:sz w:val="32"/>
                                <w:szCs w:val="32"/>
                              </w:rPr>
                            </w:pPr>
                            <w:r>
                              <w:rPr>
                                <w:rFonts w:asciiTheme="majorBidi" w:hAnsiTheme="majorBidi" w:cstheme="majorBidi"/>
                                <w:b/>
                                <w:bCs/>
                                <w:color w:val="000000" w:themeColor="dark1"/>
                                <w:kern w:val="24"/>
                                <w:sz w:val="32"/>
                                <w:szCs w:val="32"/>
                              </w:rPr>
                              <w:t>Part 2</w:t>
                            </w:r>
                          </w:p>
                          <w:p w:rsidR="00EA343B" w:rsidRDefault="00EA343B" w:rsidP="00EA343B">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4D90D7" id="_x0000_s1033" type="#_x0000_t109" style="position:absolute;margin-left:86.25pt;margin-top:.55pt;width: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" filled="f" strokecolor="black [3213]" strokeweight="2pt">
                <v:textbox>
                  <w:txbxContent>
                    <w:p w:rsidR="00EA343B" w:rsidRPr="00DC3D5C" w:rsidRDefault="00EA343B" w:rsidP="00EA343B">
                      <w:pPr>
                        <w:pStyle w:val="NormalWeb"/>
                        <w:spacing w:before="0" w:beforeAutospacing="0" w:after="0" w:afterAutospacing="0"/>
                        <w:jc w:val="center"/>
                        <w:rPr>
                          <w:rFonts w:asciiTheme="majorBidi" w:hAnsiTheme="majorBidi" w:cstheme="majorBidi"/>
                          <w:b/>
                          <w:bCs/>
                          <w:sz w:val="32"/>
                          <w:szCs w:val="32"/>
                        </w:rPr>
                      </w:pPr>
                      <w:r>
                        <w:rPr>
                          <w:rFonts w:asciiTheme="majorBidi" w:hAnsiTheme="majorBidi" w:cstheme="majorBidi"/>
                          <w:b/>
                          <w:bCs/>
                          <w:color w:val="000000" w:themeColor="dark1"/>
                          <w:kern w:val="24"/>
                          <w:sz w:val="32"/>
                          <w:szCs w:val="32"/>
                        </w:rPr>
                        <w:t>Part 2</w:t>
                      </w:r>
                    </w:p>
                    <w:p w:rsidR="00EA343B" w:rsidRDefault="00EA343B" w:rsidP="00EA343B">
                      <w:pPr>
                        <w:pStyle w:val="NormalWeb"/>
                        <w:spacing w:before="0" w:beforeAutospacing="0" w:after="0" w:afterAutospacing="0"/>
                        <w:jc w:val="center"/>
                      </w:pPr>
                    </w:p>
                  </w:txbxContent>
                </v:textbox>
              </v:shape>
            </w:pict>
          </mc:Fallback>
        </mc:AlternateContent>
      </w:r>
    </w:p>
    <w:p w:rsidR="00EA343B" w:rsidRDefault="00EA343B" w:rsidP="00EA343B">
      <w:r w:rsidRPr="00556EDD">
        <w:rPr>
          <w:rFonts w:asciiTheme="majorBidi" w:hAnsiTheme="majorBidi" w:cstheme="majorBidi"/>
          <w:noProof/>
          <w:lang w:val="en-AU" w:eastAsia="en-AU"/>
        </w:rPr>
        <mc:AlternateContent>
          <mc:Choice Requires="wps">
            <w:drawing>
              <wp:anchor distT="45720" distB="45720" distL="114300" distR="114300" simplePos="0" relativeHeight="251665408" behindDoc="0" locked="0" layoutInCell="1" allowOverlap="1" wp14:anchorId="00730CFD" wp14:editId="58C5FC4F">
                <wp:simplePos x="0" y="0"/>
                <wp:positionH relativeFrom="column">
                  <wp:posOffset>3623310</wp:posOffset>
                </wp:positionH>
                <wp:positionV relativeFrom="paragraph">
                  <wp:posOffset>24130</wp:posOffset>
                </wp:positionV>
                <wp:extent cx="2505075" cy="838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solidFill>
                          <a:srgbClr val="FFFFFF"/>
                        </a:solidFill>
                        <a:ln w="28575">
                          <a:solidFill>
                            <a:srgbClr val="000000"/>
                          </a:solidFill>
                          <a:miter lim="800000"/>
                          <a:headEnd/>
                          <a:tailEnd/>
                        </a:ln>
                      </wps:spPr>
                      <wps:txbx>
                        <w:txbxContent>
                          <w:p w:rsidR="00EA343B" w:rsidRPr="004C11C9" w:rsidRDefault="00EA343B" w:rsidP="00EA343B">
                            <w:pPr>
                              <w:rPr>
                                <w14:textOutline w14:w="9525" w14:cap="rnd" w14:cmpd="sng" w14:algn="ctr">
                                  <w14:solidFill>
                                    <w14:srgbClr w14:val="000000"/>
                                  </w14:solidFill>
                                  <w14:prstDash w14:val="solid"/>
                                  <w14:bevel/>
                                </w14:textOutline>
                              </w:rPr>
                            </w:pPr>
                            <w:r w:rsidRPr="004C11C9">
                              <w:rPr>
                                <w14:textOutline w14:w="9525" w14:cap="rnd" w14:cmpd="sng" w14:algn="ctr">
                                  <w14:solidFill>
                                    <w14:srgbClr w14:val="000000"/>
                                  </w14:solidFill>
                                  <w14:prstDash w14:val="solid"/>
                                  <w14:bevel/>
                                </w14:textOutline>
                              </w:rPr>
                              <w:t>Randomised assignment to 50% or 75% VO2 max groups. Randomised testing of MIPM or CPM assessment protocols between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0730CFD" id="_x0000_t202" coordsize="21600,21600" o:spt="202" path="m,l,21600r21600,l21600,xe">
                <v:stroke joinstyle="miter"/>
                <v:path gradientshapeok="t" o:connecttype="rect"/>
              </v:shapetype>
              <v:shape id="Text Box 2" o:spid="_x0000_s1034" type="#_x0000_t202" style="position:absolute;margin-left:285.3pt;margin-top:1.9pt;width:197.2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" strokeweight="2.25pt">
                <v:textbox>
                  <w:txbxContent>
                    <w:p w:rsidR="00EA343B" w:rsidRPr="004C11C9" w:rsidRDefault="00EA343B" w:rsidP="00EA343B">
                      <w:pPr>
                        <w:rPr>
                          <w14:textOutline w14:w="9525" w14:cap="rnd" w14:cmpd="sng" w14:algn="ctr">
                            <w14:solidFill>
                              <w14:srgbClr w14:val="000000"/>
                            </w14:solidFill>
                            <w14:prstDash w14:val="solid"/>
                            <w14:bevel/>
                          </w14:textOutline>
                        </w:rPr>
                      </w:pPr>
                      <w:r w:rsidRPr="004C11C9">
                        <w:rPr>
                          <w14:textOutline w14:w="9525" w14:cap="rnd" w14:cmpd="sng" w14:algn="ctr">
                            <w14:solidFill>
                              <w14:srgbClr w14:val="000000"/>
                            </w14:solidFill>
                            <w14:prstDash w14:val="solid"/>
                            <w14:bevel/>
                          </w14:textOutline>
                        </w:rPr>
                        <w:t>Randomised assignment to 50% or 75% VO2 max groups. Randomised testing of MIPM or CPM assessment protocols between days.</w:t>
                      </w:r>
                    </w:p>
                  </w:txbxContent>
                </v:textbox>
                <w10:wrap type="square"/>
              </v:shape>
            </w:pict>
          </mc:Fallback>
        </mc:AlternateContent>
      </w:r>
      <w:r>
        <w:t xml:space="preserve">                                                                     </w:t>
      </w:r>
    </w:p>
    <w:p w:rsidR="00EA343B" w:rsidRPr="003535C2" w:rsidRDefault="00EA343B" w:rsidP="00EA343B">
      <w:pPr>
        <w:rPr>
          <w:rFonts w:asciiTheme="majorBidi" w:hAnsiTheme="majorBidi" w:cstheme="majorBidi"/>
          <w:b/>
          <w:bCs/>
          <w:i/>
          <w:iCs/>
          <w:sz w:val="28"/>
          <w:szCs w:val="28"/>
        </w:rPr>
      </w:pPr>
    </w:p>
    <w:p w:rsidR="00EA343B" w:rsidRPr="003535C2" w:rsidRDefault="00EA343B" w:rsidP="00EA343B">
      <w:pPr>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Pr="003535C2">
        <w:rPr>
          <w:rFonts w:asciiTheme="majorBidi" w:hAnsiTheme="majorBidi" w:cstheme="majorBidi"/>
          <w:b/>
          <w:bCs/>
          <w:i/>
          <w:iCs/>
          <w:sz w:val="28"/>
          <w:szCs w:val="28"/>
        </w:rPr>
        <w:t xml:space="preserve">Day 2 </w:t>
      </w:r>
      <w:r>
        <w:rPr>
          <w:rFonts w:asciiTheme="majorBidi" w:hAnsiTheme="majorBidi" w:cstheme="majorBidi"/>
          <w:b/>
          <w:bCs/>
          <w:i/>
          <w:iCs/>
          <w:sz w:val="28"/>
          <w:szCs w:val="28"/>
        </w:rPr>
        <w:t xml:space="preserve">                                                                                       Day 3     </w:t>
      </w:r>
      <w:r w:rsidRPr="003535C2">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  </w:t>
      </w:r>
      <w:r w:rsidRPr="003535C2">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              </w:t>
      </w:r>
    </w:p>
    <w:p w:rsidR="00EA343B" w:rsidRDefault="00EA343B" w:rsidP="00EA343B">
      <w:r>
        <w:rPr>
          <w:noProof/>
          <w:lang w:val="en-AU" w:eastAsia="en-AU"/>
        </w:rPr>
        <mc:AlternateContent>
          <mc:Choice Requires="wpg">
            <w:drawing>
              <wp:anchor distT="0" distB="0" distL="114300" distR="114300" simplePos="0" relativeHeight="251659264" behindDoc="0" locked="0" layoutInCell="1" allowOverlap="1" wp14:anchorId="3E6D3798" wp14:editId="7EFA9FCD">
                <wp:simplePos x="0" y="0"/>
                <wp:positionH relativeFrom="margin">
                  <wp:align>left</wp:align>
                </wp:positionH>
                <wp:positionV relativeFrom="paragraph">
                  <wp:posOffset>9525</wp:posOffset>
                </wp:positionV>
                <wp:extent cx="2876550" cy="2914015"/>
                <wp:effectExtent l="0" t="0" r="19050" b="19685"/>
                <wp:wrapNone/>
                <wp:docPr id="3" name="Group 3"/>
                <wp:cNvGraphicFramePr/>
                <a:graphic xmlns:a="http://schemas.openxmlformats.org/drawingml/2006/main">
                  <a:graphicData uri="http://schemas.microsoft.com/office/word/2010/wordprocessingGroup">
                    <wpg:wgp>
                      <wpg:cNvGrpSpPr/>
                      <wpg:grpSpPr>
                        <a:xfrm>
                          <a:off x="0" y="0"/>
                          <a:ext cx="2876550" cy="2914015"/>
                          <a:chOff x="0" y="0"/>
                          <a:chExt cx="2876550" cy="2914015"/>
                        </a:xfrm>
                      </wpg:grpSpPr>
                      <wps:wsp>
                        <wps:cNvPr id="4" name="Rectangle 7"/>
                        <wps:cNvSpPr/>
                        <wps:spPr>
                          <a:xfrm>
                            <a:off x="0" y="685800"/>
                            <a:ext cx="1266825" cy="961390"/>
                          </a:xfrm>
                          <a:prstGeom prst="rec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wps:txbx>
                        <wps:bodyPr wrap="square" rtlCol="0" anchor="ctr">
                          <a:noAutofit/>
                        </wps:bodyPr>
                      </wps:wsp>
                      <wps:wsp>
                        <wps:cNvPr id="5" name="Rectangle 7"/>
                        <wps:cNvSpPr/>
                        <wps:spPr>
                          <a:xfrm>
                            <a:off x="1590675" y="695325"/>
                            <a:ext cx="1285875" cy="961390"/>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EA343B" w:rsidRPr="000D3E0D" w:rsidRDefault="00EA343B" w:rsidP="00EA343B">
                              <w:pPr>
                                <w:pStyle w:val="NormalWeb"/>
                                <w:spacing w:before="0" w:beforeAutospacing="0" w:after="0" w:afterAutospacing="0"/>
                                <w:jc w:val="center"/>
                                <w:rPr>
                                  <w:rFonts w:asciiTheme="majorBidi" w:hAnsiTheme="majorBidi" w:cstheme="majorBidi"/>
                                  <w:b/>
                                  <w:bCs/>
                                  <w:color w:val="538135" w:themeColor="accent6" w:themeShade="BF"/>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wps:txbx>
                        <wps:bodyPr wrap="square" rtlCol="0" anchor="ctr">
                          <a:noAutofit/>
                        </wps:bodyPr>
                      </wps:wsp>
                      <wps:wsp>
                        <wps:cNvPr id="6" name="Right Arrow 55"/>
                        <wps:cNvSpPr/>
                        <wps:spPr>
                          <a:xfrm rot="5400000">
                            <a:off x="2085975" y="495300"/>
                            <a:ext cx="290510" cy="138113"/>
                          </a:xfrm>
                          <a:prstGeom prst="rightArrow">
                            <a:avLst>
                              <a:gd name="adj1" fmla="val 60000"/>
                              <a:gd name="adj2" fmla="val 50000"/>
                            </a:avLst>
                          </a:prstGeom>
                          <a:solidFill>
                            <a:schemeClr val="tx1"/>
                          </a:solidFill>
                        </wps:spPr>
                        <wps:style>
                          <a:lnRef idx="0">
                            <a:schemeClr val="accent1">
                              <a:tint val="60000"/>
                              <a:hueOff val="0"/>
                              <a:satOff val="0"/>
                              <a:lumOff val="0"/>
                              <a:alphaOff val="0"/>
                            </a:schemeClr>
                          </a:lnRef>
                          <a:fillRef idx="1">
                            <a:scrgbClr r="0" g="0" b="0"/>
                          </a:fillRef>
                          <a:effectRef idx="0">
                            <a:schemeClr val="accent1">
                              <a:tint val="60000"/>
                              <a:hueOff val="0"/>
                              <a:satOff val="0"/>
                              <a:lumOff val="0"/>
                              <a:alphaOff val="0"/>
                            </a:schemeClr>
                          </a:effectRef>
                          <a:fontRef idx="minor">
                            <a:schemeClr val="lt1"/>
                          </a:fontRef>
                        </wps:style>
                        <wps:bodyPr/>
                      </wps:wsp>
                      <wps:wsp>
                        <wps:cNvPr id="7" name="Right Arrow 55"/>
                        <wps:cNvSpPr/>
                        <wps:spPr>
                          <a:xfrm rot="5400000">
                            <a:off x="476250" y="485775"/>
                            <a:ext cx="290510" cy="138113"/>
                          </a:xfrm>
                          <a:prstGeom prst="rightArrow">
                            <a:avLst>
                              <a:gd name="adj1" fmla="val 60000"/>
                              <a:gd name="adj2" fmla="val 50000"/>
                            </a:avLst>
                          </a:prstGeom>
                          <a:solidFill>
                            <a:sysClr val="windowText" lastClr="000000"/>
                          </a:solidFill>
                          <a:ln>
                            <a:noFill/>
                          </a:ln>
                          <a:effectLst/>
                        </wps:spPr>
                        <wps:bodyPr/>
                      </wps:wsp>
                      <wps:wsp>
                        <wps:cNvPr id="9" name="Right Arrow 55"/>
                        <wps:cNvSpPr/>
                        <wps:spPr>
                          <a:xfrm rot="5400000">
                            <a:off x="466725" y="1724025"/>
                            <a:ext cx="290510" cy="138113"/>
                          </a:xfrm>
                          <a:prstGeom prst="rightArrow">
                            <a:avLst>
                              <a:gd name="adj1" fmla="val 60000"/>
                              <a:gd name="adj2" fmla="val 50000"/>
                            </a:avLst>
                          </a:prstGeom>
                          <a:solidFill>
                            <a:sysClr val="windowText" lastClr="000000"/>
                          </a:solidFill>
                          <a:ln>
                            <a:noFill/>
                          </a:ln>
                          <a:effectLst/>
                        </wps:spPr>
                        <wps:bodyPr/>
                      </wps:wsp>
                      <wps:wsp>
                        <wps:cNvPr id="11" name="Right Arrow 55"/>
                        <wps:cNvSpPr/>
                        <wps:spPr>
                          <a:xfrm rot="5400000">
                            <a:off x="2076450" y="1743075"/>
                            <a:ext cx="290510" cy="138113"/>
                          </a:xfrm>
                          <a:prstGeom prst="rightArrow">
                            <a:avLst>
                              <a:gd name="adj1" fmla="val 60000"/>
                              <a:gd name="adj2" fmla="val 50000"/>
                            </a:avLst>
                          </a:prstGeom>
                          <a:solidFill>
                            <a:sysClr val="windowText" lastClr="000000"/>
                          </a:solidFill>
                          <a:ln>
                            <a:noFill/>
                          </a:ln>
                          <a:effectLst/>
                        </wps:spPr>
                        <wps:bodyPr/>
                      </wps:wsp>
                      <wps:wsp>
                        <wps:cNvPr id="12" name="Flowchart: Terminator 8"/>
                        <wps:cNvSpPr/>
                        <wps:spPr>
                          <a:xfrm>
                            <a:off x="219075" y="0"/>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13" name="Flowchart: Terminator 8"/>
                        <wps:cNvSpPr/>
                        <wps:spPr>
                          <a:xfrm>
                            <a:off x="1828800" y="9525"/>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14" name="Rectangle 7"/>
                        <wps:cNvSpPr/>
                        <wps:spPr>
                          <a:xfrm>
                            <a:off x="95250" y="1933575"/>
                            <a:ext cx="1028700" cy="962025"/>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15" name="Rectangle 7"/>
                        <wps:cNvSpPr/>
                        <wps:spPr>
                          <a:xfrm>
                            <a:off x="1704975" y="1952625"/>
                            <a:ext cx="1028700" cy="961390"/>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CPM </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E6D3798" id="Group 3" o:spid="_x0000_s1035" style="position:absolute;margin-left:0;margin-top:.75pt;width:226.5pt;height:229.45pt;z-index:251659264;mso-position-horizontal:left;mso-position-horizontal-relative:margin" coordsize="28765,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">
                <v:rect id="Rectangle 7" o:spid="_x0000_s1036" style="position:absolute;top:6858;width:12668;height:9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" fillcolor="#c5e0b3 [130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v:textbox>
                </v:rect>
                <v:rect id="Rectangle 7" o:spid="_x0000_s1037" style="position:absolute;left:15906;top:6953;width:12859;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" fillcolor="#a8d08d [1945]" strokecolor="windowText" strokeweight="1pt">
                  <v:textbox>
                    <w:txbxContent>
                      <w:p w:rsidR="00EA343B" w:rsidRPr="000D3E0D" w:rsidRDefault="00EA343B" w:rsidP="00EA343B">
                        <w:pPr>
                          <w:pStyle w:val="NormalWeb"/>
                          <w:spacing w:before="0" w:beforeAutospacing="0" w:after="0" w:afterAutospacing="0"/>
                          <w:jc w:val="center"/>
                          <w:rPr>
                            <w:rFonts w:asciiTheme="majorBidi" w:hAnsiTheme="majorBidi" w:cstheme="majorBidi"/>
                            <w:b/>
                            <w:bCs/>
                            <w:color w:val="538135" w:themeColor="accent6" w:themeShade="BF"/>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v:textbox>
                </v:rect>
                <v:shape id="Right Arrow 55" o:spid="_x0000_s1038" type="#_x0000_t13" style="position:absolute;left:20859;top:4953;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" adj="16466,4320" fillcolor="black [3213]" stroked="f"/>
                <v:shape id="Right Arrow 55" o:spid="_x0000_s1039" type="#_x0000_t13" style="position:absolute;left:4762;top:4857;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" adj="16466,4320" fillcolor="windowText" stroked="f"/>
                <v:shape id="Right Arrow 55" o:spid="_x0000_s1040" type="#_x0000_t13" style="position:absolute;left:4667;top:1724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" adj="16466,4320" fillcolor="windowText" stroked="f"/>
                <v:shape id="Right Arrow 55" o:spid="_x0000_s1041" type="#_x0000_t13" style="position:absolute;left:20764;top:1743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" adj="16466,4320" fillcolor="windowText" stroked="f"/>
                <v:shapetype id="_x0000_t116" coordsize="21600,21600" o:spt="116" path="m3475,qx,10800,3475,21600l18125,21600qx21600,10800,18125,xe">
                  <v:stroke joinstyle="miter"/>
                  <v:path gradientshapeok="t" o:connecttype="rect" textboxrect="1018,3163,20582,18437"/>
                </v:shapetype>
                <v:shape id="Flowchart: Terminator 8" o:spid="_x0000_s1042" type="#_x0000_t116" style="position:absolute;left:2190;width:80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shape id="Flowchart: Terminator 8" o:spid="_x0000_s1043" type="#_x0000_t116" style="position:absolute;left:18288;top:95;width:8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rect id="Rectangle 7" o:spid="_x0000_s1044" style="position:absolute;left:952;top:19335;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45" style="position:absolute;left:17049;top:19526;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CPM </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w10:wrap anchorx="margin"/>
              </v:group>
            </w:pict>
          </mc:Fallback>
        </mc:AlternateContent>
      </w:r>
      <w:r>
        <w:rPr>
          <w:noProof/>
          <w:lang w:val="en-AU" w:eastAsia="en-AU"/>
        </w:rPr>
        <mc:AlternateContent>
          <mc:Choice Requires="wpg">
            <w:drawing>
              <wp:anchor distT="0" distB="0" distL="114300" distR="114300" simplePos="0" relativeHeight="251661312" behindDoc="0" locked="0" layoutInCell="1" allowOverlap="1" wp14:anchorId="6FD176A7" wp14:editId="51C1D62F">
                <wp:simplePos x="0" y="0"/>
                <wp:positionH relativeFrom="margin">
                  <wp:posOffset>5086350</wp:posOffset>
                </wp:positionH>
                <wp:positionV relativeFrom="paragraph">
                  <wp:posOffset>47625</wp:posOffset>
                </wp:positionV>
                <wp:extent cx="2876550" cy="2914015"/>
                <wp:effectExtent l="0" t="0" r="19050" b="19685"/>
                <wp:wrapNone/>
                <wp:docPr id="28" name="Group 28"/>
                <wp:cNvGraphicFramePr/>
                <a:graphic xmlns:a="http://schemas.openxmlformats.org/drawingml/2006/main">
                  <a:graphicData uri="http://schemas.microsoft.com/office/word/2010/wordprocessingGroup">
                    <wpg:wgp>
                      <wpg:cNvGrpSpPr/>
                      <wpg:grpSpPr>
                        <a:xfrm>
                          <a:off x="0" y="0"/>
                          <a:ext cx="2876550" cy="2914015"/>
                          <a:chOff x="0" y="0"/>
                          <a:chExt cx="2876550" cy="2914015"/>
                        </a:xfrm>
                      </wpg:grpSpPr>
                      <wps:wsp>
                        <wps:cNvPr id="29" name="Rectangle 7"/>
                        <wps:cNvSpPr/>
                        <wps:spPr>
                          <a:xfrm>
                            <a:off x="0" y="685800"/>
                            <a:ext cx="1266825" cy="961390"/>
                          </a:xfrm>
                          <a:prstGeom prst="rec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wps:txbx>
                        <wps:bodyPr wrap="square" rtlCol="0" anchor="ctr">
                          <a:noAutofit/>
                        </wps:bodyPr>
                      </wps:wsp>
                      <wps:wsp>
                        <wps:cNvPr id="30" name="Rectangle 7"/>
                        <wps:cNvSpPr/>
                        <wps:spPr>
                          <a:xfrm>
                            <a:off x="1590675" y="695325"/>
                            <a:ext cx="1285875" cy="961390"/>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wps:txbx>
                        <wps:bodyPr wrap="square" rtlCol="0" anchor="ctr">
                          <a:noAutofit/>
                        </wps:bodyPr>
                      </wps:wsp>
                      <wps:wsp>
                        <wps:cNvPr id="31" name="Right Arrow 55"/>
                        <wps:cNvSpPr/>
                        <wps:spPr>
                          <a:xfrm rot="5400000">
                            <a:off x="2085975" y="495300"/>
                            <a:ext cx="290510" cy="138113"/>
                          </a:xfrm>
                          <a:prstGeom prst="rightArrow">
                            <a:avLst>
                              <a:gd name="adj1" fmla="val 60000"/>
                              <a:gd name="adj2" fmla="val 50000"/>
                            </a:avLst>
                          </a:prstGeom>
                          <a:solidFill>
                            <a:schemeClr val="tx1"/>
                          </a:solidFill>
                        </wps:spPr>
                        <wps:style>
                          <a:lnRef idx="0">
                            <a:schemeClr val="accent1">
                              <a:tint val="60000"/>
                              <a:hueOff val="0"/>
                              <a:satOff val="0"/>
                              <a:lumOff val="0"/>
                              <a:alphaOff val="0"/>
                            </a:schemeClr>
                          </a:lnRef>
                          <a:fillRef idx="1">
                            <a:scrgbClr r="0" g="0" b="0"/>
                          </a:fillRef>
                          <a:effectRef idx="0">
                            <a:schemeClr val="accent1">
                              <a:tint val="60000"/>
                              <a:hueOff val="0"/>
                              <a:satOff val="0"/>
                              <a:lumOff val="0"/>
                              <a:alphaOff val="0"/>
                            </a:schemeClr>
                          </a:effectRef>
                          <a:fontRef idx="minor">
                            <a:schemeClr val="lt1"/>
                          </a:fontRef>
                        </wps:style>
                        <wps:bodyPr/>
                      </wps:wsp>
                      <wps:wsp>
                        <wps:cNvPr id="64" name="Right Arrow 55"/>
                        <wps:cNvSpPr/>
                        <wps:spPr>
                          <a:xfrm rot="5400000">
                            <a:off x="476250" y="485775"/>
                            <a:ext cx="290510" cy="138113"/>
                          </a:xfrm>
                          <a:prstGeom prst="rightArrow">
                            <a:avLst>
                              <a:gd name="adj1" fmla="val 60000"/>
                              <a:gd name="adj2" fmla="val 50000"/>
                            </a:avLst>
                          </a:prstGeom>
                          <a:solidFill>
                            <a:sysClr val="windowText" lastClr="000000"/>
                          </a:solidFill>
                          <a:ln>
                            <a:noFill/>
                          </a:ln>
                          <a:effectLst/>
                        </wps:spPr>
                        <wps:bodyPr/>
                      </wps:wsp>
                      <wps:wsp>
                        <wps:cNvPr id="65" name="Right Arrow 55"/>
                        <wps:cNvSpPr/>
                        <wps:spPr>
                          <a:xfrm rot="5400000">
                            <a:off x="466725" y="1724025"/>
                            <a:ext cx="290510" cy="138113"/>
                          </a:xfrm>
                          <a:prstGeom prst="rightArrow">
                            <a:avLst>
                              <a:gd name="adj1" fmla="val 60000"/>
                              <a:gd name="adj2" fmla="val 50000"/>
                            </a:avLst>
                          </a:prstGeom>
                          <a:solidFill>
                            <a:sysClr val="windowText" lastClr="000000"/>
                          </a:solidFill>
                          <a:ln>
                            <a:noFill/>
                          </a:ln>
                          <a:effectLst/>
                        </wps:spPr>
                        <wps:bodyPr/>
                      </wps:wsp>
                      <wps:wsp>
                        <wps:cNvPr id="67" name="Right Arrow 55"/>
                        <wps:cNvSpPr/>
                        <wps:spPr>
                          <a:xfrm rot="5400000">
                            <a:off x="2076450" y="1743075"/>
                            <a:ext cx="290510" cy="138113"/>
                          </a:xfrm>
                          <a:prstGeom prst="rightArrow">
                            <a:avLst>
                              <a:gd name="adj1" fmla="val 60000"/>
                              <a:gd name="adj2" fmla="val 50000"/>
                            </a:avLst>
                          </a:prstGeom>
                          <a:solidFill>
                            <a:sysClr val="windowText" lastClr="000000"/>
                          </a:solidFill>
                          <a:ln>
                            <a:noFill/>
                          </a:ln>
                          <a:effectLst/>
                        </wps:spPr>
                        <wps:bodyPr/>
                      </wps:wsp>
                      <wps:wsp>
                        <wps:cNvPr id="68" name="Flowchart: Terminator 8"/>
                        <wps:cNvSpPr/>
                        <wps:spPr>
                          <a:xfrm>
                            <a:off x="219075" y="0"/>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69" name="Flowchart: Terminator 8"/>
                        <wps:cNvSpPr/>
                        <wps:spPr>
                          <a:xfrm>
                            <a:off x="1828800" y="9525"/>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70" name="Rectangle 7"/>
                        <wps:cNvSpPr/>
                        <wps:spPr>
                          <a:xfrm>
                            <a:off x="95250" y="1933575"/>
                            <a:ext cx="1028700" cy="962025"/>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71" name="Rectangle 7"/>
                        <wps:cNvSpPr/>
                        <wps:spPr>
                          <a:xfrm>
                            <a:off x="1704975" y="1952625"/>
                            <a:ext cx="1028700" cy="961390"/>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FD176A7" id="Group 28" o:spid="_x0000_s1046" style="position:absolute;margin-left:400.5pt;margin-top:3.75pt;width:226.5pt;height:229.45pt;z-index:251661312;mso-position-horizontal-relative:margin" coordsize="28765,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">
                <v:rect id="Rectangle 7" o:spid="_x0000_s1047" style="position:absolute;top:6858;width:12668;height:9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" fillcolor="#c5e0b3 [130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v:textbox>
                </v:rect>
                <v:rect id="Rectangle 7" o:spid="_x0000_s1048" style="position:absolute;left:15906;top:6953;width:12859;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" fillcolor="#a8d08d [194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v:textbox>
                </v:rect>
                <v:shape id="Right Arrow 55" o:spid="_x0000_s1049" type="#_x0000_t13" style="position:absolute;left:20859;top:4953;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" adj="16466,4320" fillcolor="black [3213]" stroked="f"/>
                <v:shape id="Right Arrow 55" o:spid="_x0000_s1050" type="#_x0000_t13" style="position:absolute;left:4762;top:4857;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" adj="16466,4320" fillcolor="windowText" stroked="f"/>
                <v:shape id="Right Arrow 55" o:spid="_x0000_s1051" type="#_x0000_t13" style="position:absolute;left:4667;top:1724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" adj="16466,4320" fillcolor="windowText" stroked="f"/>
                <v:shape id="Right Arrow 55" o:spid="_x0000_s1052" type="#_x0000_t13" style="position:absolute;left:20764;top:1743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" adj="16466,4320" fillcolor="windowText" stroked="f"/>
                <v:shape id="Flowchart: Terminator 8" o:spid="_x0000_s1053" type="#_x0000_t116" style="position:absolute;left:2190;width:80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shape id="Flowchart: Terminator 8" o:spid="_x0000_s1054" type="#_x0000_t116" style="position:absolute;left:18288;top:95;width:8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rect id="Rectangle 7" o:spid="_x0000_s1055" style="position:absolute;left:952;top:19335;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56" style="position:absolute;left:17049;top:19526;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w10:wrap anchorx="margin"/>
              </v:group>
            </w:pict>
          </mc:Fallback>
        </mc:AlternateContent>
      </w:r>
    </w:p>
    <w:p w:rsidR="00EA343B" w:rsidRDefault="00EA343B" w:rsidP="00EA343B"/>
    <w:p w:rsidR="00EA343B" w:rsidRDefault="00EA343B" w:rsidP="00EA343B">
      <w:r>
        <w:rPr>
          <w:noProof/>
          <w:lang w:val="en-AU" w:eastAsia="en-AU"/>
        </w:rPr>
        <mc:AlternateContent>
          <mc:Choice Requires="wps">
            <w:drawing>
              <wp:anchor distT="0" distB="0" distL="114300" distR="114300" simplePos="0" relativeHeight="251664384" behindDoc="0" locked="0" layoutInCell="1" allowOverlap="1" wp14:anchorId="1442AA1C" wp14:editId="5C84B043">
                <wp:simplePos x="0" y="0"/>
                <wp:positionH relativeFrom="column">
                  <wp:posOffset>3213735</wp:posOffset>
                </wp:positionH>
                <wp:positionV relativeFrom="paragraph">
                  <wp:posOffset>617856</wp:posOffset>
                </wp:positionV>
                <wp:extent cx="1447699" cy="732790"/>
                <wp:effectExtent l="0" t="19050" r="38735" b="29210"/>
                <wp:wrapNone/>
                <wp:docPr id="1" name="Right Arrow 65"/>
                <wp:cNvGraphicFramePr/>
                <a:graphic xmlns:a="http://schemas.openxmlformats.org/drawingml/2006/main">
                  <a:graphicData uri="http://schemas.microsoft.com/office/word/2010/wordprocessingShape">
                    <wps:wsp>
                      <wps:cNvSpPr/>
                      <wps:spPr>
                        <a:xfrm>
                          <a:off x="0" y="0"/>
                          <a:ext cx="1447699" cy="732790"/>
                        </a:xfrm>
                        <a:prstGeom prst="rightArrow">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42AA1C" id="Right Arrow 65" o:spid="_x0000_s1057" type="#_x0000_t13" style="position:absolute;margin-left:253.05pt;margin-top:48.65pt;width:114pt;height:5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" adj="16133" fillcolor="#9dc3e6" strokecolor="#41719c"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v:textbox>
              </v:shape>
            </w:pict>
          </mc:Fallback>
        </mc:AlternateContent>
      </w:r>
    </w:p>
    <w:p w:rsidR="00AA0E6A" w:rsidRDefault="004B0F64"/>
    <w:sectPr w:rsidR="00AA0E6A" w:rsidSect="0050640B">
      <w:pgSz w:w="15840" w:h="12240" w:orient="landscape"/>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64" w:rsidRDefault="004B0F64">
      <w:pPr>
        <w:spacing w:after="0" w:line="240" w:lineRule="auto"/>
      </w:pPr>
      <w:r>
        <w:separator/>
      </w:r>
    </w:p>
  </w:endnote>
  <w:endnote w:type="continuationSeparator" w:id="0">
    <w:p w:rsidR="004B0F64" w:rsidRDefault="004B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8266"/>
      <w:docPartObj>
        <w:docPartGallery w:val="Page Numbers (Bottom of Page)"/>
        <w:docPartUnique/>
      </w:docPartObj>
    </w:sdtPr>
    <w:sdtEndPr>
      <w:rPr>
        <w:color w:val="7F7F7F" w:themeColor="background1" w:themeShade="7F"/>
        <w:spacing w:val="60"/>
      </w:rPr>
    </w:sdtEndPr>
    <w:sdtContent>
      <w:p w:rsidR="00BB6ED7" w:rsidRDefault="00BB6E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10F7" w:rsidRPr="00D210F7">
          <w:rPr>
            <w:b/>
            <w:bCs/>
            <w:noProof/>
          </w:rPr>
          <w:t>1</w:t>
        </w:r>
        <w:r>
          <w:rPr>
            <w:b/>
            <w:bCs/>
            <w:noProof/>
          </w:rPr>
          <w:fldChar w:fldCharType="end"/>
        </w:r>
        <w:r>
          <w:rPr>
            <w:b/>
            <w:bCs/>
          </w:rPr>
          <w:t xml:space="preserve"> | </w:t>
        </w:r>
        <w:r>
          <w:rPr>
            <w:color w:val="7F7F7F" w:themeColor="background1" w:themeShade="7F"/>
            <w:spacing w:val="60"/>
          </w:rPr>
          <w:t>Page</w:t>
        </w:r>
      </w:p>
    </w:sdtContent>
  </w:sdt>
  <w:p w:rsidR="009667F6" w:rsidRDefault="004B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64" w:rsidRDefault="004B0F64">
      <w:pPr>
        <w:spacing w:after="0" w:line="240" w:lineRule="auto"/>
      </w:pPr>
      <w:r>
        <w:separator/>
      </w:r>
    </w:p>
  </w:footnote>
  <w:footnote w:type="continuationSeparator" w:id="0">
    <w:p w:rsidR="004B0F64" w:rsidRDefault="004B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3D98"/>
    <w:multiLevelType w:val="hybridMultilevel"/>
    <w:tmpl w:val="A8D45224"/>
    <w:lvl w:ilvl="0" w:tplc="0C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59E"/>
    <w:multiLevelType w:val="hybridMultilevel"/>
    <w:tmpl w:val="4E463E02"/>
    <w:lvl w:ilvl="0" w:tplc="0C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E2074"/>
    <w:multiLevelType w:val="multilevel"/>
    <w:tmpl w:val="79201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3B"/>
    <w:rsid w:val="000659D2"/>
    <w:rsid w:val="001A0C40"/>
    <w:rsid w:val="0021784A"/>
    <w:rsid w:val="002A5FF4"/>
    <w:rsid w:val="0038418F"/>
    <w:rsid w:val="003F1AF9"/>
    <w:rsid w:val="004B0F64"/>
    <w:rsid w:val="0061772D"/>
    <w:rsid w:val="008220C3"/>
    <w:rsid w:val="00921203"/>
    <w:rsid w:val="009550AB"/>
    <w:rsid w:val="0096135B"/>
    <w:rsid w:val="00AD5C08"/>
    <w:rsid w:val="00BB6ED7"/>
    <w:rsid w:val="00D210F7"/>
    <w:rsid w:val="00E81C02"/>
    <w:rsid w:val="00EA343B"/>
    <w:rsid w:val="00EA7CC5"/>
    <w:rsid w:val="00F06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36AD9-7504-4D29-8122-AD83D962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3B"/>
  </w:style>
  <w:style w:type="paragraph" w:styleId="Heading1">
    <w:name w:val="heading 1"/>
    <w:basedOn w:val="Normal"/>
    <w:link w:val="Heading1Char"/>
    <w:uiPriority w:val="9"/>
    <w:qFormat/>
    <w:rsid w:val="00EA7CC5"/>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7CC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CC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CC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7CC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7CC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7CC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7CC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CC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3B"/>
    <w:pPr>
      <w:ind w:left="720"/>
      <w:contextualSpacing/>
    </w:pPr>
    <w:rPr>
      <w:rFonts w:eastAsiaTheme="minorEastAsia"/>
    </w:rPr>
  </w:style>
  <w:style w:type="table" w:styleId="TableGrid">
    <w:name w:val="Table Grid"/>
    <w:basedOn w:val="TableNormal"/>
    <w:uiPriority w:val="39"/>
    <w:rsid w:val="00EA343B"/>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43B"/>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styleId="Footer">
    <w:name w:val="footer"/>
    <w:basedOn w:val="Normal"/>
    <w:link w:val="FooterChar"/>
    <w:uiPriority w:val="99"/>
    <w:unhideWhenUsed/>
    <w:rsid w:val="00EA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3B"/>
  </w:style>
  <w:style w:type="character" w:customStyle="1" w:styleId="Heading1Char">
    <w:name w:val="Heading 1 Char"/>
    <w:basedOn w:val="DefaultParagraphFont"/>
    <w:link w:val="Heading1"/>
    <w:uiPriority w:val="9"/>
    <w:rsid w:val="00EA7C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A7C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A7C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A7C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7C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A7C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7C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7C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CC5"/>
    <w:rPr>
      <w:rFonts w:asciiTheme="majorHAnsi" w:eastAsiaTheme="majorEastAsia" w:hAnsiTheme="majorHAnsi" w:cstheme="majorBidi"/>
      <w:i/>
      <w:iCs/>
      <w:color w:val="272727" w:themeColor="text1" w:themeTint="D8"/>
      <w:sz w:val="21"/>
      <w:szCs w:val="21"/>
    </w:rPr>
  </w:style>
  <w:style w:type="character" w:customStyle="1" w:styleId="citation">
    <w:name w:val="citation"/>
    <w:basedOn w:val="DefaultParagraphFont"/>
    <w:rsid w:val="00EA7CC5"/>
  </w:style>
  <w:style w:type="character" w:customStyle="1" w:styleId="ref-journal">
    <w:name w:val="ref-journal"/>
    <w:basedOn w:val="DefaultParagraphFont"/>
    <w:rsid w:val="00EA7CC5"/>
  </w:style>
  <w:style w:type="character" w:customStyle="1" w:styleId="ref-vol">
    <w:name w:val="ref-vol"/>
    <w:basedOn w:val="DefaultParagraphFont"/>
    <w:rsid w:val="00EA7CC5"/>
  </w:style>
  <w:style w:type="character" w:styleId="Hyperlink">
    <w:name w:val="Hyperlink"/>
    <w:basedOn w:val="DefaultParagraphFont"/>
    <w:uiPriority w:val="99"/>
    <w:unhideWhenUsed/>
    <w:rsid w:val="00EA7CC5"/>
    <w:rPr>
      <w:color w:val="0000FF"/>
      <w:u w:val="single"/>
    </w:rPr>
  </w:style>
  <w:style w:type="character" w:customStyle="1" w:styleId="exlresultdetails">
    <w:name w:val="exlresultdetails"/>
    <w:basedOn w:val="DefaultParagraphFont"/>
    <w:rsid w:val="00EA7CC5"/>
  </w:style>
  <w:style w:type="character" w:customStyle="1" w:styleId="searchword">
    <w:name w:val="searchword"/>
    <w:basedOn w:val="DefaultParagraphFont"/>
    <w:rsid w:val="00EA7CC5"/>
  </w:style>
  <w:style w:type="character" w:customStyle="1" w:styleId="highlight">
    <w:name w:val="highlight"/>
    <w:basedOn w:val="DefaultParagraphFont"/>
    <w:rsid w:val="00EA7CC5"/>
  </w:style>
  <w:style w:type="character" w:customStyle="1" w:styleId="mixed-citation">
    <w:name w:val="mixed-citation"/>
    <w:basedOn w:val="DefaultParagraphFont"/>
    <w:rsid w:val="00EA7CC5"/>
  </w:style>
  <w:style w:type="character" w:customStyle="1" w:styleId="ref-title">
    <w:name w:val="ref-title"/>
    <w:basedOn w:val="DefaultParagraphFont"/>
    <w:rsid w:val="00EA7CC5"/>
  </w:style>
  <w:style w:type="character" w:customStyle="1" w:styleId="author">
    <w:name w:val="author"/>
    <w:basedOn w:val="DefaultParagraphFont"/>
    <w:rsid w:val="00EA7CC5"/>
  </w:style>
  <w:style w:type="character" w:customStyle="1" w:styleId="author-name">
    <w:name w:val="author-name"/>
    <w:basedOn w:val="DefaultParagraphFont"/>
    <w:rsid w:val="00EA7CC5"/>
  </w:style>
  <w:style w:type="character" w:customStyle="1" w:styleId="cit">
    <w:name w:val="cit"/>
    <w:basedOn w:val="DefaultParagraphFont"/>
    <w:rsid w:val="00EA7CC5"/>
  </w:style>
  <w:style w:type="character" w:styleId="HTMLCite">
    <w:name w:val="HTML Cite"/>
    <w:basedOn w:val="DefaultParagraphFont"/>
    <w:uiPriority w:val="99"/>
    <w:semiHidden/>
    <w:unhideWhenUsed/>
    <w:rsid w:val="003F1AF9"/>
    <w:rPr>
      <w:i/>
      <w:iCs/>
    </w:rPr>
  </w:style>
  <w:style w:type="paragraph" w:styleId="Header">
    <w:name w:val="header"/>
    <w:basedOn w:val="Normal"/>
    <w:link w:val="HeaderChar"/>
    <w:uiPriority w:val="99"/>
    <w:unhideWhenUsed/>
    <w:rsid w:val="00BB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ombes%20BK%5BAuthor%5D&amp;cauthor=true&amp;cauthor_uid=24480912" TargetMode="External"/><Relationship Id="rId13" Type="http://schemas.openxmlformats.org/officeDocument/2006/relationships/hyperlink" Target="http://dx.doi.org/10.1080/1091367X.2013.805139" TargetMode="External"/><Relationship Id="rId18" Type="http://schemas.openxmlformats.org/officeDocument/2006/relationships/hyperlink" Target="http://www.ncbi.nlm.nih.gov/pubmed/?term=Devill%C3%A9%20WL%5BAuthor%5D&amp;cauthor=true&amp;cauthor_uid=12161838" TargetMode="External"/><Relationship Id="rId26" Type="http://schemas.openxmlformats.org/officeDocument/2006/relationships/hyperlink" Target="http://www.ncbi.nlm.nih.gov/pubmed/?term=Vicenzino%20B%5BAuthor%5D&amp;cauthor=true&amp;cauthor_uid=9777544" TargetMode="External"/><Relationship Id="rId3" Type="http://schemas.openxmlformats.org/officeDocument/2006/relationships/styles" Target="styles.xml"/><Relationship Id="rId21" Type="http://schemas.openxmlformats.org/officeDocument/2006/relationships/hyperlink" Target="http://www.sciencedirect.com/science/journal/00039993/83/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Vicenzino%20B%5BAuthor%5D&amp;cauthor=true&amp;cauthor_uid=24480912" TargetMode="External"/><Relationship Id="rId17" Type="http://schemas.openxmlformats.org/officeDocument/2006/relationships/hyperlink" Target="http://www.ncbi.nlm.nih.gov/pubmed/?term=Mourits%20AJ%5BAuthor%5D&amp;cauthor=true&amp;cauthor_uid=12161838" TargetMode="External"/><Relationship Id="rId25" Type="http://schemas.openxmlformats.org/officeDocument/2006/relationships/hyperlink" Target="http://www.ncbi.nlm.nih.gov/pubmed/?term=Wright%20A%5BAuthor%5D&amp;cauthor=true&amp;cauthor_uid=977754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Assendelft%20WJ%5BAuthor%5D&amp;cauthor=true&amp;cauthor_uid=12161838" TargetMode="External"/><Relationship Id="rId20" Type="http://schemas.openxmlformats.org/officeDocument/2006/relationships/hyperlink" Target="http://www.ncbi.nlm.nih.gov/pubmed/?term=Bouter%20LM%5BAuthor%5D&amp;cauthor=true&amp;cauthor_uid=12161838" TargetMode="External"/><Relationship Id="rId29" Type="http://schemas.openxmlformats.org/officeDocument/2006/relationships/hyperlink" Target="http://www.sciencedirect.com/science/journal/18778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isset%20L%5BAuthor%5D&amp;cauthor=true&amp;cauthor_uid=24480912" TargetMode="External"/><Relationship Id="rId24" Type="http://schemas.openxmlformats.org/officeDocument/2006/relationships/hyperlink" Target="http://www.ncbi.nlm.nih.gov/pubmed/?term=Benson%20H%5BAuthor%5D&amp;cauthor=true&amp;cauthor_uid=977754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van%20der%20Windt%20DA%5BAuthor%5D&amp;cauthor=true&amp;cauthor_uid=12161838" TargetMode="External"/><Relationship Id="rId23" Type="http://schemas.openxmlformats.org/officeDocument/2006/relationships/hyperlink" Target="http://www.ncbi.nlm.nih.gov/pubmed/?term=Collins%20D%5BAuthor%5D&amp;cauthor=true&amp;cauthor_uid=9777544" TargetMode="External"/><Relationship Id="rId28" Type="http://schemas.openxmlformats.org/officeDocument/2006/relationships/hyperlink" Target="http://www.ncbi.nlm.nih.gov/pubmed/?term=Wright%20A%5BAuthor%5D&amp;cauthor=true&amp;cauthor_uid=9777544" TargetMode="External"/><Relationship Id="rId10" Type="http://schemas.openxmlformats.org/officeDocument/2006/relationships/hyperlink" Target="http://www.ncbi.nlm.nih.gov/pubmed/?term=Coombes%20BK%5BAuthor%5D&amp;cauthor=true&amp;cauthor_uid=24480912" TargetMode="External"/><Relationship Id="rId19" Type="http://schemas.openxmlformats.org/officeDocument/2006/relationships/hyperlink" Target="http://www.ncbi.nlm.nih.gov/pubmed/?term=de%20Winter%20AF%5BAuthor%5D&amp;cauthor=true&amp;cauthor_uid=12161838" TargetMode="External"/><Relationship Id="rId31" Type="http://schemas.openxmlformats.org/officeDocument/2006/relationships/hyperlink" Target="http://www.sciencedirect.com/science/article/pii/S0004951414604657" TargetMode="External"/><Relationship Id="rId4" Type="http://schemas.openxmlformats.org/officeDocument/2006/relationships/settings" Target="settings.xml"/><Relationship Id="rId9" Type="http://schemas.openxmlformats.org/officeDocument/2006/relationships/hyperlink" Target="http://www.ncbi.nlm.nih.gov/pubmed/?term=Coombes%20BK%5BAuthor%5D&amp;cauthor=true&amp;cauthor_uid=24480912" TargetMode="External"/><Relationship Id="rId14" Type="http://schemas.openxmlformats.org/officeDocument/2006/relationships/hyperlink" Target="http://www.ncbi.nlm.nih.gov/pubmed/?term=Smidt%20N%5BAuthor%5D&amp;cauthor=true&amp;cauthor_uid=12161838" TargetMode="External"/><Relationship Id="rId22" Type="http://schemas.openxmlformats.org/officeDocument/2006/relationships/hyperlink" Target="http://www.ncbi.nlm.nih.gov/pubmed/?term=Vicenzino%20B%5BAuthor%5D&amp;cauthor=true&amp;cauthor_uid=9777544" TargetMode="External"/><Relationship Id="rId27" Type="http://schemas.openxmlformats.org/officeDocument/2006/relationships/hyperlink" Target="http://www.ncbi.nlm.nih.gov/pubmed/?term=Collins%20D%5BAuthor%5D&amp;cauthor=true&amp;cauthor_uid=9777544" TargetMode="External"/><Relationship Id="rId30" Type="http://schemas.openxmlformats.org/officeDocument/2006/relationships/hyperlink" Target="http://www.sciencedirect.com/science/journal/18778860/9/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3C0B-EE36-49D8-954D-A9AFBE7E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Abdel Rahman Mohammad Muhsen</cp:lastModifiedBy>
  <cp:revision>2</cp:revision>
  <dcterms:created xsi:type="dcterms:W3CDTF">2017-02-07T05:54:00Z</dcterms:created>
  <dcterms:modified xsi:type="dcterms:W3CDTF">2017-02-07T05:54:00Z</dcterms:modified>
</cp:coreProperties>
</file>