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6B" w:rsidRPr="0074386D" w:rsidRDefault="00110D6B" w:rsidP="00346181">
      <w:pPr>
        <w:jc w:val="both"/>
        <w:rPr>
          <w:b/>
        </w:rPr>
      </w:pPr>
      <w:r w:rsidRPr="0074386D">
        <w:rPr>
          <w:b/>
        </w:rPr>
        <w:t>Efficacy</w:t>
      </w:r>
      <w:r>
        <w:rPr>
          <w:b/>
        </w:rPr>
        <w:t xml:space="preserve"> and feasibility</w:t>
      </w:r>
      <w:r w:rsidRPr="0074386D">
        <w:rPr>
          <w:b/>
        </w:rPr>
        <w:t xml:space="preserve"> of saliva for assessment of vitamin A status in extremely preterm infants. </w:t>
      </w:r>
    </w:p>
    <w:p w:rsidR="00110D6B" w:rsidRPr="0074386D" w:rsidRDefault="00110D6B" w:rsidP="00346181">
      <w:pPr>
        <w:jc w:val="both"/>
      </w:pPr>
    </w:p>
    <w:p w:rsidR="00110D6B" w:rsidRPr="0074386D" w:rsidRDefault="00110D6B" w:rsidP="000732EF">
      <w:pPr>
        <w:jc w:val="both"/>
        <w:rPr>
          <w:b/>
        </w:rPr>
      </w:pPr>
      <w:r w:rsidRPr="0074386D">
        <w:rPr>
          <w:b/>
        </w:rPr>
        <w:t>Background:</w:t>
      </w:r>
    </w:p>
    <w:p w:rsidR="00110D6B" w:rsidRPr="0074386D" w:rsidRDefault="00110D6B" w:rsidP="0076039B">
      <w:pPr>
        <w:jc w:val="both"/>
      </w:pPr>
      <w:r w:rsidRPr="0074386D">
        <w:t xml:space="preserve">Vitamin A is essential for vision, growth, healing, reproduction, cell differentiation, and immunocompetency. It plays an important role in the development and growth of lung by mediating alveolar formation and septation through the binding of its active metabolite, retinoic acid, to nuclear receptors. (Galambos 2008) The diseases arising from abnormal pulmonary development such as bronchopulmonary dysplasia (BPD) may be linked to vitamin A deficiency. (Shenai 1987, </w:t>
      </w:r>
      <w:r>
        <w:t>Frank 1988</w:t>
      </w:r>
      <w:r w:rsidRPr="0074386D">
        <w:t>)</w:t>
      </w:r>
    </w:p>
    <w:p w:rsidR="00110D6B" w:rsidRPr="0074386D" w:rsidRDefault="00110D6B" w:rsidP="0076039B">
      <w:pPr>
        <w:jc w:val="both"/>
      </w:pPr>
      <w:r w:rsidRPr="0074386D">
        <w:t>Extremely preterm infants (EPI) are at risk of vitamin A deficiency</w:t>
      </w:r>
      <w:r>
        <w:t xml:space="preserve">. </w:t>
      </w:r>
      <w:r w:rsidRPr="0074386D">
        <w:t xml:space="preserve">Timely evaluation of vitamin A status of EPI may help to </w:t>
      </w:r>
      <w:r>
        <w:t xml:space="preserve">assess the risk of BPD and </w:t>
      </w:r>
      <w:r w:rsidRPr="0074386D">
        <w:t>tailor vitamin A therapy based on the infant’s vitamin A status</w:t>
      </w:r>
      <w:r>
        <w:t xml:space="preserve"> without exposing infants to the</w:t>
      </w:r>
      <w:r w:rsidRPr="0074386D">
        <w:t xml:space="preserve"> potential adverse eff</w:t>
      </w:r>
      <w:r>
        <w:t>ects of vitamin A</w:t>
      </w:r>
      <w:r w:rsidRPr="0074386D">
        <w:t xml:space="preserve">. </w:t>
      </w:r>
    </w:p>
    <w:p w:rsidR="00110D6B" w:rsidRPr="0074386D" w:rsidRDefault="00110D6B" w:rsidP="00B97F67">
      <w:pPr>
        <w:jc w:val="both"/>
      </w:pPr>
      <w:r w:rsidRPr="0074386D">
        <w:t xml:space="preserve">Assessment of body vitamin A stores is </w:t>
      </w:r>
      <w:r>
        <w:t>complicated</w:t>
      </w:r>
      <w:r w:rsidRPr="0074386D">
        <w:t xml:space="preserve"> as during the initial phase of </w:t>
      </w:r>
      <w:r>
        <w:t>vitamin A</w:t>
      </w:r>
      <w:r w:rsidRPr="0074386D">
        <w:t xml:space="preserve"> deficiency, </w:t>
      </w:r>
      <w:r>
        <w:t>plasma</w:t>
      </w:r>
      <w:r w:rsidRPr="0074386D">
        <w:t xml:space="preserve"> retinol level remains within normal range at the cost of liver vitamin A stores. Therefore, </w:t>
      </w:r>
      <w:r>
        <w:t>plasma</w:t>
      </w:r>
      <w:r w:rsidRPr="0074386D">
        <w:t xml:space="preserve"> retinol value does not correlate well with liver stores until it becomes very low (&lt; 0.35 mcmol/dL). Relative dose response (RDR) is a better tool to assess </w:t>
      </w:r>
      <w:r>
        <w:t xml:space="preserve">body </w:t>
      </w:r>
      <w:r w:rsidRPr="0074386D">
        <w:t xml:space="preserve">vitamin A stores. </w:t>
      </w:r>
      <w:r>
        <w:t xml:space="preserve">(Underwood 1990) </w:t>
      </w:r>
      <w:r w:rsidRPr="0074386D">
        <w:t xml:space="preserve">However, the test requires </w:t>
      </w:r>
      <w:r>
        <w:t xml:space="preserve">repeated </w:t>
      </w:r>
      <w:r w:rsidRPr="0074386D">
        <w:t xml:space="preserve">blood sampling, which is an invasive procedure and also increases risk of anemia. </w:t>
      </w:r>
      <w:r>
        <w:t>Therefore, a</w:t>
      </w:r>
      <w:r w:rsidRPr="0074386D">
        <w:t xml:space="preserve"> minimally invasive method with least harm </w:t>
      </w:r>
      <w:r>
        <w:t>is urgently required</w:t>
      </w:r>
      <w:r w:rsidRPr="0074386D">
        <w:t xml:space="preserve">. </w:t>
      </w:r>
    </w:p>
    <w:p w:rsidR="00110D6B" w:rsidRPr="0074386D" w:rsidRDefault="00110D6B" w:rsidP="00B946C6">
      <w:pPr>
        <w:jc w:val="both"/>
      </w:pPr>
      <w:r w:rsidRPr="0074386D">
        <w:t xml:space="preserve">Recent years have seen increasing use of saliva for diagnostic purposes. Use of saliva for </w:t>
      </w:r>
      <w:r>
        <w:t xml:space="preserve">the </w:t>
      </w:r>
      <w:r w:rsidRPr="0074386D">
        <w:t xml:space="preserve">measurement of hormones and vitamins is gaining attention because of its ease of collection, painless nature and little potential for patient harm. Salivary cortisol level correlates well with the plasma cortisol. Hence, late night salivary cortisol level has become the method of choice for screening of patients with suspected Cushing’s syndrome. (Sakihara 2010) Saral et al have shown </w:t>
      </w:r>
      <w:r>
        <w:t xml:space="preserve">a </w:t>
      </w:r>
      <w:r w:rsidRPr="0074386D">
        <w:t xml:space="preserve">good correlation between salivary and </w:t>
      </w:r>
      <w:r>
        <w:t>plasma</w:t>
      </w:r>
      <w:r w:rsidRPr="0074386D">
        <w:t xml:space="preserve"> </w:t>
      </w:r>
      <w:r>
        <w:t>retinol</w:t>
      </w:r>
      <w:r w:rsidRPr="0074386D">
        <w:t xml:space="preserve"> in adults. </w:t>
      </w:r>
      <w:r>
        <w:t xml:space="preserve">(Saral 2005) </w:t>
      </w:r>
      <w:r w:rsidRPr="0074386D">
        <w:t xml:space="preserve">If salivary </w:t>
      </w:r>
      <w:r>
        <w:t>retinol</w:t>
      </w:r>
      <w:r w:rsidRPr="0074386D">
        <w:t xml:space="preserve"> correlated with </w:t>
      </w:r>
      <w:r>
        <w:t>plasma</w:t>
      </w:r>
      <w:r w:rsidRPr="0074386D">
        <w:t xml:space="preserve"> </w:t>
      </w:r>
      <w:r>
        <w:t>retinol</w:t>
      </w:r>
      <w:r w:rsidRPr="0074386D">
        <w:t xml:space="preserve"> in EPI, it </w:t>
      </w:r>
      <w:r>
        <w:t>will be useful to assess vitamin A status of EPI</w:t>
      </w:r>
      <w:r w:rsidRPr="0074386D">
        <w:t>. In</w:t>
      </w:r>
      <w:r>
        <w:t xml:space="preserve"> this study we aim to assess </w:t>
      </w:r>
      <w:r w:rsidRPr="0074386D">
        <w:t xml:space="preserve">correlation between </w:t>
      </w:r>
      <w:r>
        <w:t>plasma</w:t>
      </w:r>
      <w:r w:rsidRPr="0074386D">
        <w:t xml:space="preserve"> and </w:t>
      </w:r>
      <w:r>
        <w:t xml:space="preserve">salivary retinol levels, and </w:t>
      </w:r>
      <w:r w:rsidRPr="0074386D">
        <w:t xml:space="preserve">usefulness of salivary </w:t>
      </w:r>
      <w:r>
        <w:t>retinol</w:t>
      </w:r>
      <w:r w:rsidRPr="0074386D">
        <w:t xml:space="preserve"> levels to measure RDR in EPI. </w:t>
      </w:r>
    </w:p>
    <w:p w:rsidR="00110D6B" w:rsidRPr="0074386D" w:rsidRDefault="00110D6B" w:rsidP="00B76F29">
      <w:pPr>
        <w:jc w:val="both"/>
      </w:pPr>
    </w:p>
    <w:p w:rsidR="00110D6B" w:rsidRDefault="00110D6B" w:rsidP="000732EF">
      <w:pPr>
        <w:jc w:val="both"/>
        <w:rPr>
          <w:b/>
        </w:rPr>
      </w:pPr>
      <w:r>
        <w:rPr>
          <w:b/>
        </w:rPr>
        <w:t>Hypothesis:</w:t>
      </w:r>
    </w:p>
    <w:p w:rsidR="00110D6B" w:rsidRDefault="00110D6B" w:rsidP="000732EF">
      <w:pPr>
        <w:jc w:val="both"/>
      </w:pPr>
      <w:r>
        <w:t xml:space="preserve">We hypothesize that salivary retinol level will correlate with plasma retinol and will be useful to calculate RDR in EPI. </w:t>
      </w:r>
    </w:p>
    <w:p w:rsidR="00110D6B" w:rsidRPr="006A0F25" w:rsidRDefault="00110D6B" w:rsidP="000732EF">
      <w:pPr>
        <w:jc w:val="both"/>
      </w:pPr>
    </w:p>
    <w:p w:rsidR="00110D6B" w:rsidRPr="0074386D" w:rsidRDefault="00110D6B" w:rsidP="000732EF">
      <w:pPr>
        <w:jc w:val="both"/>
      </w:pPr>
      <w:r w:rsidRPr="00B946C6">
        <w:rPr>
          <w:b/>
        </w:rPr>
        <w:t>Objective:</w:t>
      </w:r>
      <w:r w:rsidRPr="0074386D">
        <w:t xml:space="preserve"> To compare 1) salivary </w:t>
      </w:r>
      <w:r>
        <w:t>retinol</w:t>
      </w:r>
      <w:r w:rsidRPr="0074386D">
        <w:t xml:space="preserve"> with the “gold standard” </w:t>
      </w:r>
      <w:r>
        <w:t>plasma</w:t>
      </w:r>
      <w:r w:rsidRPr="0074386D">
        <w:t xml:space="preserve"> </w:t>
      </w:r>
      <w:r>
        <w:t xml:space="preserve">retinol, and 2) RDR using saliva </w:t>
      </w:r>
      <w:r w:rsidRPr="0074386D">
        <w:t xml:space="preserve">with the “gold standard” RDR using blood in </w:t>
      </w:r>
      <w:r>
        <w:t>EPI</w:t>
      </w:r>
    </w:p>
    <w:p w:rsidR="00110D6B" w:rsidRPr="0074386D" w:rsidRDefault="00110D6B" w:rsidP="000732EF">
      <w:pPr>
        <w:jc w:val="both"/>
      </w:pPr>
    </w:p>
    <w:p w:rsidR="00110D6B" w:rsidRPr="0074386D" w:rsidRDefault="00110D6B" w:rsidP="000732EF">
      <w:pPr>
        <w:jc w:val="both"/>
      </w:pPr>
      <w:r w:rsidRPr="00B946C6">
        <w:rPr>
          <w:b/>
        </w:rPr>
        <w:t>Study design and setting</w:t>
      </w:r>
      <w:r w:rsidRPr="0074386D">
        <w:t xml:space="preserve">: This is a prospective diagnostic accuracy study. The study will be conducted in a tertiary neonatal intensive care unit (King Edward memorial Hospital for Women). </w:t>
      </w:r>
    </w:p>
    <w:p w:rsidR="00110D6B" w:rsidRPr="0074386D" w:rsidRDefault="00110D6B" w:rsidP="000732EF">
      <w:pPr>
        <w:jc w:val="both"/>
      </w:pPr>
    </w:p>
    <w:p w:rsidR="00110D6B" w:rsidRPr="00B946C6" w:rsidRDefault="00110D6B" w:rsidP="000732EF">
      <w:pPr>
        <w:jc w:val="both"/>
        <w:rPr>
          <w:b/>
        </w:rPr>
      </w:pPr>
      <w:r>
        <w:rPr>
          <w:b/>
        </w:rPr>
        <w:t>Inclusion criteria:</w:t>
      </w:r>
    </w:p>
    <w:p w:rsidR="00110D6B" w:rsidRDefault="00110D6B" w:rsidP="000732EF">
      <w:pPr>
        <w:numPr>
          <w:ilvl w:val="0"/>
          <w:numId w:val="3"/>
        </w:numPr>
        <w:jc w:val="both"/>
      </w:pPr>
      <w:r w:rsidRPr="0074386D">
        <w:t>EPI (Preterm infants less than 28 week</w:t>
      </w:r>
      <w:r>
        <w:t xml:space="preserve">s of gestational age at birth): </w:t>
      </w:r>
      <w:r w:rsidRPr="0074386D">
        <w:t>EPI are at highest risk of vitamin A deficiency as well as BPD. Therefore, assessment of vitamin A status will be important in this population.</w:t>
      </w:r>
    </w:p>
    <w:p w:rsidR="00110D6B" w:rsidRDefault="00110D6B" w:rsidP="000732EF">
      <w:pPr>
        <w:numPr>
          <w:ilvl w:val="0"/>
          <w:numId w:val="3"/>
        </w:numPr>
        <w:jc w:val="both"/>
      </w:pPr>
      <w:r w:rsidRPr="0074386D">
        <w:t>Tolerating enteral feeds</w:t>
      </w:r>
      <w:r>
        <w:t xml:space="preserve">: For the measurement of RDR, we intend to administer vitamin A enterally. Preterm infants are kept nil per orally when they are systemically unwell, are not tolerating feeds or have / suspected to have gut pathology like necrotizing enterocolitis. All these conditions may affect enteral absorption of vitamin A and therefore RDR may not reflect true vitamin A status of the infant. Hence, we chose to include only those infants who are tolerating enteral feeds. </w:t>
      </w:r>
    </w:p>
    <w:p w:rsidR="00110D6B" w:rsidRPr="0074386D" w:rsidRDefault="00110D6B" w:rsidP="000732EF">
      <w:pPr>
        <w:numPr>
          <w:ilvl w:val="0"/>
          <w:numId w:val="3"/>
        </w:numPr>
        <w:jc w:val="both"/>
      </w:pPr>
      <w:r>
        <w:t>Post natal age between</w:t>
      </w:r>
      <w:r w:rsidRPr="0074386D">
        <w:t xml:space="preserve"> 21 and 35 days</w:t>
      </w:r>
      <w:r>
        <w:t xml:space="preserve">: </w:t>
      </w:r>
      <w:r w:rsidRPr="0074386D">
        <w:t xml:space="preserve">First few weeks of postnatal life of EPI </w:t>
      </w:r>
      <w:r>
        <w:t>are</w:t>
      </w:r>
      <w:r w:rsidRPr="0074386D">
        <w:t xml:space="preserve"> the most vulnerable period for vitamin A deficiency because of the difficulties in the administration of adequate vitamin A through parenteral nutrition and difficulties in the establishment of enteral feeds. Therefore we chose to assess these infants for </w:t>
      </w:r>
      <w:r>
        <w:t>the assessment</w:t>
      </w:r>
      <w:r w:rsidRPr="0074386D">
        <w:t>. The results of this assessment may be helpful to evaluate efficacy of vitamin A supplementation during first few weeks of life and guide subsequent therapy.</w:t>
      </w:r>
    </w:p>
    <w:p w:rsidR="00110D6B" w:rsidRPr="0074386D" w:rsidRDefault="00110D6B" w:rsidP="000732EF">
      <w:pPr>
        <w:jc w:val="both"/>
      </w:pPr>
    </w:p>
    <w:p w:rsidR="00110D6B" w:rsidRPr="009C65EE" w:rsidRDefault="00110D6B" w:rsidP="000732EF">
      <w:pPr>
        <w:jc w:val="both"/>
        <w:rPr>
          <w:b/>
        </w:rPr>
      </w:pPr>
      <w:r w:rsidRPr="009C65EE">
        <w:rPr>
          <w:b/>
        </w:rPr>
        <w:t xml:space="preserve">Exclusion criteria: </w:t>
      </w:r>
    </w:p>
    <w:p w:rsidR="00110D6B" w:rsidRDefault="00110D6B" w:rsidP="000732EF">
      <w:pPr>
        <w:numPr>
          <w:ilvl w:val="0"/>
          <w:numId w:val="4"/>
        </w:numPr>
        <w:jc w:val="both"/>
      </w:pPr>
      <w:r w:rsidRPr="0074386D">
        <w:t>Infants with necrotizing eneterocolitis or major congenital gastrointestinal malformation: These infants will be excluded as the condition may contraindicate enteral medication and may al</w:t>
      </w:r>
      <w:r>
        <w:t>so affect vitamin A absorption.</w:t>
      </w:r>
    </w:p>
    <w:p w:rsidR="00110D6B" w:rsidRDefault="00110D6B" w:rsidP="000732EF">
      <w:pPr>
        <w:numPr>
          <w:ilvl w:val="0"/>
          <w:numId w:val="4"/>
        </w:numPr>
        <w:jc w:val="both"/>
      </w:pPr>
      <w:r w:rsidRPr="0074386D">
        <w:t>Critically unwell patient: These infants will be excluded as often associated paralytic ileus may affect enteral vitamin A absorption.</w:t>
      </w:r>
    </w:p>
    <w:p w:rsidR="00110D6B" w:rsidRDefault="00110D6B" w:rsidP="000732EF">
      <w:pPr>
        <w:numPr>
          <w:ilvl w:val="0"/>
          <w:numId w:val="4"/>
        </w:numPr>
        <w:jc w:val="both"/>
      </w:pPr>
      <w:r w:rsidRPr="0074386D">
        <w:t>Systemic administration of corticosteroids within 7 days</w:t>
      </w:r>
      <w:r>
        <w:t xml:space="preserve"> prior to the test</w:t>
      </w:r>
      <w:r w:rsidRPr="0074386D">
        <w:t xml:space="preserve">: As systemic corticosteroids affect serum vitamin A levels, RDR may not reflect vitamin A status. </w:t>
      </w:r>
    </w:p>
    <w:p w:rsidR="00110D6B" w:rsidRPr="0074386D" w:rsidRDefault="00110D6B" w:rsidP="000732EF">
      <w:pPr>
        <w:numPr>
          <w:ilvl w:val="0"/>
          <w:numId w:val="4"/>
        </w:numPr>
        <w:jc w:val="both"/>
      </w:pPr>
      <w:r w:rsidRPr="0074386D">
        <w:t>No parental consent</w:t>
      </w:r>
    </w:p>
    <w:p w:rsidR="00110D6B" w:rsidRPr="0074386D" w:rsidRDefault="00110D6B" w:rsidP="000732EF">
      <w:pPr>
        <w:jc w:val="both"/>
      </w:pPr>
      <w:r w:rsidRPr="0074386D">
        <w:t xml:space="preserve"> </w:t>
      </w:r>
    </w:p>
    <w:p w:rsidR="00110D6B" w:rsidRPr="0074386D" w:rsidRDefault="00110D6B" w:rsidP="000732EF">
      <w:pPr>
        <w:jc w:val="both"/>
      </w:pPr>
      <w:r w:rsidRPr="007A6DC5">
        <w:rPr>
          <w:b/>
        </w:rPr>
        <w:t>Sample size</w:t>
      </w:r>
      <w:r w:rsidRPr="0074386D">
        <w:t>: A sample of convenience of 20 eligible infants will be recruited.</w:t>
      </w:r>
      <w:r>
        <w:t xml:space="preserve"> An average 110 EPI are born every year at KEMH. The parents of eligible infants will be approached at 3 weeks of life for the consent. We expect to finish recruitment in 3 months period.</w:t>
      </w:r>
    </w:p>
    <w:p w:rsidR="00110D6B" w:rsidRDefault="00110D6B" w:rsidP="000732EF">
      <w:pPr>
        <w:jc w:val="both"/>
      </w:pPr>
    </w:p>
    <w:p w:rsidR="00110D6B" w:rsidRPr="0074386D" w:rsidRDefault="00110D6B" w:rsidP="00D11585">
      <w:pPr>
        <w:jc w:val="both"/>
      </w:pPr>
      <w:r w:rsidRPr="007A6DC5">
        <w:rPr>
          <w:b/>
        </w:rPr>
        <w:t>Study protocol</w:t>
      </w:r>
      <w:r w:rsidRPr="0074386D">
        <w:t xml:space="preserve">: </w:t>
      </w:r>
    </w:p>
    <w:p w:rsidR="00110D6B" w:rsidRPr="0074386D" w:rsidRDefault="00110D6B" w:rsidP="00D11585">
      <w:pPr>
        <w:pStyle w:val="ListParagraph"/>
        <w:numPr>
          <w:ilvl w:val="0"/>
          <w:numId w:val="2"/>
        </w:numPr>
        <w:jc w:val="both"/>
        <w:rPr>
          <w:rFonts w:ascii="Cambria" w:hAnsi="Cambria"/>
        </w:rPr>
      </w:pPr>
      <w:r>
        <w:rPr>
          <w:rFonts w:ascii="Cambria" w:hAnsi="Cambria"/>
        </w:rPr>
        <w:t>Approval</w:t>
      </w:r>
      <w:r w:rsidRPr="0074386D">
        <w:rPr>
          <w:rFonts w:ascii="Cambria" w:hAnsi="Cambria"/>
        </w:rPr>
        <w:t xml:space="preserve"> </w:t>
      </w:r>
      <w:r>
        <w:rPr>
          <w:rFonts w:ascii="Cambria" w:hAnsi="Cambria"/>
        </w:rPr>
        <w:t>from</w:t>
      </w:r>
      <w:r w:rsidRPr="0074386D">
        <w:rPr>
          <w:rFonts w:ascii="Cambria" w:hAnsi="Cambria"/>
        </w:rPr>
        <w:t xml:space="preserve"> the hospital ethics committee</w:t>
      </w:r>
      <w:r>
        <w:rPr>
          <w:rFonts w:ascii="Cambria" w:hAnsi="Cambria"/>
        </w:rPr>
        <w:t xml:space="preserve"> will be taken</w:t>
      </w:r>
      <w:r w:rsidRPr="0074386D">
        <w:rPr>
          <w:rFonts w:ascii="Cambria" w:hAnsi="Cambria"/>
        </w:rPr>
        <w:t xml:space="preserve">. </w:t>
      </w:r>
    </w:p>
    <w:p w:rsidR="00110D6B" w:rsidRPr="0074386D" w:rsidRDefault="00110D6B" w:rsidP="00D11585">
      <w:pPr>
        <w:pStyle w:val="ListParagraph"/>
        <w:numPr>
          <w:ilvl w:val="0"/>
          <w:numId w:val="2"/>
        </w:numPr>
        <w:jc w:val="both"/>
        <w:rPr>
          <w:rFonts w:ascii="Cambria" w:hAnsi="Cambria"/>
        </w:rPr>
      </w:pPr>
      <w:r w:rsidRPr="0074386D">
        <w:rPr>
          <w:rFonts w:ascii="Cambria" w:hAnsi="Cambria"/>
        </w:rPr>
        <w:t xml:space="preserve">Informed consent will be taken by AR from the parents of the eligible infants (Supplement 1 – Parental consent form). </w:t>
      </w:r>
    </w:p>
    <w:p w:rsidR="00110D6B" w:rsidRPr="0074386D" w:rsidRDefault="00110D6B" w:rsidP="00D11585">
      <w:pPr>
        <w:pStyle w:val="ListParagraph"/>
        <w:numPr>
          <w:ilvl w:val="0"/>
          <w:numId w:val="2"/>
        </w:numPr>
        <w:jc w:val="both"/>
        <w:rPr>
          <w:rFonts w:ascii="Cambria" w:hAnsi="Cambria"/>
        </w:rPr>
      </w:pPr>
      <w:r w:rsidRPr="0074386D">
        <w:rPr>
          <w:rFonts w:ascii="Cambria" w:hAnsi="Cambria"/>
        </w:rPr>
        <w:t xml:space="preserve">For serum retinol estimation, blood sample </w:t>
      </w:r>
      <w:r>
        <w:rPr>
          <w:rFonts w:ascii="Cambria" w:hAnsi="Cambria"/>
        </w:rPr>
        <w:t xml:space="preserve">(1 mL from first five recruited patients and 0.5 mL from subsequent 15 patients) </w:t>
      </w:r>
      <w:r w:rsidRPr="0074386D">
        <w:rPr>
          <w:rFonts w:ascii="Cambria" w:hAnsi="Cambria"/>
        </w:rPr>
        <w:t xml:space="preserve">will be taken in a lithium heparin tube for baseline </w:t>
      </w:r>
      <w:r>
        <w:rPr>
          <w:rFonts w:ascii="Cambria" w:hAnsi="Cambria"/>
        </w:rPr>
        <w:t>plasma</w:t>
      </w:r>
      <w:r w:rsidRPr="0074386D">
        <w:rPr>
          <w:rFonts w:ascii="Cambria" w:hAnsi="Cambria"/>
        </w:rPr>
        <w:t xml:space="preserve"> retinol (B</w:t>
      </w:r>
      <w:r w:rsidRPr="0074386D">
        <w:rPr>
          <w:rFonts w:ascii="Cambria" w:hAnsi="Cambria"/>
          <w:vertAlign w:val="subscript"/>
        </w:rPr>
        <w:t>0</w:t>
      </w:r>
      <w:r w:rsidRPr="0074386D">
        <w:rPr>
          <w:rFonts w:ascii="Cambria" w:hAnsi="Cambria"/>
        </w:rPr>
        <w:t xml:space="preserve">) estimation. Capillary, venous or arterial samples are acceptable, as method of collection does not influence </w:t>
      </w:r>
      <w:r>
        <w:rPr>
          <w:rFonts w:ascii="Cambria" w:hAnsi="Cambria"/>
        </w:rPr>
        <w:t>plasma</w:t>
      </w:r>
      <w:r w:rsidRPr="0074386D">
        <w:rPr>
          <w:rFonts w:ascii="Cambria" w:hAnsi="Cambria"/>
        </w:rPr>
        <w:t xml:space="preserve"> retinol values significantly (Kennedy 1997). </w:t>
      </w:r>
      <w:r>
        <w:rPr>
          <w:rFonts w:ascii="Cambria" w:hAnsi="Cambria"/>
        </w:rPr>
        <w:t>Whenever possible</w:t>
      </w:r>
      <w:r w:rsidRPr="0074386D">
        <w:rPr>
          <w:rFonts w:ascii="Cambria" w:hAnsi="Cambria"/>
        </w:rPr>
        <w:t xml:space="preserve">, the blood sampling will be performed along with the routine blood investigations to avoid additional prick to the infant. The tube will be labelled and wrapped with aluminium foil to protect the sample from light. </w:t>
      </w:r>
      <w:r>
        <w:rPr>
          <w:rFonts w:ascii="Cambria" w:hAnsi="Cambria"/>
        </w:rPr>
        <w:t>Plasma</w:t>
      </w:r>
      <w:r w:rsidRPr="0074386D">
        <w:rPr>
          <w:rFonts w:ascii="Cambria" w:hAnsi="Cambria"/>
        </w:rPr>
        <w:t xml:space="preserve"> will be obtained </w:t>
      </w:r>
      <w:r>
        <w:rPr>
          <w:rFonts w:ascii="Cambria" w:hAnsi="Cambria"/>
        </w:rPr>
        <w:t xml:space="preserve">immediately </w:t>
      </w:r>
      <w:r w:rsidRPr="0074386D">
        <w:rPr>
          <w:rFonts w:ascii="Cambria" w:hAnsi="Cambria"/>
        </w:rPr>
        <w:t xml:space="preserve">by centrifugation at </w:t>
      </w:r>
      <w:r>
        <w:rPr>
          <w:rFonts w:ascii="Cambria" w:hAnsi="Cambria"/>
        </w:rPr>
        <w:t>3000</w:t>
      </w:r>
      <w:r w:rsidRPr="0074386D">
        <w:rPr>
          <w:rFonts w:ascii="Cambria" w:hAnsi="Cambria"/>
        </w:rPr>
        <w:t xml:space="preserve"> rpm for 5 min and will be stored at -80 °C till further analysis by AR at KEMH.</w:t>
      </w:r>
    </w:p>
    <w:p w:rsidR="00110D6B" w:rsidRPr="0074386D" w:rsidRDefault="00110D6B" w:rsidP="00D11585">
      <w:pPr>
        <w:pStyle w:val="ListParagraph"/>
        <w:numPr>
          <w:ilvl w:val="0"/>
          <w:numId w:val="2"/>
        </w:numPr>
        <w:jc w:val="both"/>
        <w:rPr>
          <w:rFonts w:ascii="Cambria" w:hAnsi="Cambria"/>
        </w:rPr>
      </w:pPr>
      <w:r>
        <w:rPr>
          <w:rFonts w:ascii="Cambria" w:hAnsi="Cambria"/>
        </w:rPr>
        <w:t>1 mL</w:t>
      </w:r>
      <w:r w:rsidRPr="0074386D">
        <w:rPr>
          <w:rFonts w:ascii="Cambria" w:hAnsi="Cambria"/>
        </w:rPr>
        <w:t xml:space="preserve"> of saliva will be collected (S</w:t>
      </w:r>
      <w:r w:rsidRPr="0074386D">
        <w:rPr>
          <w:rFonts w:ascii="Cambria" w:hAnsi="Cambria"/>
          <w:vertAlign w:val="subscript"/>
        </w:rPr>
        <w:t>0</w:t>
      </w:r>
      <w:r>
        <w:rPr>
          <w:rFonts w:ascii="Cambria" w:hAnsi="Cambria"/>
        </w:rPr>
        <w:t>) using SalivaBio Infant’s Swab (SIS)</w:t>
      </w:r>
      <w:r w:rsidRPr="001011CF">
        <w:rPr>
          <w:rFonts w:ascii="Cambria" w:hAnsi="Cambria"/>
          <w:vertAlign w:val="superscript"/>
        </w:rPr>
        <w:t>®</w:t>
      </w:r>
      <w:r>
        <w:rPr>
          <w:rFonts w:ascii="Cambria" w:hAnsi="Cambria"/>
        </w:rPr>
        <w:t xml:space="preserve">  (salimetrics</w:t>
      </w:r>
      <w:r w:rsidRPr="001011CF">
        <w:rPr>
          <w:rFonts w:ascii="Cambria" w:hAnsi="Cambria"/>
          <w:vertAlign w:val="superscript"/>
        </w:rPr>
        <w:t>®</w:t>
      </w:r>
      <w:r>
        <w:rPr>
          <w:rFonts w:ascii="Cambria" w:hAnsi="Cambria"/>
        </w:rPr>
        <w:t xml:space="preserve"> USA). SIS is recommended for the collection of saliva from infants less than 6 months of age. One end of SIS will be held in infant’s mouth under the tongue securely for up to 3 minutes, till half of the swab gets saturated with saliva. This will be followed by holding the other end in infants mouth to saturate the swab fully. The swab is then folded and placed in a swab storage tube and centrifuged for 15 minutes at 3000 rpm to separate saliva from swab (AR). The saliva will be aspirated and stored in a glass tube wrapped with aluminium foil at -80</w:t>
      </w:r>
      <w:r w:rsidRPr="00E81F47">
        <w:rPr>
          <w:rFonts w:ascii="Cambria" w:hAnsi="Cambria"/>
          <w:vertAlign w:val="superscript"/>
        </w:rPr>
        <w:t>0</w:t>
      </w:r>
      <w:r>
        <w:rPr>
          <w:rFonts w:ascii="Cambria" w:hAnsi="Cambria"/>
        </w:rPr>
        <w:t xml:space="preserve">C till further analysis (AR). </w:t>
      </w:r>
    </w:p>
    <w:p w:rsidR="00110D6B" w:rsidRPr="0074386D" w:rsidRDefault="00110D6B" w:rsidP="000732EF">
      <w:pPr>
        <w:pStyle w:val="ListParagraph"/>
        <w:numPr>
          <w:ilvl w:val="0"/>
          <w:numId w:val="2"/>
        </w:numPr>
        <w:jc w:val="both"/>
        <w:rPr>
          <w:rFonts w:ascii="Cambria" w:hAnsi="Cambria"/>
        </w:rPr>
      </w:pPr>
      <w:r w:rsidRPr="0074386D">
        <w:rPr>
          <w:rFonts w:ascii="Cambria" w:hAnsi="Cambria"/>
        </w:rPr>
        <w:t>After collection of B</w:t>
      </w:r>
      <w:r w:rsidRPr="0074386D">
        <w:rPr>
          <w:rFonts w:ascii="Cambria" w:hAnsi="Cambria"/>
          <w:vertAlign w:val="subscript"/>
        </w:rPr>
        <w:t xml:space="preserve">0 </w:t>
      </w:r>
      <w:r w:rsidRPr="0074386D">
        <w:rPr>
          <w:rFonts w:ascii="Cambria" w:hAnsi="Cambria"/>
        </w:rPr>
        <w:t>and S</w:t>
      </w:r>
      <w:r w:rsidRPr="0074386D">
        <w:rPr>
          <w:rFonts w:ascii="Cambria" w:hAnsi="Cambria"/>
          <w:vertAlign w:val="subscript"/>
        </w:rPr>
        <w:t>0</w:t>
      </w:r>
      <w:r w:rsidRPr="0074386D">
        <w:rPr>
          <w:rFonts w:ascii="Cambria" w:hAnsi="Cambria"/>
        </w:rPr>
        <w:t xml:space="preserve"> samples 2000 IU retinyl palmitate </w:t>
      </w:r>
      <w:r>
        <w:rPr>
          <w:rFonts w:ascii="Cambria" w:hAnsi="Cambria"/>
        </w:rPr>
        <w:t xml:space="preserve">(Vitamin A Nepalm ® at dose of 0.04 mL/kg diluted with water for injection to make total volume of 0.5 mL) </w:t>
      </w:r>
      <w:r w:rsidRPr="0074386D">
        <w:rPr>
          <w:rFonts w:ascii="Cambria" w:hAnsi="Cambria"/>
        </w:rPr>
        <w:t xml:space="preserve">will be </w:t>
      </w:r>
      <w:r>
        <w:rPr>
          <w:rFonts w:ascii="Cambria" w:hAnsi="Cambria"/>
        </w:rPr>
        <w:t>administered</w:t>
      </w:r>
      <w:r w:rsidRPr="0074386D">
        <w:rPr>
          <w:rFonts w:ascii="Cambria" w:hAnsi="Cambria"/>
        </w:rPr>
        <w:t xml:space="preserve"> through gastric tube (GT)</w:t>
      </w:r>
      <w:r>
        <w:rPr>
          <w:rFonts w:ascii="Cambria" w:hAnsi="Cambria"/>
        </w:rPr>
        <w:t xml:space="preserve"> to the infant. </w:t>
      </w:r>
      <w:r w:rsidRPr="0074386D">
        <w:rPr>
          <w:rFonts w:ascii="Cambria" w:hAnsi="Cambria"/>
        </w:rPr>
        <w:t>GT placement is a part of routine management of premature infants. The feed will be given after insti</w:t>
      </w:r>
      <w:r>
        <w:rPr>
          <w:rFonts w:ascii="Cambria" w:hAnsi="Cambria"/>
        </w:rPr>
        <w:t xml:space="preserve">llation of the medication. The </w:t>
      </w:r>
      <w:r w:rsidRPr="0074386D">
        <w:rPr>
          <w:rFonts w:ascii="Cambria" w:hAnsi="Cambria"/>
        </w:rPr>
        <w:t xml:space="preserve">GT will not be aspirated or changed for 3-6 </w:t>
      </w:r>
      <w:r>
        <w:rPr>
          <w:rFonts w:ascii="Cambria" w:hAnsi="Cambria"/>
        </w:rPr>
        <w:t xml:space="preserve">hours after the medication. If </w:t>
      </w:r>
      <w:r w:rsidRPr="0074386D">
        <w:rPr>
          <w:rFonts w:ascii="Cambria" w:hAnsi="Cambria"/>
        </w:rPr>
        <w:t>GT change is needed, it will be done prior to administration of the study medication.</w:t>
      </w:r>
    </w:p>
    <w:p w:rsidR="00110D6B" w:rsidRDefault="00110D6B" w:rsidP="007A6DC5">
      <w:pPr>
        <w:pStyle w:val="ListParagraph"/>
        <w:numPr>
          <w:ilvl w:val="0"/>
          <w:numId w:val="2"/>
        </w:numPr>
        <w:jc w:val="both"/>
        <w:rPr>
          <w:rFonts w:ascii="Cambria" w:hAnsi="Cambria"/>
        </w:rPr>
      </w:pPr>
      <w:r>
        <w:rPr>
          <w:rFonts w:ascii="Cambria" w:hAnsi="Cambria"/>
        </w:rPr>
        <w:t xml:space="preserve">Five hours after administration of vitamin A, </w:t>
      </w:r>
      <w:r w:rsidRPr="007A6DC5">
        <w:rPr>
          <w:rFonts w:ascii="Cambria" w:hAnsi="Cambria"/>
        </w:rPr>
        <w:t>second blood (B</w:t>
      </w:r>
      <w:r w:rsidRPr="007A6DC5">
        <w:rPr>
          <w:rFonts w:ascii="Cambria" w:hAnsi="Cambria"/>
          <w:vertAlign w:val="subscript"/>
        </w:rPr>
        <w:t>5</w:t>
      </w:r>
      <w:r w:rsidRPr="007A6DC5">
        <w:rPr>
          <w:rFonts w:ascii="Cambria" w:hAnsi="Cambria"/>
        </w:rPr>
        <w:t>) and saliva (S</w:t>
      </w:r>
      <w:r w:rsidRPr="007A6DC5">
        <w:rPr>
          <w:rFonts w:ascii="Cambria" w:hAnsi="Cambria"/>
          <w:vertAlign w:val="subscript"/>
        </w:rPr>
        <w:t>5</w:t>
      </w:r>
      <w:r w:rsidRPr="007A6DC5">
        <w:rPr>
          <w:rFonts w:ascii="Cambria" w:hAnsi="Cambria"/>
        </w:rPr>
        <w:t xml:space="preserve">) samples will be collected and stored using the same technique employed for collection </w:t>
      </w:r>
      <w:r>
        <w:rPr>
          <w:rFonts w:ascii="Cambria" w:hAnsi="Cambria"/>
        </w:rPr>
        <w:t xml:space="preserve">and storage </w:t>
      </w:r>
      <w:r w:rsidRPr="007A6DC5">
        <w:rPr>
          <w:rFonts w:ascii="Cambria" w:hAnsi="Cambria"/>
        </w:rPr>
        <w:t>of samples B</w:t>
      </w:r>
      <w:r w:rsidRPr="007A6DC5">
        <w:rPr>
          <w:rFonts w:ascii="Cambria" w:hAnsi="Cambria"/>
          <w:vertAlign w:val="subscript"/>
        </w:rPr>
        <w:t>0</w:t>
      </w:r>
      <w:r w:rsidRPr="007A6DC5">
        <w:rPr>
          <w:rFonts w:ascii="Cambria" w:hAnsi="Cambria"/>
        </w:rPr>
        <w:t xml:space="preserve"> and S</w:t>
      </w:r>
      <w:r w:rsidRPr="007A6DC5">
        <w:rPr>
          <w:rFonts w:ascii="Cambria" w:hAnsi="Cambria"/>
          <w:vertAlign w:val="subscript"/>
        </w:rPr>
        <w:t>0</w:t>
      </w:r>
      <w:r>
        <w:rPr>
          <w:rFonts w:ascii="Cambria" w:hAnsi="Cambria"/>
        </w:rPr>
        <w:t xml:space="preserve"> </w:t>
      </w:r>
      <w:r w:rsidRPr="007A6DC5">
        <w:rPr>
          <w:rFonts w:ascii="Cambria" w:hAnsi="Cambria"/>
        </w:rPr>
        <w:t>(AR)</w:t>
      </w:r>
      <w:r>
        <w:rPr>
          <w:rFonts w:ascii="Cambria" w:hAnsi="Cambria"/>
        </w:rPr>
        <w:t>.</w:t>
      </w:r>
    </w:p>
    <w:p w:rsidR="00110D6B" w:rsidRPr="007A6DC5" w:rsidRDefault="00110D6B" w:rsidP="007A6DC5">
      <w:pPr>
        <w:pStyle w:val="ListParagraph"/>
        <w:numPr>
          <w:ilvl w:val="0"/>
          <w:numId w:val="2"/>
        </w:numPr>
        <w:jc w:val="both"/>
        <w:rPr>
          <w:rFonts w:ascii="Cambria" w:hAnsi="Cambria"/>
        </w:rPr>
      </w:pPr>
      <w:r>
        <w:rPr>
          <w:rFonts w:ascii="Cambria" w:hAnsi="Cambria"/>
        </w:rPr>
        <w:t xml:space="preserve">An additional saliva sample (S7) will be collected at 7 hours after administration of the vitamin A dose. </w:t>
      </w:r>
    </w:p>
    <w:p w:rsidR="00110D6B" w:rsidRDefault="00110D6B" w:rsidP="00346181">
      <w:pPr>
        <w:numPr>
          <w:ilvl w:val="0"/>
          <w:numId w:val="2"/>
        </w:numPr>
        <w:jc w:val="both"/>
      </w:pPr>
      <w:r w:rsidRPr="0074386D">
        <w:t xml:space="preserve">Serum retinol measurement: Serum retinol will be measured using high performance liquid chromatography (HPLC). It has been widely used for measurement of </w:t>
      </w:r>
      <w:r>
        <w:t>retinol</w:t>
      </w:r>
      <w:r w:rsidRPr="0074386D">
        <w:t xml:space="preserve"> in </w:t>
      </w:r>
      <w:r>
        <w:t>plasma</w:t>
      </w:r>
      <w:r w:rsidRPr="0074386D">
        <w:t xml:space="preserve">. It has also been used for </w:t>
      </w:r>
      <w:r>
        <w:t>retinol</w:t>
      </w:r>
      <w:r w:rsidRPr="0074386D">
        <w:t xml:space="preserve"> analysis in breast milk, parenteral nutrition, tissue samples as well as saliva. We intend to use mass spectrometer (MS) in addition to the UV detector for better identification and quantification of </w:t>
      </w:r>
      <w:r>
        <w:t>retinol</w:t>
      </w:r>
      <w:r w:rsidRPr="0074386D">
        <w:t xml:space="preserve">. The analysis will be performed at School of Chemistry and Biochemistry at University of Western Australia by AR under guidance of Assistant Professor Michael Clarke. A/Prof Michael Clarke has extensive experience in use of HPLC and MS. AR will undergo required training and credentialing before commencing vitamin A analysis. To ensure accuracy of measurement, first five patient’s samples will be analyzed in duplicates. </w:t>
      </w:r>
    </w:p>
    <w:p w:rsidR="00110D6B" w:rsidRDefault="00110D6B" w:rsidP="00346181">
      <w:pPr>
        <w:numPr>
          <w:ilvl w:val="0"/>
          <w:numId w:val="2"/>
        </w:numPr>
        <w:jc w:val="both"/>
      </w:pPr>
      <w:r>
        <w:t xml:space="preserve">Calculation of </w:t>
      </w:r>
      <w:r w:rsidRPr="00814C46">
        <w:t>Relative Dose Response (RDR)</w:t>
      </w:r>
    </w:p>
    <w:p w:rsidR="00110D6B" w:rsidRDefault="00110D6B" w:rsidP="00814C46">
      <w:pPr>
        <w:numPr>
          <w:ilvl w:val="0"/>
          <w:numId w:val="1"/>
        </w:numPr>
        <w:jc w:val="both"/>
      </w:pPr>
      <w:r>
        <w:t>Blood RDR = (</w:t>
      </w:r>
      <w:r w:rsidRPr="00B92653">
        <w:t>B</w:t>
      </w:r>
      <w:r w:rsidRPr="00B92653">
        <w:rPr>
          <w:vertAlign w:val="subscript"/>
        </w:rPr>
        <w:t>5</w:t>
      </w:r>
      <w:r w:rsidRPr="00B92653">
        <w:t xml:space="preserve"> – B</w:t>
      </w:r>
      <w:r w:rsidRPr="00B92653">
        <w:rPr>
          <w:vertAlign w:val="subscript"/>
        </w:rPr>
        <w:t>0</w:t>
      </w:r>
      <w:r w:rsidRPr="00B92653">
        <w:t xml:space="preserve">) </w:t>
      </w:r>
      <w:r>
        <w:t xml:space="preserve"> X 100/B</w:t>
      </w:r>
      <w:r w:rsidRPr="00B92653">
        <w:rPr>
          <w:vertAlign w:val="subscript"/>
        </w:rPr>
        <w:t>5</w:t>
      </w:r>
      <w:r>
        <w:t xml:space="preserve">                            </w:t>
      </w:r>
    </w:p>
    <w:p w:rsidR="00110D6B" w:rsidRPr="00B92653" w:rsidRDefault="00110D6B" w:rsidP="00814C46">
      <w:pPr>
        <w:numPr>
          <w:ilvl w:val="0"/>
          <w:numId w:val="1"/>
        </w:numPr>
        <w:jc w:val="both"/>
        <w:rPr>
          <w:lang w:val="pt-BR"/>
        </w:rPr>
      </w:pPr>
      <w:r w:rsidRPr="00814C46">
        <w:rPr>
          <w:lang w:val="pt-BR"/>
        </w:rPr>
        <w:t xml:space="preserve">Saliva RDR =  </w:t>
      </w:r>
      <w:r>
        <w:rPr>
          <w:lang w:val="pt-BR"/>
        </w:rPr>
        <w:t>(</w:t>
      </w:r>
      <w:r w:rsidRPr="00B92653">
        <w:rPr>
          <w:lang w:val="pt-BR"/>
        </w:rPr>
        <w:t>S</w:t>
      </w:r>
      <w:r w:rsidRPr="00B92653">
        <w:rPr>
          <w:vertAlign w:val="subscript"/>
          <w:lang w:val="pt-BR"/>
        </w:rPr>
        <w:t>5</w:t>
      </w:r>
      <w:r w:rsidRPr="00B92653">
        <w:rPr>
          <w:lang w:val="pt-BR"/>
        </w:rPr>
        <w:t xml:space="preserve"> – S</w:t>
      </w:r>
      <w:r w:rsidRPr="00B92653">
        <w:rPr>
          <w:vertAlign w:val="subscript"/>
          <w:lang w:val="pt-BR"/>
        </w:rPr>
        <w:t>0</w:t>
      </w:r>
      <w:r>
        <w:rPr>
          <w:lang w:val="pt-BR"/>
        </w:rPr>
        <w:t xml:space="preserve">) </w:t>
      </w:r>
      <w:r w:rsidRPr="00814C46">
        <w:rPr>
          <w:lang w:val="pt-BR"/>
        </w:rPr>
        <w:t xml:space="preserve"> X 100</w:t>
      </w:r>
      <w:r>
        <w:rPr>
          <w:lang w:val="pt-BR"/>
        </w:rPr>
        <w:t>/S</w:t>
      </w:r>
      <w:r w:rsidRPr="00B92653">
        <w:rPr>
          <w:vertAlign w:val="subscript"/>
          <w:lang w:val="pt-BR"/>
        </w:rPr>
        <w:t>5</w:t>
      </w:r>
      <w:r>
        <w:rPr>
          <w:lang w:val="pt-BR"/>
        </w:rPr>
        <w:t xml:space="preserve">                                        </w:t>
      </w:r>
    </w:p>
    <w:p w:rsidR="00110D6B" w:rsidRPr="00135065" w:rsidRDefault="00110D6B" w:rsidP="00814C46">
      <w:pPr>
        <w:pStyle w:val="ListParagraph"/>
        <w:numPr>
          <w:ilvl w:val="0"/>
          <w:numId w:val="1"/>
        </w:numPr>
        <w:jc w:val="both"/>
        <w:rPr>
          <w:rFonts w:ascii="Cambria" w:hAnsi="Cambria"/>
        </w:rPr>
      </w:pPr>
      <w:r w:rsidRPr="00135065">
        <w:rPr>
          <w:rFonts w:ascii="Cambria" w:hAnsi="Cambria"/>
        </w:rPr>
        <w:t xml:space="preserve">During the initial phase of VA deficiency, </w:t>
      </w:r>
      <w:r>
        <w:rPr>
          <w:rFonts w:ascii="Cambria" w:hAnsi="Cambria"/>
        </w:rPr>
        <w:t>plasma</w:t>
      </w:r>
      <w:r w:rsidRPr="00135065">
        <w:rPr>
          <w:rFonts w:ascii="Cambria" w:hAnsi="Cambria"/>
        </w:rPr>
        <w:t xml:space="preserve"> retinol level remains within normal range at the cost of liver </w:t>
      </w:r>
      <w:r>
        <w:rPr>
          <w:rFonts w:ascii="Cambria" w:hAnsi="Cambria"/>
        </w:rPr>
        <w:t>vitamin A</w:t>
      </w:r>
      <w:r w:rsidRPr="00135065">
        <w:rPr>
          <w:rFonts w:ascii="Cambria" w:hAnsi="Cambria"/>
        </w:rPr>
        <w:t xml:space="preserve"> stores. </w:t>
      </w:r>
      <w:r>
        <w:rPr>
          <w:rFonts w:ascii="Cambria" w:hAnsi="Cambria"/>
        </w:rPr>
        <w:t>Plasma</w:t>
      </w:r>
      <w:r w:rsidRPr="00135065">
        <w:rPr>
          <w:rFonts w:ascii="Cambria" w:hAnsi="Cambria"/>
        </w:rPr>
        <w:t xml:space="preserve"> retinol value does not correlate well with liver stores until it becomes very low (&lt; 0.35 mcmol/dL) RDR reflects </w:t>
      </w:r>
      <w:r>
        <w:rPr>
          <w:rFonts w:ascii="Cambria" w:hAnsi="Cambria"/>
        </w:rPr>
        <w:t>vitamin A</w:t>
      </w:r>
      <w:r w:rsidRPr="00135065">
        <w:rPr>
          <w:rFonts w:ascii="Cambria" w:hAnsi="Cambria"/>
        </w:rPr>
        <w:t xml:space="preserve"> status of an individual better than </w:t>
      </w:r>
      <w:r>
        <w:rPr>
          <w:rFonts w:ascii="Cambria" w:hAnsi="Cambria"/>
        </w:rPr>
        <w:t>plasma</w:t>
      </w:r>
      <w:r w:rsidRPr="00135065">
        <w:rPr>
          <w:rFonts w:ascii="Cambria" w:hAnsi="Cambria"/>
        </w:rPr>
        <w:t xml:space="preserve"> retinol. RDR test is based on the principle that during </w:t>
      </w:r>
      <w:r>
        <w:rPr>
          <w:rFonts w:ascii="Cambria" w:hAnsi="Cambria"/>
        </w:rPr>
        <w:t>vitamin A</w:t>
      </w:r>
      <w:r w:rsidRPr="00135065">
        <w:rPr>
          <w:rFonts w:ascii="Cambria" w:hAnsi="Cambria"/>
        </w:rPr>
        <w:t xml:space="preserve"> deficiency status apo-retinal binding protein (RBP) accumulates in the liver. By giving a challenge dose of </w:t>
      </w:r>
      <w:r>
        <w:rPr>
          <w:rFonts w:ascii="Cambria" w:hAnsi="Cambria"/>
        </w:rPr>
        <w:t>vitamin A</w:t>
      </w:r>
      <w:r w:rsidRPr="00135065">
        <w:rPr>
          <w:rFonts w:ascii="Cambria" w:hAnsi="Cambria"/>
        </w:rPr>
        <w:t xml:space="preserve">, the retinol will bind to the excess of RBP in the liver and shipped out in the </w:t>
      </w:r>
      <w:r>
        <w:rPr>
          <w:rFonts w:ascii="Cambria" w:hAnsi="Cambria"/>
        </w:rPr>
        <w:t>plasma</w:t>
      </w:r>
      <w:r w:rsidRPr="00135065">
        <w:rPr>
          <w:rFonts w:ascii="Cambria" w:hAnsi="Cambria"/>
        </w:rPr>
        <w:t xml:space="preserve"> as the holo-RBP-retinol complex resulting in increase in </w:t>
      </w:r>
      <w:r>
        <w:rPr>
          <w:rFonts w:ascii="Cambria" w:hAnsi="Cambria"/>
        </w:rPr>
        <w:t>plasma</w:t>
      </w:r>
      <w:r w:rsidRPr="00135065">
        <w:rPr>
          <w:rFonts w:ascii="Cambria" w:hAnsi="Cambria"/>
        </w:rPr>
        <w:t xml:space="preserve"> retinol concentration. The proportion of rise in the </w:t>
      </w:r>
      <w:r>
        <w:rPr>
          <w:rFonts w:ascii="Cambria" w:hAnsi="Cambria"/>
        </w:rPr>
        <w:t>plasma</w:t>
      </w:r>
      <w:r w:rsidRPr="00135065">
        <w:rPr>
          <w:rFonts w:ascii="Cambria" w:hAnsi="Cambria"/>
        </w:rPr>
        <w:t xml:space="preserve"> retinol concentration directly correlates with the severity of liver </w:t>
      </w:r>
      <w:r>
        <w:rPr>
          <w:rFonts w:ascii="Cambria" w:hAnsi="Cambria"/>
        </w:rPr>
        <w:t>vitamin A</w:t>
      </w:r>
      <w:r w:rsidRPr="00135065">
        <w:rPr>
          <w:rFonts w:ascii="Cambria" w:hAnsi="Cambria"/>
        </w:rPr>
        <w:t xml:space="preserve"> depletion. RDR value of &gt; 20 % indicates deficient liver </w:t>
      </w:r>
      <w:r>
        <w:rPr>
          <w:rFonts w:ascii="Cambria" w:hAnsi="Cambria"/>
        </w:rPr>
        <w:t>vitamin A</w:t>
      </w:r>
      <w:r w:rsidRPr="00135065">
        <w:rPr>
          <w:rFonts w:ascii="Cambria" w:hAnsi="Cambria"/>
        </w:rPr>
        <w:t xml:space="preserve"> stores. </w:t>
      </w:r>
    </w:p>
    <w:p w:rsidR="00110D6B" w:rsidRPr="00135065" w:rsidRDefault="00110D6B" w:rsidP="00814C46">
      <w:pPr>
        <w:numPr>
          <w:ilvl w:val="0"/>
          <w:numId w:val="1"/>
        </w:numPr>
        <w:jc w:val="both"/>
      </w:pPr>
      <w:r>
        <w:t>RDR can be calculated either using oil soluble or water soluble preparation of vitamin A. Many</w:t>
      </w:r>
      <w:r w:rsidRPr="00135065">
        <w:t xml:space="preserve"> studies have used Aquasol A</w:t>
      </w:r>
      <w:r w:rsidRPr="00135065">
        <w:rPr>
          <w:vertAlign w:val="superscript"/>
        </w:rPr>
        <w:t>®</w:t>
      </w:r>
      <w:r w:rsidRPr="00135065">
        <w:t xml:space="preserve"> (Hospira</w:t>
      </w:r>
      <w:r w:rsidRPr="00135065">
        <w:rPr>
          <w:vertAlign w:val="superscript"/>
        </w:rPr>
        <w:t>®</w:t>
      </w:r>
      <w:r w:rsidRPr="00135065">
        <w:t xml:space="preserve"> Worldwide, Inc, USA) preparation of vitamin A via intramuscular or enteral route for calculation of RDR. Aquasol A</w:t>
      </w:r>
      <w:r w:rsidRPr="00135065">
        <w:rPr>
          <w:vertAlign w:val="superscript"/>
        </w:rPr>
        <w:t>®</w:t>
      </w:r>
      <w:r w:rsidRPr="00135065">
        <w:t xml:space="preserve"> is a water </w:t>
      </w:r>
      <w:r>
        <w:t>soluble</w:t>
      </w:r>
      <w:r w:rsidRPr="00135065">
        <w:t xml:space="preserve"> vitamin A preparation containing retinyl palmitate as an active ingredient and polysorbate 80 as a solubilizer / emulsifying agent, chlorobutanol as a preservative, and citric acid and sodium hydroxide to adjust pH. However, this formulation is not readily available in Australia. </w:t>
      </w:r>
      <w:r>
        <w:t>The dose used for RDR measurement in preterm infants ranges from 2000 IU/kg (Mactier 2012, Landman 1992, Ambalavanan 2003, Tyson 1999, Shenai 1987) to 5000 IU (Weinman 2007, Woodruff 1987) and 5000 IU/kg (Zachman 1996).</w:t>
      </w:r>
    </w:p>
    <w:p w:rsidR="00110D6B" w:rsidRDefault="00110D6B" w:rsidP="005759FD">
      <w:pPr>
        <w:numPr>
          <w:ilvl w:val="0"/>
          <w:numId w:val="1"/>
        </w:numPr>
        <w:jc w:val="both"/>
      </w:pPr>
      <w:r w:rsidRPr="00135065">
        <w:t>Vitamin A Nepalm</w:t>
      </w:r>
      <w:r w:rsidRPr="00135065">
        <w:rPr>
          <w:vertAlign w:val="superscript"/>
        </w:rPr>
        <w:t>®</w:t>
      </w:r>
      <w:r w:rsidRPr="00135065">
        <w:t xml:space="preserve"> (Lexphar</w:t>
      </w:r>
      <w:r w:rsidRPr="00135065">
        <w:rPr>
          <w:vertAlign w:val="superscript"/>
        </w:rPr>
        <w:t>®</w:t>
      </w:r>
      <w:r w:rsidRPr="00135065">
        <w:t xml:space="preserve"> Laboratoire) is </w:t>
      </w:r>
      <w:r>
        <w:t>a water soluble vitamin A product accessible under Special Access Scheme (SAS) in Australia. It contains retinyl palmitate 100000 IU/2 mL as an active ingredient. It contains following excipients:</w:t>
      </w:r>
    </w:p>
    <w:p w:rsidR="00110D6B" w:rsidRDefault="00110D6B" w:rsidP="00346181">
      <w:pPr>
        <w:numPr>
          <w:ilvl w:val="0"/>
          <w:numId w:val="6"/>
        </w:numPr>
        <w:jc w:val="both"/>
      </w:pPr>
      <w:r>
        <w:t>Polyoxyethylene hydrogenated castor oil 40 (Cremophor RH 40): Cremophor 40 is a nonionic solubilizer and emulsifying agent obtained by reacting 1 mole of hydrogenated castor oil with 40 moles of ethylene oxide. It has not been associated with any developmental toxic or teratogenic or mutagenic adverse effects in vivo and animal studies. It is used as a solubilizer for various fat-soluble vitamins, and essential oils preparations. (Product information)</w:t>
      </w:r>
    </w:p>
    <w:p w:rsidR="00110D6B" w:rsidRDefault="00110D6B" w:rsidP="00346181">
      <w:pPr>
        <w:numPr>
          <w:ilvl w:val="0"/>
          <w:numId w:val="6"/>
        </w:numPr>
        <w:jc w:val="both"/>
      </w:pPr>
      <w:r>
        <w:t>Sodium benzoate: Sodium benzoate has the chemical formula NaC</w:t>
      </w:r>
      <w:r w:rsidRPr="00BE3E95">
        <w:rPr>
          <w:vertAlign w:val="subscript"/>
        </w:rPr>
        <w:t>7</w:t>
      </w:r>
      <w:r>
        <w:t>H</w:t>
      </w:r>
      <w:r w:rsidRPr="00BE3E95">
        <w:rPr>
          <w:vertAlign w:val="subscript"/>
        </w:rPr>
        <w:t>5</w:t>
      </w:r>
      <w:r>
        <w:t>O</w:t>
      </w:r>
      <w:r w:rsidRPr="00BE3E95">
        <w:rPr>
          <w:vertAlign w:val="subscript"/>
        </w:rPr>
        <w:t>2</w:t>
      </w:r>
      <w:r>
        <w:t xml:space="preserve">. It is widely used as a preservative in food and medicines. It is designated as generally recognized as safe (GRAS) by the Food and Drug Administration (FDA). </w:t>
      </w:r>
    </w:p>
    <w:p w:rsidR="00110D6B" w:rsidRDefault="00110D6B" w:rsidP="00346181">
      <w:pPr>
        <w:numPr>
          <w:ilvl w:val="0"/>
          <w:numId w:val="6"/>
        </w:numPr>
        <w:jc w:val="both"/>
      </w:pPr>
      <w:r>
        <w:t xml:space="preserve">Hydrochloric acid to adjust pH to 5, alpha tocopherol and water for injection. </w:t>
      </w:r>
    </w:p>
    <w:p w:rsidR="00110D6B" w:rsidRDefault="00110D6B" w:rsidP="00856B15">
      <w:pPr>
        <w:ind w:left="360"/>
        <w:jc w:val="both"/>
      </w:pPr>
      <w:r w:rsidRPr="00135065">
        <w:t>Vitamin A Nepalm</w:t>
      </w:r>
      <w:r w:rsidRPr="00135065">
        <w:rPr>
          <w:vertAlign w:val="superscript"/>
        </w:rPr>
        <w:t>®</w:t>
      </w:r>
      <w:r>
        <w:rPr>
          <w:vertAlign w:val="superscript"/>
        </w:rPr>
        <w:t xml:space="preserve">   </w:t>
      </w:r>
      <w:r>
        <w:t>is used intramuscularly in patients with vitamin A deficiency when enteral route is not possible, patients with conditions causing malabsorption of vitamin A and vitamin A supply during elemental enteral nutrition. Its dose in adult is 100,000 IU and in children 50,000 IU. (</w:t>
      </w:r>
      <w:r w:rsidRPr="00135065">
        <w:t>Vitamin A Nepalm</w:t>
      </w:r>
      <w:r w:rsidRPr="00135065">
        <w:rPr>
          <w:vertAlign w:val="superscript"/>
        </w:rPr>
        <w:t>®</w:t>
      </w:r>
      <w:r>
        <w:rPr>
          <w:vertAlign w:val="superscript"/>
        </w:rPr>
        <w:t xml:space="preserve"> </w:t>
      </w:r>
      <w:r>
        <w:t>Product information)</w:t>
      </w:r>
    </w:p>
    <w:p w:rsidR="00110D6B" w:rsidRDefault="00110D6B" w:rsidP="00C62148">
      <w:pPr>
        <w:jc w:val="both"/>
      </w:pPr>
    </w:p>
    <w:p w:rsidR="00110D6B" w:rsidRDefault="00110D6B" w:rsidP="00C62148">
      <w:pPr>
        <w:jc w:val="both"/>
      </w:pPr>
      <w:r w:rsidRPr="00C62148">
        <w:rPr>
          <w:b/>
        </w:rPr>
        <w:t>Adverse effect monitoring</w:t>
      </w:r>
      <w:r w:rsidRPr="00C62148">
        <w:t xml:space="preserve">: All the infants will be monitored for possible adverse effect of vitamin A administration. </w:t>
      </w:r>
    </w:p>
    <w:p w:rsidR="00110D6B" w:rsidRPr="00C62148" w:rsidRDefault="00110D6B" w:rsidP="00C62148">
      <w:pPr>
        <w:jc w:val="both"/>
      </w:pPr>
      <w:r w:rsidRPr="00C62148">
        <w:t>Palpation of anterior fontanel (AF): AF is palpated with infant in a quite state and held in the sitting position. Normal AF is flat, flushed with the skin and soft. (Cloherty, Manual of Neonatal care 7</w:t>
      </w:r>
      <w:r w:rsidRPr="00C62148">
        <w:rPr>
          <w:vertAlign w:val="superscript"/>
        </w:rPr>
        <w:t>th</w:t>
      </w:r>
      <w:r w:rsidRPr="00C62148">
        <w:t xml:space="preserve"> Ed) A tens</w:t>
      </w:r>
      <w:r>
        <w:t>e and bulging AF may indicate vitamin A</w:t>
      </w:r>
      <w:r w:rsidRPr="00C62148">
        <w:t xml:space="preserve"> adverse effect. The infants with tense and bulging AF with no known cause will have cranial ultrasound examination. </w:t>
      </w:r>
    </w:p>
    <w:p w:rsidR="00110D6B" w:rsidRPr="00C62148" w:rsidRDefault="00110D6B" w:rsidP="00C62148">
      <w:pPr>
        <w:jc w:val="both"/>
      </w:pPr>
      <w:r w:rsidRPr="00C62148">
        <w:t xml:space="preserve">Liver size: Liver will be palpated and recorded in cm below costal margin in the mid-clavicular line. </w:t>
      </w:r>
    </w:p>
    <w:p w:rsidR="00110D6B" w:rsidRPr="00C62148" w:rsidRDefault="00110D6B" w:rsidP="00C62148">
      <w:pPr>
        <w:jc w:val="both"/>
      </w:pPr>
      <w:r w:rsidRPr="00C62148">
        <w:t xml:space="preserve">Skin changes: Desquamation of skin particularly palm and sole, mouth or lip fissures. </w:t>
      </w:r>
    </w:p>
    <w:p w:rsidR="00110D6B" w:rsidRPr="00C62148" w:rsidRDefault="00110D6B" w:rsidP="00C62148">
      <w:pPr>
        <w:rPr>
          <w:lang w:val="en-AU"/>
        </w:rPr>
      </w:pPr>
    </w:p>
    <w:p w:rsidR="00110D6B" w:rsidRPr="0074386D" w:rsidRDefault="00110D6B" w:rsidP="003C17A4">
      <w:pPr>
        <w:jc w:val="both"/>
      </w:pPr>
      <w:r w:rsidRPr="003C17A4">
        <w:rPr>
          <w:b/>
        </w:rPr>
        <w:t>Statistical analysis</w:t>
      </w:r>
      <w:r>
        <w:t xml:space="preserve">: The data will be statistically analyzed using SPSS statistical package (SPS, version 9.0, Chicago, IL, USA).  Correlation between serum and salivary vitamin A levels, and blood and saliva RDR values will be tested using Pearson r correlation analysis.  Statistical significance will be defined as p &lt; 0.05. </w:t>
      </w:r>
    </w:p>
    <w:p w:rsidR="00110D6B" w:rsidRDefault="00110D6B" w:rsidP="003C17A4">
      <w:pPr>
        <w:jc w:val="both"/>
      </w:pPr>
    </w:p>
    <w:p w:rsidR="00110D6B" w:rsidRPr="0074386D" w:rsidRDefault="00110D6B" w:rsidP="003C17A4">
      <w:pPr>
        <w:jc w:val="both"/>
      </w:pPr>
      <w:r w:rsidRPr="003C17A4">
        <w:rPr>
          <w:b/>
        </w:rPr>
        <w:t>Results</w:t>
      </w:r>
      <w:r w:rsidRPr="0074386D">
        <w:t>:</w:t>
      </w:r>
    </w:p>
    <w:p w:rsidR="00110D6B" w:rsidRDefault="00110D6B" w:rsidP="003C17A4">
      <w:pPr>
        <w:jc w:val="both"/>
      </w:pPr>
      <w:r>
        <w:t xml:space="preserve">Results will be displayed as scatter plot of: </w:t>
      </w:r>
    </w:p>
    <w:p w:rsidR="00110D6B" w:rsidRDefault="00110D6B" w:rsidP="00516611">
      <w:pPr>
        <w:numPr>
          <w:ilvl w:val="0"/>
          <w:numId w:val="7"/>
        </w:numPr>
        <w:jc w:val="both"/>
      </w:pPr>
      <w:r>
        <w:t>Serum vitamin A (microgram/mL) on X axis versus salivary vitamin a levels (nanogram/mL) on Y axis; and</w:t>
      </w:r>
    </w:p>
    <w:p w:rsidR="00110D6B" w:rsidRDefault="00110D6B" w:rsidP="00516611">
      <w:pPr>
        <w:numPr>
          <w:ilvl w:val="0"/>
          <w:numId w:val="7"/>
        </w:numPr>
        <w:jc w:val="both"/>
      </w:pPr>
      <w:r>
        <w:t>Blood RDR (%) on X axis versus saliva RDR (%) on Y axis.</w:t>
      </w:r>
    </w:p>
    <w:p w:rsidR="00110D6B" w:rsidRPr="0074386D" w:rsidRDefault="00110D6B" w:rsidP="00516611">
      <w:pPr>
        <w:jc w:val="both"/>
      </w:pPr>
      <w:r>
        <w:t xml:space="preserve">Pearson correlation value of &gt;0.8 will signify strong correlation between the two variables. </w:t>
      </w:r>
    </w:p>
    <w:p w:rsidR="00110D6B" w:rsidRDefault="00110D6B" w:rsidP="000732EF">
      <w:pPr>
        <w:jc w:val="both"/>
      </w:pPr>
    </w:p>
    <w:p w:rsidR="00110D6B" w:rsidRDefault="00110D6B" w:rsidP="000732EF">
      <w:pPr>
        <w:jc w:val="both"/>
      </w:pPr>
      <w:r w:rsidRPr="001011CF">
        <w:rPr>
          <w:b/>
        </w:rPr>
        <w:t>Justification of project</w:t>
      </w:r>
      <w:r w:rsidRPr="0074386D">
        <w:t>:</w:t>
      </w:r>
      <w:r>
        <w:t xml:space="preserve"> </w:t>
      </w:r>
    </w:p>
    <w:p w:rsidR="00110D6B" w:rsidRDefault="00110D6B" w:rsidP="000732EF">
      <w:pPr>
        <w:jc w:val="both"/>
      </w:pPr>
      <w:r>
        <w:t>Bronchopulmonary dysplasia is an important morbidity associated with preterm birth with long term health consequences. There is evidence to suggest Vitamin A deficiency in preterm infant is associated with increased risk of BPD. (Shenai 1999) Therefore, it is essential for clinicians to assess vitamin A status of preterm population so that vitamin A deficiency is timely diagnosed and corrected. Current measure of assessment of vitamin A status of infants (RDR) involves multiple blood samples from the preterm infants who are also at risk of anemia. If saliva could be used to assess vitamin A status, the procedure would not cause discomfort and iatrogenic blood loss worsening anemia. This will make the test more acceptable and widely used by clinicians across the world.</w:t>
      </w:r>
    </w:p>
    <w:p w:rsidR="00110D6B" w:rsidRDefault="00110D6B" w:rsidP="000732EF">
      <w:pPr>
        <w:jc w:val="both"/>
      </w:pPr>
    </w:p>
    <w:p w:rsidR="00110D6B" w:rsidRPr="00DC050F" w:rsidRDefault="00110D6B" w:rsidP="000732EF">
      <w:pPr>
        <w:jc w:val="both"/>
        <w:rPr>
          <w:b/>
        </w:rPr>
      </w:pPr>
      <w:r w:rsidRPr="00DC050F">
        <w:rPr>
          <w:b/>
        </w:rPr>
        <w:t>Actual and potential risks to participants and mitigation of risk:</w:t>
      </w:r>
    </w:p>
    <w:p w:rsidR="00110D6B" w:rsidRDefault="00110D6B" w:rsidP="00047692">
      <w:pPr>
        <w:numPr>
          <w:ilvl w:val="0"/>
          <w:numId w:val="8"/>
        </w:numPr>
        <w:jc w:val="both"/>
      </w:pPr>
      <w:r>
        <w:t xml:space="preserve">Risk associated with blood collection: </w:t>
      </w:r>
    </w:p>
    <w:p w:rsidR="00110D6B" w:rsidRDefault="00110D6B" w:rsidP="00047692">
      <w:pPr>
        <w:numPr>
          <w:ilvl w:val="0"/>
          <w:numId w:val="9"/>
        </w:numPr>
        <w:jc w:val="both"/>
      </w:pPr>
      <w:r>
        <w:t xml:space="preserve">Pain and discomfort: Blood collection is a common procedure and is routinely done in NICU for clinical purpose. It is a painful procedure and therefore can cause discomfort to infant. Therefore, whenever possible blood collection for the study will be coordinated with the routine blood sampling for clinical purpose to avoid additional prick to the infant. It is a routine practice in the nursery to administer few drops of sucrose before blood collection to reduce discomfort. </w:t>
      </w:r>
    </w:p>
    <w:p w:rsidR="00110D6B" w:rsidRDefault="00110D6B" w:rsidP="00047692">
      <w:pPr>
        <w:numPr>
          <w:ilvl w:val="0"/>
          <w:numId w:val="9"/>
        </w:numPr>
        <w:jc w:val="both"/>
      </w:pPr>
      <w:r>
        <w:t xml:space="preserve">Anemia: Repeated blood sampling can increase risk of anemia in preterm infants. For this study we will require total 2 mL of blood from first five recruited infants for duplicating the measurements to confirm accuracy and repeatability of the results. However, for rest of the 15 infants we plan to collect only 1 mL of total blood. </w:t>
      </w:r>
    </w:p>
    <w:p w:rsidR="00110D6B" w:rsidRDefault="00110D6B" w:rsidP="00047692">
      <w:pPr>
        <w:numPr>
          <w:ilvl w:val="0"/>
          <w:numId w:val="8"/>
        </w:numPr>
        <w:jc w:val="both"/>
      </w:pPr>
      <w:r>
        <w:t>Risk associated with saliva collection:</w:t>
      </w:r>
    </w:p>
    <w:p w:rsidR="00110D6B" w:rsidRDefault="00110D6B" w:rsidP="007C4866">
      <w:pPr>
        <w:numPr>
          <w:ilvl w:val="0"/>
          <w:numId w:val="11"/>
        </w:numPr>
        <w:jc w:val="both"/>
      </w:pPr>
      <w:r>
        <w:t>Chocking or swallowing of saliva collection swab: Saliva collection will be done with a proprietary, especially designed collection swabs (SalivaBio</w:t>
      </w:r>
      <w:r w:rsidRPr="00F36E2C">
        <w:rPr>
          <w:vertAlign w:val="superscript"/>
        </w:rPr>
        <w:t>®</w:t>
      </w:r>
      <w:r>
        <w:t xml:space="preserve"> Infant Collection Swabs, SIS) for infants less than 6 months age. SIS is made from a durable polymer and it withstands chewing. It is 90 mm long, long enough to hold one end while other end is placed in infant’s mouth, thus eliminating any chocking hazard. </w:t>
      </w:r>
    </w:p>
    <w:p w:rsidR="00110D6B" w:rsidRDefault="00110D6B" w:rsidP="007C4866">
      <w:pPr>
        <w:numPr>
          <w:ilvl w:val="0"/>
          <w:numId w:val="8"/>
        </w:numPr>
        <w:jc w:val="both"/>
      </w:pPr>
      <w:r>
        <w:t>Risk associated with vitamin A administration:</w:t>
      </w:r>
    </w:p>
    <w:p w:rsidR="00110D6B" w:rsidRDefault="00110D6B" w:rsidP="007C4866">
      <w:pPr>
        <w:numPr>
          <w:ilvl w:val="0"/>
          <w:numId w:val="12"/>
        </w:numPr>
        <w:jc w:val="both"/>
      </w:pPr>
      <w:r>
        <w:t xml:space="preserve">Aspiration: To avoid aspiration of vitamin A administered through gastric tube, prior aspiration of gastric tube will be done to confirm acidic pH. </w:t>
      </w:r>
    </w:p>
    <w:p w:rsidR="00110D6B" w:rsidRDefault="00110D6B" w:rsidP="000732EF">
      <w:pPr>
        <w:numPr>
          <w:ilvl w:val="0"/>
          <w:numId w:val="12"/>
        </w:numPr>
        <w:jc w:val="both"/>
      </w:pPr>
      <w:r>
        <w:t>Osmolarity of preparation: High Osmolarity of gastric content may increase feed intolerance and risk of necrotizing enterocolitis. We plan to dilute the vitamin A Nepalm</w:t>
      </w:r>
      <w:r w:rsidRPr="00F36E2C">
        <w:rPr>
          <w:vertAlign w:val="superscript"/>
        </w:rPr>
        <w:t>®</w:t>
      </w:r>
      <w:r>
        <w:t xml:space="preserve"> formulation ten fold before administration. This will reduce the osmolarity of final solution significantly. In addition we plan to check osmolarity of the final solution and confirm it to be within acceptable range.  In addition administration of feed along with the vitamin A dose will further decrease osmolarity of the medication. </w:t>
      </w:r>
    </w:p>
    <w:p w:rsidR="00110D6B" w:rsidRPr="00135065" w:rsidRDefault="00110D6B" w:rsidP="00930F00">
      <w:pPr>
        <w:numPr>
          <w:ilvl w:val="0"/>
          <w:numId w:val="12"/>
        </w:numPr>
        <w:jc w:val="both"/>
      </w:pPr>
      <w:r>
        <w:t xml:space="preserve">Dosage used: We plan to use a single dose of 2000 IU of vitamin A. The dose is within the range used by other studies. The dose of vitamin A used for RDR measurement in preterm infants ranges from 2000 IU/kg (Mactier 2012, Landman 1992, Ambalavanan 2003, Tyson 1999, Shenai 1987) to 5000 IU (Weinman 2007, Woodruff 1987) and 5000 IU/kg (Zachman 1996). </w:t>
      </w:r>
    </w:p>
    <w:p w:rsidR="00110D6B" w:rsidRDefault="00110D6B" w:rsidP="000732EF">
      <w:pPr>
        <w:numPr>
          <w:ilvl w:val="0"/>
          <w:numId w:val="12"/>
        </w:numPr>
        <w:jc w:val="both"/>
      </w:pPr>
      <w:r>
        <w:t>Preparation used: Water soluble preparation of vitamin A (Aquasol A) has been used extensively in preterm infants either intramuscularly or orally. However it is not readily available in Australia. Vitamin A Nepalm</w:t>
      </w:r>
      <w:r w:rsidRPr="00F36E2C">
        <w:rPr>
          <w:vertAlign w:val="superscript"/>
        </w:rPr>
        <w:t>®</w:t>
      </w:r>
      <w:r>
        <w:t xml:space="preserve"> is a similar water soluble preparation which uses emulsifiers to solubilize retinyl palmitate. It is commercially available in Australia and indicated for clinical use in children and adults. </w:t>
      </w:r>
    </w:p>
    <w:p w:rsidR="00110D6B" w:rsidRDefault="00110D6B" w:rsidP="000732EF">
      <w:pPr>
        <w:jc w:val="both"/>
      </w:pPr>
    </w:p>
    <w:p w:rsidR="00110D6B" w:rsidRDefault="00110D6B" w:rsidP="00930F00">
      <w:pPr>
        <w:jc w:val="both"/>
      </w:pPr>
      <w:r>
        <w:t>Budget:</w:t>
      </w:r>
    </w:p>
    <w:p w:rsidR="00110D6B" w:rsidRDefault="00110D6B" w:rsidP="00930F0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700"/>
        <w:gridCol w:w="1568"/>
      </w:tblGrid>
      <w:tr w:rsidR="00110D6B" w:rsidTr="00085555">
        <w:tc>
          <w:tcPr>
            <w:tcW w:w="4248" w:type="dxa"/>
          </w:tcPr>
          <w:p w:rsidR="00110D6B" w:rsidRDefault="00110D6B" w:rsidP="00085555">
            <w:pPr>
              <w:jc w:val="center"/>
            </w:pPr>
            <w:r>
              <w:t>Item</w:t>
            </w:r>
          </w:p>
        </w:tc>
        <w:tc>
          <w:tcPr>
            <w:tcW w:w="2700" w:type="dxa"/>
          </w:tcPr>
          <w:p w:rsidR="00110D6B" w:rsidRDefault="00110D6B" w:rsidP="00085555">
            <w:pPr>
              <w:jc w:val="center"/>
            </w:pPr>
            <w:r>
              <w:t>Unit</w:t>
            </w:r>
          </w:p>
        </w:tc>
        <w:tc>
          <w:tcPr>
            <w:tcW w:w="1568" w:type="dxa"/>
          </w:tcPr>
          <w:p w:rsidR="00110D6B" w:rsidRDefault="00110D6B" w:rsidP="00085555">
            <w:pPr>
              <w:jc w:val="center"/>
            </w:pPr>
            <w:r>
              <w:t>Cost ($)</w:t>
            </w:r>
          </w:p>
        </w:tc>
      </w:tr>
      <w:tr w:rsidR="00110D6B" w:rsidTr="00085555">
        <w:tc>
          <w:tcPr>
            <w:tcW w:w="4248" w:type="dxa"/>
          </w:tcPr>
          <w:p w:rsidR="00110D6B" w:rsidRDefault="00110D6B" w:rsidP="00085555">
            <w:pPr>
              <w:jc w:val="both"/>
            </w:pPr>
            <w:r>
              <w:t>SalivaBio SIS</w:t>
            </w:r>
          </w:p>
        </w:tc>
        <w:tc>
          <w:tcPr>
            <w:tcW w:w="2700" w:type="dxa"/>
          </w:tcPr>
          <w:p w:rsidR="00110D6B" w:rsidRDefault="00110D6B" w:rsidP="00085555">
            <w:pPr>
              <w:jc w:val="center"/>
            </w:pPr>
            <w:r>
              <w:t xml:space="preserve">100 </w:t>
            </w:r>
          </w:p>
        </w:tc>
        <w:tc>
          <w:tcPr>
            <w:tcW w:w="1568" w:type="dxa"/>
          </w:tcPr>
          <w:p w:rsidR="00110D6B" w:rsidRDefault="00110D6B" w:rsidP="00085555">
            <w:pPr>
              <w:jc w:val="center"/>
            </w:pPr>
            <w:r>
              <w:t>514</w:t>
            </w:r>
          </w:p>
        </w:tc>
      </w:tr>
      <w:tr w:rsidR="00110D6B" w:rsidTr="00085555">
        <w:tc>
          <w:tcPr>
            <w:tcW w:w="4248" w:type="dxa"/>
          </w:tcPr>
          <w:p w:rsidR="00110D6B" w:rsidRDefault="00110D6B" w:rsidP="00085555">
            <w:pPr>
              <w:jc w:val="both"/>
            </w:pPr>
            <w:r>
              <w:t xml:space="preserve">Blood collection tubes </w:t>
            </w:r>
          </w:p>
          <w:p w:rsidR="00110D6B" w:rsidRDefault="00110D6B" w:rsidP="00085555">
            <w:pPr>
              <w:jc w:val="both"/>
            </w:pPr>
            <w:r>
              <w:t>(Minicollect</w:t>
            </w:r>
            <w:r w:rsidRPr="00D717D8">
              <w:rPr>
                <w:vertAlign w:val="superscript"/>
              </w:rPr>
              <w:t>®</w:t>
            </w:r>
            <w:r>
              <w:t xml:space="preserve"> 0.8 mL Light Green Lithium Heparin with Gel Separator - 450479)</w:t>
            </w:r>
          </w:p>
        </w:tc>
        <w:tc>
          <w:tcPr>
            <w:tcW w:w="2700" w:type="dxa"/>
          </w:tcPr>
          <w:p w:rsidR="00110D6B" w:rsidRDefault="00110D6B" w:rsidP="00085555">
            <w:pPr>
              <w:jc w:val="center"/>
            </w:pPr>
            <w:r>
              <w:t xml:space="preserve">100 </w:t>
            </w:r>
          </w:p>
        </w:tc>
        <w:tc>
          <w:tcPr>
            <w:tcW w:w="1568" w:type="dxa"/>
          </w:tcPr>
          <w:p w:rsidR="00110D6B" w:rsidRDefault="00110D6B" w:rsidP="00085555">
            <w:pPr>
              <w:jc w:val="center"/>
            </w:pPr>
            <w:r>
              <w:t>112</w:t>
            </w:r>
          </w:p>
        </w:tc>
      </w:tr>
      <w:tr w:rsidR="00110D6B" w:rsidTr="00085555">
        <w:tc>
          <w:tcPr>
            <w:tcW w:w="4248" w:type="dxa"/>
          </w:tcPr>
          <w:p w:rsidR="00110D6B" w:rsidRDefault="00110D6B" w:rsidP="00085555">
            <w:pPr>
              <w:jc w:val="both"/>
            </w:pPr>
            <w:r>
              <w:t>Aluminum Foil</w:t>
            </w:r>
          </w:p>
        </w:tc>
        <w:tc>
          <w:tcPr>
            <w:tcW w:w="2700" w:type="dxa"/>
          </w:tcPr>
          <w:p w:rsidR="00110D6B" w:rsidRDefault="00110D6B" w:rsidP="00085555">
            <w:pPr>
              <w:jc w:val="center"/>
            </w:pPr>
            <w:r>
              <w:t>1</w:t>
            </w:r>
          </w:p>
        </w:tc>
        <w:tc>
          <w:tcPr>
            <w:tcW w:w="1568" w:type="dxa"/>
          </w:tcPr>
          <w:p w:rsidR="00110D6B" w:rsidRDefault="00110D6B" w:rsidP="00085555">
            <w:pPr>
              <w:jc w:val="center"/>
            </w:pPr>
            <w:r>
              <w:t>10</w:t>
            </w:r>
          </w:p>
        </w:tc>
      </w:tr>
      <w:tr w:rsidR="00110D6B" w:rsidTr="00085555">
        <w:tc>
          <w:tcPr>
            <w:tcW w:w="4248" w:type="dxa"/>
          </w:tcPr>
          <w:p w:rsidR="00110D6B" w:rsidRDefault="00110D6B" w:rsidP="00085555">
            <w:pPr>
              <w:jc w:val="both"/>
            </w:pPr>
            <w:r>
              <w:t>Centrifugation, storage of serum and saliva</w:t>
            </w:r>
          </w:p>
        </w:tc>
        <w:tc>
          <w:tcPr>
            <w:tcW w:w="2700" w:type="dxa"/>
          </w:tcPr>
          <w:p w:rsidR="00110D6B" w:rsidRDefault="00110D6B" w:rsidP="00085555">
            <w:pPr>
              <w:jc w:val="center"/>
            </w:pPr>
            <w:r>
              <w:t>40 samples</w:t>
            </w:r>
          </w:p>
        </w:tc>
        <w:tc>
          <w:tcPr>
            <w:tcW w:w="1568" w:type="dxa"/>
          </w:tcPr>
          <w:p w:rsidR="00110D6B" w:rsidRDefault="00110D6B" w:rsidP="00085555">
            <w:pPr>
              <w:jc w:val="center"/>
            </w:pPr>
            <w:r>
              <w:t>---</w:t>
            </w:r>
          </w:p>
        </w:tc>
      </w:tr>
      <w:tr w:rsidR="00110D6B" w:rsidTr="00085555">
        <w:tc>
          <w:tcPr>
            <w:tcW w:w="4248" w:type="dxa"/>
          </w:tcPr>
          <w:p w:rsidR="00110D6B" w:rsidRDefault="00110D6B" w:rsidP="00085555">
            <w:pPr>
              <w:jc w:val="both"/>
            </w:pPr>
            <w:r>
              <w:t xml:space="preserve">Vitamin A assay </w:t>
            </w:r>
          </w:p>
          <w:p w:rsidR="00110D6B" w:rsidRDefault="00110D6B" w:rsidP="00085555">
            <w:pPr>
              <w:jc w:val="both"/>
            </w:pPr>
            <w:r>
              <w:t>($ 28/sample)</w:t>
            </w:r>
          </w:p>
        </w:tc>
        <w:tc>
          <w:tcPr>
            <w:tcW w:w="2700" w:type="dxa"/>
          </w:tcPr>
          <w:p w:rsidR="00110D6B" w:rsidRDefault="00110D6B" w:rsidP="00085555">
            <w:pPr>
              <w:jc w:val="center"/>
            </w:pPr>
            <w:r>
              <w:t>100</w:t>
            </w:r>
          </w:p>
        </w:tc>
        <w:tc>
          <w:tcPr>
            <w:tcW w:w="1568" w:type="dxa"/>
          </w:tcPr>
          <w:p w:rsidR="00110D6B" w:rsidRDefault="00110D6B" w:rsidP="00085555">
            <w:pPr>
              <w:jc w:val="center"/>
            </w:pPr>
            <w:r>
              <w:t>2800</w:t>
            </w:r>
          </w:p>
        </w:tc>
      </w:tr>
      <w:tr w:rsidR="00110D6B" w:rsidTr="00085555">
        <w:tc>
          <w:tcPr>
            <w:tcW w:w="4248" w:type="dxa"/>
          </w:tcPr>
          <w:p w:rsidR="00110D6B" w:rsidRDefault="00110D6B" w:rsidP="00085555">
            <w:r>
              <w:t>Stationary (parent information sheet, consent forms, etc)</w:t>
            </w:r>
          </w:p>
        </w:tc>
        <w:tc>
          <w:tcPr>
            <w:tcW w:w="2700" w:type="dxa"/>
          </w:tcPr>
          <w:p w:rsidR="00110D6B" w:rsidRDefault="00110D6B" w:rsidP="00085555">
            <w:pPr>
              <w:jc w:val="center"/>
            </w:pPr>
            <w:r>
              <w:t>20 each</w:t>
            </w:r>
          </w:p>
        </w:tc>
        <w:tc>
          <w:tcPr>
            <w:tcW w:w="1568" w:type="dxa"/>
          </w:tcPr>
          <w:p w:rsidR="00110D6B" w:rsidRDefault="00110D6B" w:rsidP="00085555">
            <w:pPr>
              <w:jc w:val="center"/>
            </w:pPr>
            <w:r>
              <w:t>40</w:t>
            </w:r>
          </w:p>
        </w:tc>
      </w:tr>
      <w:tr w:rsidR="00110D6B" w:rsidTr="00085555">
        <w:tc>
          <w:tcPr>
            <w:tcW w:w="6948" w:type="dxa"/>
            <w:gridSpan w:val="2"/>
          </w:tcPr>
          <w:p w:rsidR="00110D6B" w:rsidRDefault="00110D6B" w:rsidP="00085555">
            <w:pPr>
              <w:jc w:val="both"/>
            </w:pPr>
            <w:r>
              <w:t>Total</w:t>
            </w:r>
          </w:p>
        </w:tc>
        <w:tc>
          <w:tcPr>
            <w:tcW w:w="1568" w:type="dxa"/>
          </w:tcPr>
          <w:p w:rsidR="00110D6B" w:rsidRDefault="00110D6B" w:rsidP="00085555">
            <w:pPr>
              <w:jc w:val="center"/>
            </w:pPr>
            <w:r>
              <w:t>3476</w:t>
            </w:r>
          </w:p>
        </w:tc>
      </w:tr>
    </w:tbl>
    <w:p w:rsidR="00110D6B" w:rsidRDefault="00110D6B" w:rsidP="00930F00">
      <w:pPr>
        <w:jc w:val="both"/>
      </w:pPr>
      <w:r>
        <w:t xml:space="preserve"> </w:t>
      </w: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p>
    <w:p w:rsidR="00110D6B" w:rsidRDefault="00110D6B" w:rsidP="000732EF">
      <w:pPr>
        <w:jc w:val="both"/>
      </w:pPr>
      <w:r>
        <w:br w:type="page"/>
        <w:t>Fig 1: Flow diagram summarizing study protocol</w:t>
      </w:r>
    </w:p>
    <w:p w:rsidR="00110D6B" w:rsidRDefault="00110D6B" w:rsidP="000732EF">
      <w:pPr>
        <w:jc w:val="both"/>
      </w:pPr>
      <w:bookmarkStart w:id="0" w:name="_GoBack"/>
      <w:bookmarkEnd w:id="0"/>
    </w:p>
    <w:p w:rsidR="00110D6B" w:rsidRDefault="00110D6B" w:rsidP="000732EF">
      <w:pPr>
        <w:jc w:val="both"/>
      </w:pPr>
    </w:p>
    <w:p w:rsidR="00110D6B" w:rsidRDefault="00110D6B" w:rsidP="000732EF">
      <w:pPr>
        <w:jc w:val="both"/>
      </w:pPr>
      <w:r>
        <w:rPr>
          <w:noProof/>
          <w:lang w:val="en-AU" w:eastAsia="en-AU"/>
        </w:rPr>
        <w:pict>
          <v:shapetype id="_x0000_t202" coordsize="21600,21600" o:spt="202" path="m,l,21600r21600,l21600,xe">
            <v:stroke joinstyle="miter"/>
            <v:path gradientshapeok="t" o:connecttype="rect"/>
          </v:shapetype>
          <v:shape id="_x0000_s1026" type="#_x0000_t202" style="position:absolute;left:0;text-align:left;margin-left:63pt;margin-top:11.8pt;width:162pt;height:54pt;z-index:251653632">
            <v:textbox style="mso-next-textbox:#_x0000_s1026">
              <w:txbxContent>
                <w:p w:rsidR="00110D6B" w:rsidRPr="00924414" w:rsidRDefault="00110D6B">
                  <w:pPr>
                    <w:rPr>
                      <w:lang w:val="en-AU"/>
                    </w:rPr>
                  </w:pPr>
                  <w:r>
                    <w:rPr>
                      <w:lang w:val="en-AU"/>
                    </w:rPr>
                    <w:t>Assessment of patients for eligibility at 3 to 5 weeks of post-natal age</w:t>
                  </w:r>
                </w:p>
              </w:txbxContent>
            </v:textbox>
          </v:shape>
        </w:pict>
      </w:r>
    </w:p>
    <w:p w:rsidR="00110D6B" w:rsidRDefault="00110D6B" w:rsidP="000732EF">
      <w:pPr>
        <w:jc w:val="both"/>
        <w:rPr>
          <w:lang w:val="pt-BR"/>
        </w:rPr>
      </w:pPr>
      <w:r>
        <w:rPr>
          <w:noProof/>
          <w:lang w:val="en-AU" w:eastAsia="en-AU"/>
        </w:rPr>
        <w:pict>
          <v:shape id="_x0000_s1027" type="#_x0000_t202" style="position:absolute;left:0;text-align:left;margin-left:270pt;margin-top:393.75pt;width:171pt;height:54pt;z-index:251659776">
            <v:textbox style="mso-next-textbox:#_x0000_s1027">
              <w:txbxContent>
                <w:p w:rsidR="00110D6B" w:rsidRPr="00924414" w:rsidRDefault="00110D6B" w:rsidP="00650001">
                  <w:pPr>
                    <w:rPr>
                      <w:lang w:val="en-AU"/>
                    </w:rPr>
                  </w:pPr>
                  <w:r>
                    <w:rPr>
                      <w:lang w:val="en-AU"/>
                    </w:rPr>
                    <w:t>Samples centrifuged, wrapped in aluminium foil and stored at -80</w:t>
                  </w:r>
                  <w:r w:rsidRPr="00650001">
                    <w:rPr>
                      <w:vertAlign w:val="superscript"/>
                      <w:lang w:val="en-AU"/>
                    </w:rPr>
                    <w:t>0</w:t>
                  </w:r>
                  <w:r>
                    <w:rPr>
                      <w:lang w:val="en-AU"/>
                    </w:rPr>
                    <w:t>C till further analysis</w:t>
                  </w:r>
                </w:p>
              </w:txbxContent>
            </v:textbox>
          </v:shape>
        </w:pict>
      </w:r>
      <w:r>
        <w:rPr>
          <w:noProof/>
          <w:lang w:val="en-AU" w:eastAsia="en-AU"/>
        </w:rPr>
        <w:pict>
          <v:shape id="_x0000_s1028" type="#_x0000_t202" style="position:absolute;left:0;text-align:left;margin-left:261pt;margin-top:231.75pt;width:171pt;height:54pt;z-index:251658752">
            <v:textbox style="mso-next-textbox:#_x0000_s1028">
              <w:txbxContent>
                <w:p w:rsidR="00110D6B" w:rsidRPr="00924414" w:rsidRDefault="00110D6B" w:rsidP="00650001">
                  <w:pPr>
                    <w:rPr>
                      <w:lang w:val="en-AU"/>
                    </w:rPr>
                  </w:pPr>
                  <w:r>
                    <w:rPr>
                      <w:lang w:val="en-AU"/>
                    </w:rPr>
                    <w:t>Samples centrifuged, wrapped in aluminium foil and stored at -80</w:t>
                  </w:r>
                  <w:r w:rsidRPr="00650001">
                    <w:rPr>
                      <w:vertAlign w:val="superscript"/>
                      <w:lang w:val="en-AU"/>
                    </w:rPr>
                    <w:t>0</w:t>
                  </w:r>
                  <w:r>
                    <w:rPr>
                      <w:lang w:val="en-AU"/>
                    </w:rPr>
                    <w:t>C till further analysis</w:t>
                  </w:r>
                </w:p>
              </w:txbxContent>
            </v:textbox>
          </v:shape>
        </w:pict>
      </w:r>
      <w:r>
        <w:rPr>
          <w:noProof/>
          <w:lang w:val="en-AU" w:eastAsia="en-AU"/>
        </w:rPr>
        <w:pict>
          <v:shape id="_x0000_s1029" type="#_x0000_t202" style="position:absolute;left:0;text-align:left;margin-left:81pt;margin-top:312.75pt;width:117pt;height:45pt;z-index:251657728">
            <v:textbox style="mso-next-textbox:#_x0000_s1029">
              <w:txbxContent>
                <w:p w:rsidR="00110D6B" w:rsidRPr="00924414" w:rsidRDefault="00110D6B" w:rsidP="00924414">
                  <w:pPr>
                    <w:rPr>
                      <w:lang w:val="en-AU"/>
                    </w:rPr>
                  </w:pPr>
                  <w:r>
                    <w:rPr>
                      <w:lang w:val="en-AU"/>
                    </w:rPr>
                    <w:t xml:space="preserve">Vitamin A administration </w:t>
                  </w:r>
                </w:p>
              </w:txbxContent>
            </v:textbox>
          </v:shape>
        </w:pict>
      </w:r>
      <w:r>
        <w:rPr>
          <w:noProof/>
          <w:lang w:val="en-AU" w:eastAsia="en-AU"/>
        </w:rPr>
        <w:pict>
          <v:shape id="_x0000_s1030" type="#_x0000_t202" style="position:absolute;left:0;text-align:left;margin-left:81pt;margin-top:231.75pt;width:117pt;height:45pt;z-index:251656704">
            <v:textbox style="mso-next-textbox:#_x0000_s1030">
              <w:txbxContent>
                <w:p w:rsidR="00110D6B" w:rsidRPr="00924414" w:rsidRDefault="00110D6B" w:rsidP="00924414">
                  <w:pPr>
                    <w:rPr>
                      <w:lang w:val="en-AU"/>
                    </w:rPr>
                  </w:pPr>
                  <w:r>
                    <w:rPr>
                      <w:lang w:val="en-AU"/>
                    </w:rPr>
                    <w:t>Blood and saliva collection</w:t>
                  </w:r>
                </w:p>
              </w:txbxContent>
            </v:textbox>
          </v:shape>
        </w:pict>
      </w:r>
      <w:r>
        <w:rPr>
          <w:noProof/>
          <w:lang w:val="en-AU" w:eastAsia="en-AU"/>
        </w:rPr>
        <w:pict>
          <v:shape id="_x0000_s1031" type="#_x0000_t202" style="position:absolute;left:0;text-align:left;margin-left:81pt;margin-top:150.75pt;width:117pt;height:45pt;z-index:251655680">
            <v:textbox style="mso-next-textbox:#_x0000_s1031">
              <w:txbxContent>
                <w:p w:rsidR="00110D6B" w:rsidRPr="00924414" w:rsidRDefault="00110D6B" w:rsidP="00924414">
                  <w:pPr>
                    <w:rPr>
                      <w:lang w:val="en-AU"/>
                    </w:rPr>
                  </w:pPr>
                  <w:r>
                    <w:rPr>
                      <w:lang w:val="en-AU"/>
                    </w:rPr>
                    <w:t>Informed parental consent</w:t>
                  </w:r>
                </w:p>
              </w:txbxContent>
            </v:textbox>
          </v:shape>
        </w:pict>
      </w:r>
      <w:r>
        <w:rPr>
          <w:noProof/>
          <w:lang w:val="en-AU" w:eastAsia="en-AU"/>
        </w:rPr>
        <w:pict>
          <v:shape id="_x0000_s1032" type="#_x0000_t202" style="position:absolute;left:0;text-align:left;margin-left:90pt;margin-top:87.75pt;width:99pt;height:27pt;z-index:251654656">
            <v:textbox style="mso-next-textbox:#_x0000_s1032">
              <w:txbxContent>
                <w:p w:rsidR="00110D6B" w:rsidRPr="00924414" w:rsidRDefault="00110D6B">
                  <w:pPr>
                    <w:rPr>
                      <w:lang w:val="en-AU"/>
                    </w:rPr>
                  </w:pPr>
                  <w:r>
                    <w:rPr>
                      <w:lang w:val="en-AU"/>
                    </w:rPr>
                    <w:t>Patient Eligible</w:t>
                  </w:r>
                </w:p>
              </w:txbxContent>
            </v:textbox>
          </v:shape>
        </w:pict>
      </w:r>
      <w:r>
        <w:rPr>
          <w:noProof/>
          <w:lang w:val="en-AU" w:eastAsia="en-AU"/>
        </w:rPr>
      </w:r>
      <w:r w:rsidRPr="00590CCA">
        <w:rPr>
          <w:lang w:val="pt-BR"/>
        </w:rPr>
        <w:pict>
          <v:group id="_x0000_s1033" editas="canvas" style="width:414pt;height:243pt;mso-position-horizontal-relative:char;mso-position-vertical-relative:line" coordorigin="2355,168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355;top:1680;width:7200;height:4320" o:preferrelative="f">
              <v:fill o:detectmouseclick="t"/>
              <v:path o:extrusionok="t" o:connecttype="none"/>
              <o:lock v:ext="edit" text="t"/>
            </v:shape>
            <v:line id="_x0000_s1035" style="position:absolute" from="4859,2480" to="4860,3120">
              <v:stroke endarrow="block"/>
            </v:line>
            <v:line id="_x0000_s1036" style="position:absolute" from="4859,3760" to="4859,4240">
              <v:stroke endarrow="block"/>
            </v:line>
            <v:line id="_x0000_s1037" style="position:absolute" from="4859,5090" to="4859,5730">
              <v:stroke endarrow="block"/>
            </v:line>
            <w10:anchorlock/>
          </v:group>
        </w:pict>
      </w:r>
      <w:r>
        <w:rPr>
          <w:noProof/>
          <w:lang w:val="en-AU" w:eastAsia="en-AU"/>
        </w:rPr>
      </w:r>
      <w:r w:rsidRPr="00590CCA">
        <w:rPr>
          <w:lang w:val="pt-BR"/>
        </w:rPr>
        <w:pict>
          <v:group id="_x0000_s1038" editas="canvas" style="width:468pt;height:351pt;mso-position-horizontal-relative:char;mso-position-vertical-relative:line" coordorigin="2355,8377" coordsize="8139,6240">
            <o:lock v:ext="edit" aspectratio="t"/>
            <v:shape id="_x0000_s1039" type="#_x0000_t75" style="position:absolute;left:2355;top:8377;width:8139;height:6240" o:preferrelative="f">
              <v:fill o:detectmouseclick="t"/>
              <v:path o:extrusionok="t" o:connecttype="none"/>
              <o:lock v:ext="edit" text="t"/>
            </v:shape>
            <v:line id="_x0000_s1040" style="position:absolute" from="5955,11577" to="7051,11577">
              <v:stroke endarrow="block"/>
            </v:line>
            <v:line id="_x0000_s1041" style="position:absolute" from="5798,8497" to="6894,8497">
              <v:stroke endarrow="block"/>
            </v:line>
            <v:line id="_x0000_s1042" style="position:absolute" from="4859,8977" to="4859,9617">
              <v:stroke endarrow="block"/>
            </v:line>
            <v:line id="_x0000_s1043" style="position:absolute" from="4859,10457" to="4859,10937">
              <v:stroke endarrow="block"/>
            </v:line>
            <v:line id="_x0000_s1044" style="position:absolute" from="4859,11897" to="4860,12537">
              <v:stroke endarrow="block"/>
            </v:line>
            <v:shape id="_x0000_s1045" type="#_x0000_t202" style="position:absolute;left:3764;top:10937;width:2191;height:960">
              <v:textbox style="mso-next-textbox:#_x0000_s1045">
                <w:txbxContent>
                  <w:p w:rsidR="00110D6B" w:rsidRPr="00924414" w:rsidRDefault="00110D6B" w:rsidP="00924414">
                    <w:pPr>
                      <w:rPr>
                        <w:lang w:val="en-AU"/>
                      </w:rPr>
                    </w:pPr>
                    <w:r>
                      <w:rPr>
                        <w:lang w:val="en-AU"/>
                      </w:rPr>
                      <w:t xml:space="preserve">Blood and saliva collection after 5 hours </w:t>
                    </w:r>
                  </w:p>
                </w:txbxContent>
              </v:textbox>
            </v:shape>
            <v:shape id="_x0000_s1046" type="#_x0000_t202" style="position:absolute;left:3764;top:12537;width:2191;height:960">
              <v:textbox style="mso-next-textbox:#_x0000_s1046">
                <w:txbxContent>
                  <w:p w:rsidR="00110D6B" w:rsidRPr="00924414" w:rsidRDefault="00110D6B" w:rsidP="00E52BC3">
                    <w:pPr>
                      <w:rPr>
                        <w:lang w:val="en-AU"/>
                      </w:rPr>
                    </w:pPr>
                    <w:r>
                      <w:rPr>
                        <w:lang w:val="en-AU"/>
                      </w:rPr>
                      <w:t xml:space="preserve">Blood and saliva collection after 7 hours </w:t>
                    </w:r>
                  </w:p>
                </w:txbxContent>
              </v:textbox>
            </v:shape>
            <v:shape id="_x0000_s1047" type="#_x0000_t202" style="position:absolute;left:7051;top:12537;width:2973;height:960">
              <v:textbox style="mso-next-textbox:#_x0000_s1047">
                <w:txbxContent>
                  <w:p w:rsidR="00110D6B" w:rsidRPr="00924414" w:rsidRDefault="00110D6B" w:rsidP="00E52BC3">
                    <w:pPr>
                      <w:rPr>
                        <w:lang w:val="en-AU"/>
                      </w:rPr>
                    </w:pPr>
                    <w:r>
                      <w:rPr>
                        <w:lang w:val="en-AU"/>
                      </w:rPr>
                      <w:t>Samples centrifuged, wrapped in aluminium foil and stored at -80</w:t>
                    </w:r>
                    <w:r w:rsidRPr="00650001">
                      <w:rPr>
                        <w:vertAlign w:val="superscript"/>
                        <w:lang w:val="en-AU"/>
                      </w:rPr>
                      <w:t>0</w:t>
                    </w:r>
                    <w:r>
                      <w:rPr>
                        <w:lang w:val="en-AU"/>
                      </w:rPr>
                      <w:t>C till further analysis</w:t>
                    </w:r>
                  </w:p>
                </w:txbxContent>
              </v:textbox>
            </v:shape>
            <v:line id="_x0000_s1048" style="position:absolute" from="5955,13017" to="7051,13017">
              <v:stroke endarrow="block"/>
            </v:line>
            <w10:anchorlock/>
          </v:group>
        </w:pict>
      </w:r>
    </w:p>
    <w:p w:rsidR="00110D6B" w:rsidRPr="00550A7C" w:rsidRDefault="00110D6B" w:rsidP="000732EF">
      <w:pPr>
        <w:jc w:val="both"/>
        <w:rPr>
          <w:lang w:val="en-AU"/>
        </w:rPr>
      </w:pPr>
      <w:r w:rsidRPr="00550A7C">
        <w:rPr>
          <w:lang w:val="en-AU"/>
        </w:rPr>
        <w:br w:type="page"/>
        <w:t>References:</w:t>
      </w:r>
    </w:p>
    <w:p w:rsidR="00110D6B" w:rsidRDefault="00110D6B" w:rsidP="00F36E2C">
      <w:pPr>
        <w:jc w:val="both"/>
      </w:pPr>
      <w:r w:rsidRPr="00550A7C">
        <w:rPr>
          <w:lang w:val="en-AU"/>
        </w:rPr>
        <w:t xml:space="preserve">Ambalavanan N, Wu TJ, Tyson JE, Kennedy KA, Roane C, Carlo WA. </w:t>
      </w:r>
      <w:r>
        <w:t>A comparison of three vitamin A dosing regimens in extremely-low-birth-weight infants. J Pediatr 2003;142:656-61.</w:t>
      </w:r>
    </w:p>
    <w:p w:rsidR="00110D6B" w:rsidRDefault="00110D6B" w:rsidP="00F36E2C">
      <w:pPr>
        <w:jc w:val="both"/>
      </w:pPr>
    </w:p>
    <w:p w:rsidR="00110D6B" w:rsidRDefault="00110D6B" w:rsidP="00F36E2C">
      <w:pPr>
        <w:jc w:val="both"/>
      </w:pPr>
      <w:r>
        <w:t>Frank L, Sosenko IR. Undernutrition as a major contributing factor in the pathogenesis of bronchopulmonary dysplasia. Am Rev Respir Dis. 1988;138:725-9.</w:t>
      </w:r>
    </w:p>
    <w:p w:rsidR="00110D6B" w:rsidRPr="00550A7C" w:rsidRDefault="00110D6B" w:rsidP="0002486C">
      <w:pPr>
        <w:jc w:val="both"/>
        <w:rPr>
          <w:lang w:val="en-AU"/>
        </w:rPr>
      </w:pPr>
    </w:p>
    <w:p w:rsidR="00110D6B" w:rsidRDefault="00110D6B" w:rsidP="0002486C">
      <w:pPr>
        <w:jc w:val="both"/>
      </w:pPr>
      <w:r w:rsidRPr="00550A7C">
        <w:rPr>
          <w:lang w:val="en-AU"/>
        </w:rPr>
        <w:t xml:space="preserve">Galambos C, Demello DE. </w:t>
      </w:r>
      <w:r>
        <w:t>Regulation of alveologenesis: clinical implications of impaired growth. Pathology 2008;40(2):124-40</w:t>
      </w:r>
    </w:p>
    <w:p w:rsidR="00110D6B" w:rsidRDefault="00110D6B" w:rsidP="00DC050F">
      <w:pPr>
        <w:jc w:val="both"/>
      </w:pPr>
    </w:p>
    <w:p w:rsidR="00110D6B" w:rsidRDefault="00110D6B" w:rsidP="00DC050F">
      <w:pPr>
        <w:jc w:val="both"/>
      </w:pPr>
      <w:r>
        <w:t>Kennedy KA, Stoll BJ, Ehrenkranz RA, Oh W, Wright LL, Stevenson DK, et al. Vitamin A to prevent bronchopulmonary dysplasia in very-low-birth-weight infants: has the dose been too low? Early Human development 1997;49:19-31.</w:t>
      </w:r>
    </w:p>
    <w:p w:rsidR="00110D6B" w:rsidRDefault="00110D6B" w:rsidP="00DC050F">
      <w:pPr>
        <w:jc w:val="both"/>
      </w:pPr>
    </w:p>
    <w:p w:rsidR="00110D6B" w:rsidRDefault="00110D6B" w:rsidP="00DC050F">
      <w:pPr>
        <w:jc w:val="both"/>
      </w:pPr>
      <w:r>
        <w:t>Landman J, Sive A, Heese HDV, Elst CVD, Sacks R. Comparison of enteral and intramuscular vitamin A supplementation in preterm infants. Early Human Development 1992;30:163-70.</w:t>
      </w:r>
    </w:p>
    <w:p w:rsidR="00110D6B" w:rsidRDefault="00110D6B" w:rsidP="0002486C">
      <w:pPr>
        <w:jc w:val="both"/>
      </w:pPr>
    </w:p>
    <w:p w:rsidR="00110D6B" w:rsidRDefault="00110D6B" w:rsidP="00DC050F">
      <w:pPr>
        <w:jc w:val="both"/>
      </w:pPr>
      <w:r>
        <w:t>Mactier H, McCulloch DL, Hamilton R, Galloway P, Bradnam MS, Young D, et al. Vitamin A supplementation improves retinal function in infants at risk of retinopathy of prematurity. J Pediatr 2012;160:954-59.</w:t>
      </w:r>
    </w:p>
    <w:p w:rsidR="00110D6B" w:rsidRDefault="00110D6B" w:rsidP="0002486C">
      <w:pPr>
        <w:jc w:val="both"/>
      </w:pPr>
    </w:p>
    <w:p w:rsidR="00110D6B" w:rsidRDefault="00110D6B" w:rsidP="0002486C">
      <w:pPr>
        <w:jc w:val="both"/>
      </w:pPr>
      <w:r>
        <w:t>Sakihara S, Kageyama K, Oki Y, Doi M, Iwasaki Y, Takayasu S, et al. Evaluation of plasma, salivary, and urinary cortisol levels for diagnosis of Cushing’s syndrome. Endocrine Journal 2010;57(4):331-37.</w:t>
      </w:r>
    </w:p>
    <w:p w:rsidR="00110D6B" w:rsidRDefault="00110D6B" w:rsidP="00DC050F">
      <w:pPr>
        <w:jc w:val="both"/>
      </w:pPr>
    </w:p>
    <w:p w:rsidR="00110D6B" w:rsidRDefault="00110D6B" w:rsidP="00DC050F">
      <w:pPr>
        <w:jc w:val="both"/>
      </w:pPr>
      <w:r>
        <w:t>Saral Y, Coskun BK, Ozturk P, Karatas F, Ayar A. Assessment of salivary and serum antioxidant vitamins and lipid peroxidation in patients with recurrent aphthus ulceration. Tohoku J Exp Med. 2005;206:305-12.</w:t>
      </w:r>
    </w:p>
    <w:p w:rsidR="00110D6B" w:rsidRDefault="00110D6B" w:rsidP="00DC050F">
      <w:pPr>
        <w:jc w:val="both"/>
      </w:pPr>
    </w:p>
    <w:p w:rsidR="00110D6B" w:rsidRDefault="00110D6B" w:rsidP="00DC050F">
      <w:pPr>
        <w:jc w:val="both"/>
      </w:pPr>
      <w:r>
        <w:t>Shenai JP, Kennedy KA, Chytil F, Stahlman MT. Clinical trial of vitamin A supplementation in infants susceptible to bronchopulmonary dysplasia. J Pediatr 1987;111(2):269-77</w:t>
      </w:r>
    </w:p>
    <w:p w:rsidR="00110D6B" w:rsidRDefault="00110D6B" w:rsidP="00DC050F">
      <w:pPr>
        <w:jc w:val="both"/>
      </w:pPr>
    </w:p>
    <w:p w:rsidR="00110D6B" w:rsidRDefault="00110D6B" w:rsidP="00DC050F">
      <w:pPr>
        <w:jc w:val="both"/>
      </w:pPr>
      <w:r>
        <w:t xml:space="preserve">Shenai JP. Vitamin A supplementation in very low birth weight neonates: rationale and evidence. Pediatrics 1999;104(6):1369-74. </w:t>
      </w:r>
    </w:p>
    <w:p w:rsidR="00110D6B" w:rsidRDefault="00110D6B" w:rsidP="00DC050F">
      <w:pPr>
        <w:jc w:val="both"/>
      </w:pPr>
    </w:p>
    <w:p w:rsidR="00110D6B" w:rsidRDefault="00110D6B" w:rsidP="00DC050F">
      <w:pPr>
        <w:jc w:val="both"/>
      </w:pPr>
      <w:r>
        <w:t>Tyson JE, Wright LL, Oh W, Kennedy KA, Mele L, Ehrenkranz RA, et al. Vitamin A supplementation for extremely-low-birth-weight infants. N Engl J Med. 1999;340:1962-8.</w:t>
      </w:r>
    </w:p>
    <w:p w:rsidR="00110D6B" w:rsidRDefault="00110D6B" w:rsidP="0002486C">
      <w:pPr>
        <w:jc w:val="both"/>
      </w:pPr>
    </w:p>
    <w:p w:rsidR="00110D6B" w:rsidRPr="00550A7C" w:rsidRDefault="00110D6B" w:rsidP="0002486C">
      <w:pPr>
        <w:jc w:val="both"/>
        <w:rPr>
          <w:lang w:val="pt-BR"/>
        </w:rPr>
      </w:pPr>
      <w:r>
        <w:t xml:space="preserve">Underwood BA. Methods for assessment of vitamin A ststus. </w:t>
      </w:r>
      <w:r w:rsidRPr="00550A7C">
        <w:rPr>
          <w:lang w:val="pt-BR"/>
        </w:rPr>
        <w:t>J Nutr 1990;120:1459-63.</w:t>
      </w:r>
    </w:p>
    <w:p w:rsidR="00110D6B" w:rsidRPr="00550A7C" w:rsidRDefault="00110D6B" w:rsidP="0002486C">
      <w:pPr>
        <w:jc w:val="both"/>
        <w:rPr>
          <w:lang w:val="pt-BR"/>
        </w:rPr>
      </w:pPr>
    </w:p>
    <w:p w:rsidR="00110D6B" w:rsidRDefault="00110D6B" w:rsidP="00DC050F">
      <w:pPr>
        <w:jc w:val="both"/>
      </w:pPr>
      <w:r w:rsidRPr="0014409E">
        <w:rPr>
          <w:lang w:val="pt-BR"/>
        </w:rPr>
        <w:t xml:space="preserve">Weinman ARM, Jorge SM, Martins AR, de Assis MGE, Martinez FE, Camelo JS. </w:t>
      </w:r>
      <w:r>
        <w:t>Assessment of vitamin A nutritional status in newborn preterm infants. Nutrition 2007;23:454-60.</w:t>
      </w:r>
    </w:p>
    <w:p w:rsidR="00110D6B" w:rsidRPr="00550A7C" w:rsidRDefault="00110D6B" w:rsidP="0002486C">
      <w:pPr>
        <w:jc w:val="both"/>
        <w:rPr>
          <w:lang w:val="en-AU"/>
        </w:rPr>
      </w:pPr>
      <w:r>
        <w:t xml:space="preserve">Woodruff CW, Latham CB, Mactier H, Hewett JE. Vitamin A status of preterm infants: correlation between plasma retinol concentration and retinol dose response. </w:t>
      </w:r>
      <w:r w:rsidRPr="00550A7C">
        <w:rPr>
          <w:lang w:val="en-AU"/>
        </w:rPr>
        <w:t>Am J Clin Nutr 1987;46:985-8.</w:t>
      </w:r>
    </w:p>
    <w:p w:rsidR="00110D6B" w:rsidRPr="00550A7C" w:rsidRDefault="00110D6B" w:rsidP="0002486C">
      <w:pPr>
        <w:jc w:val="both"/>
        <w:rPr>
          <w:lang w:val="en-AU"/>
        </w:rPr>
      </w:pPr>
    </w:p>
    <w:p w:rsidR="00110D6B" w:rsidRDefault="00110D6B" w:rsidP="0002486C">
      <w:pPr>
        <w:jc w:val="both"/>
      </w:pPr>
      <w:r>
        <w:t>Zachman RD, Samuels DP, Brand JM, Winston JF, Pi JT. Use of intramuscular relative-dose-response test to predict bronchopulmonary dysplasia in preterm infants. Am J Clin Nutr 1996;63:123-9.</w:t>
      </w: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Default="00110D6B" w:rsidP="0002486C">
      <w:pPr>
        <w:jc w:val="both"/>
      </w:pPr>
    </w:p>
    <w:p w:rsidR="00110D6B" w:rsidRPr="0074386D" w:rsidRDefault="00110D6B" w:rsidP="0002486C">
      <w:pPr>
        <w:jc w:val="both"/>
      </w:pPr>
    </w:p>
    <w:p w:rsidR="00110D6B" w:rsidRPr="0074386D" w:rsidRDefault="00110D6B" w:rsidP="0002486C">
      <w:pPr>
        <w:jc w:val="both"/>
      </w:pPr>
    </w:p>
    <w:p w:rsidR="00110D6B" w:rsidRPr="0074386D" w:rsidRDefault="00110D6B" w:rsidP="0002486C">
      <w:pPr>
        <w:jc w:val="both"/>
      </w:pPr>
    </w:p>
    <w:sectPr w:rsidR="00110D6B" w:rsidRPr="0074386D" w:rsidSect="009E63FC">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1668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A661D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B525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682D0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94857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0C42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5EB6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3260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D6B6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5230DE"/>
    <w:lvl w:ilvl="0">
      <w:start w:val="1"/>
      <w:numFmt w:val="bullet"/>
      <w:lvlText w:val=""/>
      <w:lvlJc w:val="left"/>
      <w:pPr>
        <w:tabs>
          <w:tab w:val="num" w:pos="360"/>
        </w:tabs>
        <w:ind w:left="360" w:hanging="360"/>
      </w:pPr>
      <w:rPr>
        <w:rFonts w:ascii="Symbol" w:hAnsi="Symbol" w:hint="default"/>
      </w:rPr>
    </w:lvl>
  </w:abstractNum>
  <w:abstractNum w:abstractNumId="10">
    <w:nsid w:val="07550ACB"/>
    <w:multiLevelType w:val="hybridMultilevel"/>
    <w:tmpl w:val="A498F874"/>
    <w:lvl w:ilvl="0" w:tplc="0409000F">
      <w:start w:val="1"/>
      <w:numFmt w:val="decimal"/>
      <w:lvlText w:val="%1."/>
      <w:lvlJc w:val="left"/>
      <w:pPr>
        <w:ind w:left="720" w:hanging="360"/>
      </w:pPr>
      <w:rPr>
        <w:rFonts w:cs="Times New Roman"/>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1">
    <w:nsid w:val="0AFE5AB6"/>
    <w:multiLevelType w:val="hybridMultilevel"/>
    <w:tmpl w:val="BB681662"/>
    <w:lvl w:ilvl="0" w:tplc="0409000F">
      <w:start w:val="1"/>
      <w:numFmt w:val="decimal"/>
      <w:lvlText w:val="%1."/>
      <w:lvlJc w:val="left"/>
      <w:pPr>
        <w:ind w:left="360" w:hanging="360"/>
      </w:pPr>
      <w:rPr>
        <w:rFonts w:cs="Times New Roman"/>
      </w:rPr>
    </w:lvl>
    <w:lvl w:ilvl="1" w:tplc="0C09000F">
      <w:start w:val="1"/>
      <w:numFmt w:val="decimal"/>
      <w:lvlText w:val="%2."/>
      <w:lvlJc w:val="left"/>
      <w:pPr>
        <w:tabs>
          <w:tab w:val="num" w:pos="1080"/>
        </w:tabs>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E444474"/>
    <w:multiLevelType w:val="hybridMultilevel"/>
    <w:tmpl w:val="C972B686"/>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nsid w:val="4231206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4A6F4AD3"/>
    <w:multiLevelType w:val="hybridMultilevel"/>
    <w:tmpl w:val="75A6EB2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5">
    <w:nsid w:val="58F44A7D"/>
    <w:multiLevelType w:val="hybridMultilevel"/>
    <w:tmpl w:val="EA00A000"/>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360"/>
        </w:tabs>
        <w:ind w:left="360" w:hanging="360"/>
      </w:pPr>
      <w:rPr>
        <w:rFonts w:ascii="Symbol" w:hAnsi="Symbol" w:hint="default"/>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nsid w:val="5B464D47"/>
    <w:multiLevelType w:val="hybridMultilevel"/>
    <w:tmpl w:val="693E0966"/>
    <w:lvl w:ilvl="0" w:tplc="0C09000F">
      <w:start w:val="1"/>
      <w:numFmt w:val="decimal"/>
      <w:lvlText w:val="%1."/>
      <w:lvlJc w:val="left"/>
      <w:pPr>
        <w:tabs>
          <w:tab w:val="num" w:pos="360"/>
        </w:tabs>
        <w:ind w:left="360" w:hanging="360"/>
      </w:pPr>
      <w:rPr>
        <w:rFonts w:cs="Times New Roman"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7">
    <w:nsid w:val="5CF6027B"/>
    <w:multiLevelType w:val="hybridMultilevel"/>
    <w:tmpl w:val="D376F6DA"/>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8">
    <w:nsid w:val="6784123F"/>
    <w:multiLevelType w:val="hybridMultilevel"/>
    <w:tmpl w:val="5848265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9">
    <w:nsid w:val="6F2E7E5F"/>
    <w:multiLevelType w:val="hybridMultilevel"/>
    <w:tmpl w:val="AEA472F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nsid w:val="6F893973"/>
    <w:multiLevelType w:val="hybridMultilevel"/>
    <w:tmpl w:val="57EC4C64"/>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nsid w:val="706D641D"/>
    <w:multiLevelType w:val="hybridMultilevel"/>
    <w:tmpl w:val="8D5C9B9C"/>
    <w:lvl w:ilvl="0" w:tplc="0C09000F">
      <w:start w:val="1"/>
      <w:numFmt w:val="decimal"/>
      <w:lvlText w:val="%1."/>
      <w:lvlJc w:val="left"/>
      <w:pPr>
        <w:tabs>
          <w:tab w:val="num" w:pos="360"/>
        </w:tabs>
        <w:ind w:left="360" w:hanging="360"/>
      </w:pPr>
      <w:rPr>
        <w:rFonts w:cs="Times New Roman"/>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nsid w:val="7BF004DF"/>
    <w:multiLevelType w:val="hybridMultilevel"/>
    <w:tmpl w:val="FC40BCE0"/>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15"/>
  </w:num>
  <w:num w:numId="2">
    <w:abstractNumId w:val="11"/>
  </w:num>
  <w:num w:numId="3">
    <w:abstractNumId w:val="14"/>
  </w:num>
  <w:num w:numId="4">
    <w:abstractNumId w:val="19"/>
  </w:num>
  <w:num w:numId="5">
    <w:abstractNumId w:val="17"/>
  </w:num>
  <w:num w:numId="6">
    <w:abstractNumId w:val="10"/>
  </w:num>
  <w:num w:numId="7">
    <w:abstractNumId w:val="18"/>
  </w:num>
  <w:num w:numId="8">
    <w:abstractNumId w:val="21"/>
  </w:num>
  <w:num w:numId="9">
    <w:abstractNumId w:val="20"/>
  </w:num>
  <w:num w:numId="10">
    <w:abstractNumId w:val="16"/>
  </w:num>
  <w:num w:numId="11">
    <w:abstractNumId w:val="22"/>
  </w:num>
  <w:num w:numId="12">
    <w:abstractNumId w:val="12"/>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2EF"/>
    <w:rsid w:val="0002486C"/>
    <w:rsid w:val="00044A1A"/>
    <w:rsid w:val="00047692"/>
    <w:rsid w:val="000732EF"/>
    <w:rsid w:val="00085555"/>
    <w:rsid w:val="000D4B95"/>
    <w:rsid w:val="001011CF"/>
    <w:rsid w:val="00110D6B"/>
    <w:rsid w:val="00135065"/>
    <w:rsid w:val="0014409E"/>
    <w:rsid w:val="001B0237"/>
    <w:rsid w:val="002469D6"/>
    <w:rsid w:val="002936C3"/>
    <w:rsid w:val="002A5694"/>
    <w:rsid w:val="002C4754"/>
    <w:rsid w:val="002F401E"/>
    <w:rsid w:val="002F76A6"/>
    <w:rsid w:val="003172FE"/>
    <w:rsid w:val="0032062D"/>
    <w:rsid w:val="003243E5"/>
    <w:rsid w:val="003365C2"/>
    <w:rsid w:val="00342ACD"/>
    <w:rsid w:val="00346181"/>
    <w:rsid w:val="003657CE"/>
    <w:rsid w:val="00382184"/>
    <w:rsid w:val="003C151A"/>
    <w:rsid w:val="003C17A4"/>
    <w:rsid w:val="003E1953"/>
    <w:rsid w:val="003F496E"/>
    <w:rsid w:val="003F719F"/>
    <w:rsid w:val="0041338A"/>
    <w:rsid w:val="00424427"/>
    <w:rsid w:val="00433C5D"/>
    <w:rsid w:val="00452ACB"/>
    <w:rsid w:val="00480DD3"/>
    <w:rsid w:val="004B2135"/>
    <w:rsid w:val="004B6130"/>
    <w:rsid w:val="004D1328"/>
    <w:rsid w:val="004E380F"/>
    <w:rsid w:val="004E64D3"/>
    <w:rsid w:val="00516611"/>
    <w:rsid w:val="00517458"/>
    <w:rsid w:val="005337A8"/>
    <w:rsid w:val="00550A7C"/>
    <w:rsid w:val="00554007"/>
    <w:rsid w:val="005759FD"/>
    <w:rsid w:val="00586D81"/>
    <w:rsid w:val="00590CCA"/>
    <w:rsid w:val="00596DB2"/>
    <w:rsid w:val="005A746A"/>
    <w:rsid w:val="00631272"/>
    <w:rsid w:val="00650001"/>
    <w:rsid w:val="006634DD"/>
    <w:rsid w:val="00665B1C"/>
    <w:rsid w:val="0068407B"/>
    <w:rsid w:val="006A032E"/>
    <w:rsid w:val="006A0F25"/>
    <w:rsid w:val="006D3A2D"/>
    <w:rsid w:val="006E6337"/>
    <w:rsid w:val="007156E0"/>
    <w:rsid w:val="007244F1"/>
    <w:rsid w:val="0074386D"/>
    <w:rsid w:val="0076039B"/>
    <w:rsid w:val="007A6DC5"/>
    <w:rsid w:val="007C4866"/>
    <w:rsid w:val="00806DD6"/>
    <w:rsid w:val="00814C46"/>
    <w:rsid w:val="00856B15"/>
    <w:rsid w:val="00883E3D"/>
    <w:rsid w:val="009139B5"/>
    <w:rsid w:val="00924414"/>
    <w:rsid w:val="00930F00"/>
    <w:rsid w:val="00984C5F"/>
    <w:rsid w:val="0099488B"/>
    <w:rsid w:val="009C65EE"/>
    <w:rsid w:val="009E63FC"/>
    <w:rsid w:val="00A55054"/>
    <w:rsid w:val="00A73010"/>
    <w:rsid w:val="00A758D6"/>
    <w:rsid w:val="00A95DE4"/>
    <w:rsid w:val="00AA074E"/>
    <w:rsid w:val="00AC0BD9"/>
    <w:rsid w:val="00AC0E19"/>
    <w:rsid w:val="00B1251C"/>
    <w:rsid w:val="00B154C2"/>
    <w:rsid w:val="00B15E2F"/>
    <w:rsid w:val="00B76F29"/>
    <w:rsid w:val="00B92653"/>
    <w:rsid w:val="00B946C6"/>
    <w:rsid w:val="00B97F67"/>
    <w:rsid w:val="00BA7763"/>
    <w:rsid w:val="00BE3E95"/>
    <w:rsid w:val="00C04E8C"/>
    <w:rsid w:val="00C43ECE"/>
    <w:rsid w:val="00C56988"/>
    <w:rsid w:val="00C62148"/>
    <w:rsid w:val="00C94A7F"/>
    <w:rsid w:val="00CB2AB4"/>
    <w:rsid w:val="00D02ACA"/>
    <w:rsid w:val="00D11585"/>
    <w:rsid w:val="00D717D8"/>
    <w:rsid w:val="00D92623"/>
    <w:rsid w:val="00DA0E45"/>
    <w:rsid w:val="00DC050F"/>
    <w:rsid w:val="00DF1BCB"/>
    <w:rsid w:val="00DF62D9"/>
    <w:rsid w:val="00E01110"/>
    <w:rsid w:val="00E13AF3"/>
    <w:rsid w:val="00E276AA"/>
    <w:rsid w:val="00E52BC3"/>
    <w:rsid w:val="00E80637"/>
    <w:rsid w:val="00E81F47"/>
    <w:rsid w:val="00EC6C8D"/>
    <w:rsid w:val="00F041BF"/>
    <w:rsid w:val="00F36E2C"/>
    <w:rsid w:val="00FD3F85"/>
    <w:rsid w:val="00FE54C1"/>
    <w:rsid w:val="00FE642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A"/>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7F67"/>
    <w:pPr>
      <w:ind w:left="720"/>
      <w:contextualSpacing/>
    </w:pPr>
    <w:rPr>
      <w:rFonts w:ascii="Times New Roman" w:hAnsi="Times New Roman"/>
      <w:lang w:val="en-AU" w:eastAsia="en-AU"/>
    </w:rPr>
  </w:style>
  <w:style w:type="table" w:styleId="TableGrid">
    <w:name w:val="Table Grid"/>
    <w:basedOn w:val="TableNormal"/>
    <w:uiPriority w:val="99"/>
    <w:locked/>
    <w:rsid w:val="00DA0E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2894</Words>
  <Characters>16499</Characters>
  <Application>Microsoft Office Outlook</Application>
  <DocSecurity>0</DocSecurity>
  <Lines>0</Lines>
  <Paragraphs>0</Paragraphs>
  <ScaleCrop>false</ScaleCrop>
  <Company>PMH and KEMH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Efficacy and feasibility of saliva for assessment of vitamin A status in extremely preterm infants</dc:title>
  <dc:subject/>
  <dc:creator>Abhijeet Rakshasbhuvankar</dc:creator>
  <cp:keywords/>
  <dc:description/>
  <cp:lastModifiedBy>he32069</cp:lastModifiedBy>
  <cp:revision>3</cp:revision>
  <dcterms:created xsi:type="dcterms:W3CDTF">2015-06-08T08:55:00Z</dcterms:created>
  <dcterms:modified xsi:type="dcterms:W3CDTF">2015-06-08T08:57:00Z</dcterms:modified>
</cp:coreProperties>
</file>