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6981"/>
      </w:tblGrid>
      <w:tr w:rsidR="0043038A" w:rsidRPr="0043038A" w:rsidTr="00DD647B"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Title</w:t>
            </w:r>
          </w:p>
        </w:tc>
        <w:tc>
          <w:tcPr>
            <w:tcW w:w="6981" w:type="dxa"/>
            <w:tcBorders>
              <w:top w:val="double" w:sz="4" w:space="0" w:color="auto"/>
              <w:bottom w:val="single" w:sz="4" w:space="0" w:color="auto"/>
            </w:tcBorders>
          </w:tcPr>
          <w:p w:rsidR="00DD647B" w:rsidRPr="0043038A" w:rsidRDefault="0043038A" w:rsidP="00C33ACD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24"/>
              </w:rPr>
              <w:t>J</w:t>
            </w:r>
            <w:r w:rsidR="005417BA" w:rsidRPr="0043038A">
              <w:rPr>
                <w:rFonts w:asciiTheme="minorHAnsi" w:hAnsiTheme="minorHAnsi"/>
                <w:color w:val="auto"/>
                <w:sz w:val="24"/>
              </w:rPr>
              <w:t>ejunal</w:t>
            </w:r>
            <w:proofErr w:type="spellEnd"/>
            <w:r w:rsidR="005417BA" w:rsidRPr="0043038A">
              <w:rPr>
                <w:rFonts w:asciiTheme="minorHAnsi" w:hAnsiTheme="minorHAnsi"/>
                <w:color w:val="auto"/>
                <w:sz w:val="24"/>
              </w:rPr>
              <w:t xml:space="preserve"> verses oral nutrition for one month </w:t>
            </w:r>
            <w:r w:rsidR="00C33ACD">
              <w:rPr>
                <w:rFonts w:asciiTheme="minorHAnsi" w:hAnsiTheme="minorHAnsi"/>
                <w:color w:val="auto"/>
                <w:sz w:val="24"/>
              </w:rPr>
              <w:t>post hospital</w:t>
            </w:r>
            <w:r w:rsidR="005417BA" w:rsidRPr="0043038A">
              <w:rPr>
                <w:rFonts w:asciiTheme="minorHAnsi" w:hAnsiTheme="minorHAnsi"/>
                <w:color w:val="auto"/>
                <w:sz w:val="24"/>
              </w:rPr>
              <w:t xml:space="preserve"> discharge after major upper gastrointestinal surgery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– a multicentre RCT</w:t>
            </w:r>
            <w:r w:rsidR="005417BA" w:rsidRPr="0043038A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</w:p>
        </w:tc>
      </w:tr>
      <w:tr w:rsidR="0043038A" w:rsidRPr="0043038A" w:rsidTr="00DD647B">
        <w:tc>
          <w:tcPr>
            <w:tcW w:w="2261" w:type="dxa"/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name</w:t>
            </w:r>
          </w:p>
        </w:tc>
        <w:tc>
          <w:tcPr>
            <w:tcW w:w="6981" w:type="dxa"/>
          </w:tcPr>
          <w:p w:rsidR="005417BA" w:rsidRPr="0043038A" w:rsidRDefault="00C05D8A" w:rsidP="005417B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Post-discharge JEJ feeding study</w:t>
            </w:r>
          </w:p>
          <w:p w:rsidR="00DD647B" w:rsidRPr="0043038A" w:rsidRDefault="00DD647B" w:rsidP="0053194D">
            <w:pPr>
              <w:pStyle w:val="Reminder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bottom w:val="nil"/>
              <w:right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AIm/</w:t>
            </w:r>
          </w:p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objectives</w:t>
            </w:r>
          </w:p>
        </w:tc>
        <w:tc>
          <w:tcPr>
            <w:tcW w:w="6981" w:type="dxa"/>
            <w:tcBorders>
              <w:left w:val="single" w:sz="4" w:space="0" w:color="auto"/>
              <w:bottom w:val="nil"/>
            </w:tcBorders>
          </w:tcPr>
          <w:p w:rsidR="00DD647B" w:rsidRPr="0043038A" w:rsidRDefault="005417BA" w:rsidP="00227B0B">
            <w:pPr>
              <w:rPr>
                <w:rFonts w:asciiTheme="minorHAnsi" w:hAnsiTheme="minorHAnsi"/>
                <w:sz w:val="24"/>
                <w:lang w:val="en-US"/>
              </w:rPr>
            </w:pPr>
            <w:r w:rsidRPr="0043038A">
              <w:rPr>
                <w:rFonts w:asciiTheme="minorHAnsi" w:hAnsiTheme="minorHAnsi" w:cs="AdvOT46dcae81"/>
                <w:sz w:val="24"/>
                <w:lang w:val="en-AU" w:eastAsia="en-AU"/>
              </w:rPr>
              <w:t xml:space="preserve">The aims of this study would be to assess the impact of providing </w:t>
            </w:r>
            <w:r w:rsidR="00227B0B">
              <w:rPr>
                <w:rFonts w:asciiTheme="minorHAnsi" w:hAnsiTheme="minorHAnsi" w:cs="AdvOT46dcae81"/>
                <w:sz w:val="24"/>
                <w:lang w:val="en-AU" w:eastAsia="en-AU"/>
              </w:rPr>
              <w:t>9</w:t>
            </w:r>
            <w:r w:rsidR="00AD0066">
              <w:rPr>
                <w:rFonts w:asciiTheme="minorHAnsi" w:hAnsiTheme="minorHAnsi" w:cs="AdvOT46dcae81"/>
                <w:sz w:val="24"/>
                <w:lang w:val="en-AU" w:eastAsia="en-AU"/>
              </w:rPr>
              <w:t>00cal</w:t>
            </w:r>
            <w:r w:rsidRPr="0043038A">
              <w:rPr>
                <w:rFonts w:asciiTheme="minorHAnsi" w:hAnsiTheme="minorHAnsi" w:cs="AdvOT46dcae81"/>
                <w:sz w:val="24"/>
                <w:lang w:val="en-AU" w:eastAsia="en-AU"/>
              </w:rPr>
              <w:t xml:space="preserve"> from enteral feeding verses oral supplements within the first month of discharge, for patients following major upper gastrointestinal surgery.</w:t>
            </w:r>
          </w:p>
        </w:tc>
      </w:tr>
      <w:tr w:rsidR="0043038A" w:rsidRPr="0043038A" w:rsidTr="00DD647B"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design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DD647B" w:rsidRPr="0043038A" w:rsidRDefault="005417BA" w:rsidP="00C33ACD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 xml:space="preserve">A </w:t>
            </w:r>
            <w:r w:rsidR="00C33ACD">
              <w:rPr>
                <w:rFonts w:asciiTheme="minorHAnsi" w:hAnsiTheme="minorHAnsi"/>
                <w:sz w:val="24"/>
              </w:rPr>
              <w:t>m</w:t>
            </w:r>
            <w:r w:rsidRPr="0043038A">
              <w:rPr>
                <w:rFonts w:asciiTheme="minorHAnsi" w:hAnsiTheme="minorHAnsi"/>
                <w:sz w:val="24"/>
              </w:rPr>
              <w:t>ulti-centre randomised controlled trial</w:t>
            </w:r>
          </w:p>
        </w:tc>
      </w:tr>
      <w:tr w:rsidR="0043038A" w:rsidRPr="0043038A" w:rsidTr="00DD647B"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subjects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DD647B" w:rsidRPr="0043038A" w:rsidRDefault="005417BA" w:rsidP="005417BA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</w:rPr>
              <w:t xml:space="preserve">Patients having curative </w:t>
            </w:r>
            <w:proofErr w:type="spellStart"/>
            <w:r w:rsidRPr="0043038A">
              <w:rPr>
                <w:rFonts w:asciiTheme="minorHAnsi" w:hAnsiTheme="minorHAnsi"/>
                <w:color w:val="auto"/>
                <w:sz w:val="24"/>
              </w:rPr>
              <w:t>oesophagectomy</w:t>
            </w:r>
            <w:proofErr w:type="spellEnd"/>
            <w:r w:rsidRPr="0043038A">
              <w:rPr>
                <w:rFonts w:asciiTheme="minorHAnsi" w:hAnsiTheme="minorHAnsi"/>
                <w:color w:val="auto"/>
                <w:sz w:val="24"/>
              </w:rPr>
              <w:t xml:space="preserve"> or total </w:t>
            </w:r>
            <w:proofErr w:type="spellStart"/>
            <w:r w:rsidRPr="0043038A">
              <w:rPr>
                <w:rFonts w:asciiTheme="minorHAnsi" w:hAnsiTheme="minorHAnsi"/>
                <w:color w:val="auto"/>
                <w:sz w:val="24"/>
              </w:rPr>
              <w:t>gastrectomy</w:t>
            </w:r>
            <w:proofErr w:type="spellEnd"/>
            <w:r w:rsidRPr="0043038A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</w:p>
        </w:tc>
      </w:tr>
      <w:tr w:rsidR="0043038A" w:rsidRPr="0043038A" w:rsidTr="00DD647B"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Inclusion criteria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DD647B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Patients having had curative </w:t>
            </w:r>
            <w:proofErr w:type="spellStart"/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oesophagectomy</w:t>
            </w:r>
            <w:proofErr w:type="spellEnd"/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or total </w:t>
            </w:r>
            <w:proofErr w:type="spellStart"/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gastrectomy</w:t>
            </w:r>
            <w:proofErr w:type="spellEnd"/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  <w:p w:rsidR="002955C7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Patients being discharged to home</w:t>
            </w:r>
          </w:p>
          <w:p w:rsidR="002955C7" w:rsidRDefault="002955C7" w:rsidP="002955C7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Ability to provide written consent</w:t>
            </w:r>
          </w:p>
          <w:p w:rsidR="00C33ACD" w:rsidRPr="0043038A" w:rsidRDefault="00C33ACD" w:rsidP="002955C7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Sites that routinely place 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  <w:szCs w:val="24"/>
              </w:rPr>
              <w:t>jejunal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feeding tubes for post-op feeding in this patient group</w:t>
            </w:r>
          </w:p>
        </w:tc>
      </w:tr>
      <w:tr w:rsidR="0043038A" w:rsidRPr="0043038A" w:rsidTr="00DD647B"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Exclusion criteria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2955C7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Patients having non-curative surgery.</w:t>
            </w:r>
          </w:p>
          <w:p w:rsidR="002955C7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Patients discharged to another facility other than home</w:t>
            </w:r>
          </w:p>
          <w:p w:rsidR="002955C7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Patients with complications requiring enteral feeding at home, unable to be randomised. </w:t>
            </w:r>
          </w:p>
          <w:p w:rsidR="002955C7" w:rsidRPr="0043038A" w:rsidRDefault="002955C7" w:rsidP="0053194D">
            <w:pPr>
              <w:pStyle w:val="ListBulle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Patients with limited English or mental capacity to provide consent</w:t>
            </w:r>
          </w:p>
          <w:p w:rsidR="00DD647B" w:rsidRPr="0043038A" w:rsidRDefault="00DD647B" w:rsidP="002955C7">
            <w:pPr>
              <w:pStyle w:val="ListBullet"/>
              <w:numPr>
                <w:ilvl w:val="0"/>
                <w:numId w:val="0"/>
              </w:numPr>
              <w:ind w:left="357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bottom w:val="nil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outcome parameters</w:t>
            </w:r>
          </w:p>
        </w:tc>
        <w:tc>
          <w:tcPr>
            <w:tcW w:w="6981" w:type="dxa"/>
            <w:tcBorders>
              <w:bottom w:val="nil"/>
            </w:tcBorders>
          </w:tcPr>
          <w:p w:rsidR="00DD647B" w:rsidRPr="0043038A" w:rsidRDefault="00DD647B" w:rsidP="0053194D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top w:val="nil"/>
              <w:bottom w:val="nil"/>
            </w:tcBorders>
            <w:shd w:val="pct15" w:color="auto" w:fill="auto"/>
          </w:tcPr>
          <w:p w:rsidR="00DD647B" w:rsidRPr="0043038A" w:rsidRDefault="00DD647B" w:rsidP="0053194D">
            <w:pPr>
              <w:pStyle w:val="Pagen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>Primary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2955C7" w:rsidRPr="0043038A" w:rsidRDefault="00BE4831" w:rsidP="0053194D">
            <w:pPr>
              <w:rPr>
                <w:rFonts w:asciiTheme="minorHAnsi" w:hAnsiTheme="minorHAnsi" w:cs="Arial"/>
                <w:sz w:val="24"/>
              </w:rPr>
            </w:pPr>
            <w:r w:rsidRPr="0043038A">
              <w:rPr>
                <w:rFonts w:asciiTheme="minorHAnsi" w:hAnsiTheme="minorHAnsi" w:cs="Arial"/>
                <w:sz w:val="24"/>
              </w:rPr>
              <w:t>Weight Change</w:t>
            </w:r>
          </w:p>
          <w:p w:rsidR="00C1568C" w:rsidRPr="0043038A" w:rsidRDefault="00C1568C" w:rsidP="0053194D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top w:val="nil"/>
              <w:bottom w:val="nil"/>
            </w:tcBorders>
            <w:shd w:val="pct15" w:color="auto" w:fill="auto"/>
          </w:tcPr>
          <w:p w:rsidR="00DD647B" w:rsidRPr="0043038A" w:rsidRDefault="00DD647B" w:rsidP="0053194D">
            <w:pPr>
              <w:pStyle w:val="Pagen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3038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Secondary 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BE4831" w:rsidRPr="0043038A" w:rsidRDefault="00BE4831" w:rsidP="00BE4831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 xml:space="preserve">PG-SGA, EORTC-QOL, Grip Strength/TSF, </w:t>
            </w:r>
            <w:r w:rsidR="00590A46">
              <w:rPr>
                <w:rFonts w:asciiTheme="minorHAnsi" w:hAnsiTheme="minorHAnsi"/>
                <w:sz w:val="24"/>
              </w:rPr>
              <w:t>Total Calorie and Protein intake</w:t>
            </w:r>
          </w:p>
          <w:p w:rsidR="00C1568C" w:rsidRPr="0043038A" w:rsidRDefault="00C1568C" w:rsidP="0053194D">
            <w:pPr>
              <w:pStyle w:val="Definitions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jc w:val="right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Exploratory</w:t>
            </w:r>
          </w:p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i/>
                <w:iCs w:val="0"/>
                <w:sz w:val="24"/>
              </w:rPr>
            </w:pPr>
          </w:p>
        </w:tc>
        <w:tc>
          <w:tcPr>
            <w:tcW w:w="6981" w:type="dxa"/>
            <w:tcBorders>
              <w:top w:val="nil"/>
              <w:bottom w:val="single" w:sz="4" w:space="0" w:color="auto"/>
            </w:tcBorders>
          </w:tcPr>
          <w:p w:rsidR="00DD647B" w:rsidRPr="0043038A" w:rsidRDefault="00BE4831" w:rsidP="0053194D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Compliance, Complications, Gastro symptoms, readmissions</w:t>
            </w:r>
          </w:p>
        </w:tc>
      </w:tr>
      <w:tr w:rsidR="0043038A" w:rsidRPr="0043038A" w:rsidTr="00DD647B">
        <w:tc>
          <w:tcPr>
            <w:tcW w:w="2261" w:type="dxa"/>
            <w:tcBorders>
              <w:top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safety AND TOLERANCE parameters</w:t>
            </w:r>
            <w:r w:rsidRPr="0043038A" w:rsidDel="008C2FDD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auto"/>
            </w:tcBorders>
          </w:tcPr>
          <w:p w:rsidR="00DD647B" w:rsidRPr="0043038A" w:rsidRDefault="00BE4831" w:rsidP="0053194D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 w:cs="Arial"/>
                <w:sz w:val="24"/>
              </w:rPr>
              <w:t xml:space="preserve">Complications </w:t>
            </w:r>
            <w:r w:rsidR="00561017">
              <w:rPr>
                <w:rFonts w:asciiTheme="minorHAnsi" w:hAnsiTheme="minorHAnsi" w:cs="Arial"/>
                <w:sz w:val="24"/>
              </w:rPr>
              <w:t xml:space="preserve">(measured by a standardised checklist) </w:t>
            </w:r>
            <w:r w:rsidRPr="0043038A">
              <w:rPr>
                <w:rFonts w:asciiTheme="minorHAnsi" w:hAnsiTheme="minorHAnsi" w:cs="Arial"/>
                <w:sz w:val="24"/>
              </w:rPr>
              <w:t>and Gastro Symptom measures</w:t>
            </w:r>
            <w:r w:rsidR="00561017">
              <w:rPr>
                <w:rFonts w:asciiTheme="minorHAnsi" w:hAnsiTheme="minorHAnsi" w:cs="Arial"/>
                <w:sz w:val="24"/>
              </w:rPr>
              <w:t xml:space="preserve"> (</w:t>
            </w:r>
            <w:r w:rsidR="00590A46">
              <w:rPr>
                <w:rFonts w:asciiTheme="minorHAnsi" w:hAnsiTheme="minorHAnsi" w:cs="Arial"/>
                <w:sz w:val="24"/>
              </w:rPr>
              <w:t>recorded at review and also as a part of the Quality of Life Questionnaire</w:t>
            </w:r>
            <w:r w:rsidR="00561017">
              <w:rPr>
                <w:rFonts w:asciiTheme="minorHAnsi" w:hAnsiTheme="minorHAnsi" w:cs="Arial"/>
                <w:sz w:val="24"/>
              </w:rPr>
              <w:t>)</w:t>
            </w:r>
          </w:p>
          <w:p w:rsidR="00DD647B" w:rsidRPr="0043038A" w:rsidRDefault="00DD647B" w:rsidP="0053194D">
            <w:pPr>
              <w:rPr>
                <w:rFonts w:asciiTheme="minorHAnsi" w:hAnsiTheme="minorHAnsi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tcBorders>
              <w:top w:val="single" w:sz="4" w:space="0" w:color="auto"/>
            </w:tcBorders>
            <w:shd w:val="pct15" w:color="auto" w:fill="auto"/>
          </w:tcPr>
          <w:p w:rsidR="00DD647B" w:rsidRPr="0043038A" w:rsidDel="008C2FDD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OTHER PARAMETERS</w:t>
            </w:r>
          </w:p>
        </w:tc>
        <w:tc>
          <w:tcPr>
            <w:tcW w:w="6981" w:type="dxa"/>
            <w:tcBorders>
              <w:top w:val="single" w:sz="4" w:space="0" w:color="auto"/>
            </w:tcBorders>
          </w:tcPr>
          <w:p w:rsidR="00DD647B" w:rsidRPr="0043038A" w:rsidRDefault="00BE4831" w:rsidP="0053194D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 w:cs="Arial"/>
                <w:sz w:val="24"/>
              </w:rPr>
              <w:t>Compliance</w:t>
            </w:r>
            <w:r w:rsidR="00C33ACD">
              <w:rPr>
                <w:rFonts w:asciiTheme="minorHAnsi" w:hAnsiTheme="minorHAnsi" w:cs="Arial"/>
                <w:sz w:val="24"/>
              </w:rPr>
              <w:t xml:space="preserve"> (based on recording number of bottles used/unused)</w:t>
            </w:r>
          </w:p>
          <w:p w:rsidR="00DD647B" w:rsidRPr="0043038A" w:rsidRDefault="00DD647B" w:rsidP="0053194D">
            <w:pPr>
              <w:rPr>
                <w:rFonts w:asciiTheme="minorHAnsi" w:hAnsiTheme="minorHAnsi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groups</w:t>
            </w:r>
          </w:p>
          <w:p w:rsidR="00DD647B" w:rsidRPr="0043038A" w:rsidRDefault="00DD647B" w:rsidP="0053194D">
            <w:pPr>
              <w:pStyle w:val="Pagenr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6981" w:type="dxa"/>
          </w:tcPr>
          <w:p w:rsidR="00DD647B" w:rsidRDefault="00C33ACD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All patients will have </w:t>
            </w:r>
            <w:proofErr w:type="spellStart"/>
            <w:r>
              <w:rPr>
                <w:rFonts w:asciiTheme="minorHAnsi" w:hAnsiTheme="minorHAnsi" w:cs="Arial"/>
                <w:sz w:val="24"/>
              </w:rPr>
              <w:t>jejunal</w:t>
            </w:r>
            <w:proofErr w:type="spellEnd"/>
            <w:r>
              <w:rPr>
                <w:rFonts w:asciiTheme="minorHAnsi" w:hAnsiTheme="minorHAnsi" w:cs="Arial"/>
                <w:sz w:val="24"/>
              </w:rPr>
              <w:t xml:space="preserve"> feeding post-operatively in hospital. Prior to discharge patients will be randomised into a control or intervention group. </w:t>
            </w:r>
            <w:r w:rsidR="00623246">
              <w:rPr>
                <w:rFonts w:asciiTheme="minorHAnsi" w:hAnsiTheme="minorHAnsi" w:cs="Arial"/>
                <w:sz w:val="24"/>
              </w:rPr>
              <w:t>All patients will have baseline data collected at time of discharge from hospital.</w:t>
            </w:r>
          </w:p>
          <w:p w:rsidR="00C33ACD" w:rsidRDefault="00C33ACD" w:rsidP="0053194D">
            <w:pPr>
              <w:rPr>
                <w:rFonts w:asciiTheme="minorHAnsi" w:hAnsiTheme="minorHAnsi" w:cs="Arial"/>
                <w:sz w:val="24"/>
              </w:rPr>
            </w:pPr>
          </w:p>
          <w:p w:rsidR="00623246" w:rsidRDefault="00623246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All patients will be provided with standardised education on a high </w:t>
            </w:r>
            <w:r>
              <w:rPr>
                <w:rFonts w:asciiTheme="minorHAnsi" w:hAnsiTheme="minorHAnsi" w:cs="Arial"/>
                <w:sz w:val="24"/>
              </w:rPr>
              <w:lastRenderedPageBreak/>
              <w:t xml:space="preserve">energy, high protein diet and small frequent eating. </w:t>
            </w:r>
          </w:p>
          <w:p w:rsidR="00623246" w:rsidRDefault="00623246" w:rsidP="0053194D">
            <w:pPr>
              <w:rPr>
                <w:rFonts w:asciiTheme="minorHAnsi" w:hAnsiTheme="minorHAnsi" w:cs="Arial"/>
                <w:sz w:val="24"/>
              </w:rPr>
            </w:pPr>
          </w:p>
          <w:p w:rsidR="00C33ACD" w:rsidRDefault="00C33ACD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The control group</w:t>
            </w:r>
            <w:r w:rsidR="002B7C49">
              <w:rPr>
                <w:rFonts w:asciiTheme="minorHAnsi" w:hAnsiTheme="minorHAnsi" w:cs="Arial"/>
                <w:sz w:val="24"/>
              </w:rPr>
              <w:t xml:space="preserve"> (n=25</w:t>
            </w:r>
            <w:r w:rsidR="00AD0066">
              <w:rPr>
                <w:rFonts w:asciiTheme="minorHAnsi" w:hAnsiTheme="minorHAnsi" w:cs="Arial"/>
                <w:sz w:val="24"/>
              </w:rPr>
              <w:t>-30</w:t>
            </w:r>
            <w:r w:rsidR="002B7C49">
              <w:rPr>
                <w:rFonts w:asciiTheme="minorHAnsi" w:hAnsiTheme="minorHAnsi" w:cs="Arial"/>
                <w:sz w:val="24"/>
              </w:rPr>
              <w:t>)</w:t>
            </w:r>
            <w:r>
              <w:rPr>
                <w:rFonts w:asciiTheme="minorHAnsi" w:hAnsiTheme="minorHAnsi" w:cs="Arial"/>
                <w:sz w:val="24"/>
              </w:rPr>
              <w:t xml:space="preserve"> will </w:t>
            </w:r>
            <w:r w:rsidR="00623246">
              <w:rPr>
                <w:rFonts w:asciiTheme="minorHAnsi" w:hAnsiTheme="minorHAnsi" w:cs="Arial"/>
                <w:sz w:val="24"/>
              </w:rPr>
              <w:t xml:space="preserve">also be asked to consume </w:t>
            </w:r>
            <w:r w:rsidR="00623246" w:rsidRPr="00C33ACD">
              <w:rPr>
                <w:rFonts w:asciiTheme="minorHAnsi" w:hAnsiTheme="minorHAnsi"/>
                <w:sz w:val="24"/>
              </w:rPr>
              <w:t xml:space="preserve">3 </w:t>
            </w:r>
            <w:r w:rsidR="00623246" w:rsidRPr="00C33ACD">
              <w:rPr>
                <w:rFonts w:ascii="Calibri" w:hAnsi="Calibri"/>
                <w:sz w:val="24"/>
              </w:rPr>
              <w:t>×</w:t>
            </w:r>
            <w:r w:rsidR="00623246" w:rsidRPr="00C33ACD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="00623246" w:rsidRPr="00C33ACD">
              <w:rPr>
                <w:rFonts w:asciiTheme="minorHAnsi" w:hAnsiTheme="minorHAnsi"/>
                <w:sz w:val="24"/>
              </w:rPr>
              <w:t>Fortisip</w:t>
            </w:r>
            <w:proofErr w:type="spellEnd"/>
            <w:r w:rsidR="00623246" w:rsidRPr="00C33ACD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="00623246" w:rsidRPr="00C33ACD">
              <w:rPr>
                <w:rFonts w:asciiTheme="minorHAnsi" w:hAnsiTheme="minorHAnsi"/>
                <w:sz w:val="24"/>
              </w:rPr>
              <w:t>multifibre</w:t>
            </w:r>
            <w:proofErr w:type="spellEnd"/>
            <w:r w:rsidR="00623246" w:rsidRPr="00C33ACD">
              <w:rPr>
                <w:rFonts w:asciiTheme="minorHAnsi" w:hAnsiTheme="minorHAnsi"/>
                <w:sz w:val="24"/>
              </w:rPr>
              <w:t xml:space="preserve"> per day for 30 days post-discharge from hospital</w:t>
            </w:r>
            <w:r w:rsidR="00623246">
              <w:rPr>
                <w:rFonts w:asciiTheme="minorHAnsi" w:hAnsiTheme="minorHAnsi"/>
                <w:sz w:val="24"/>
              </w:rPr>
              <w:t xml:space="preserve">. </w:t>
            </w:r>
          </w:p>
          <w:p w:rsidR="00623246" w:rsidRDefault="00623246" w:rsidP="0053194D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D647B" w:rsidRPr="0043038A" w:rsidRDefault="00623246" w:rsidP="0053194D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Patients recruited to the intervention group </w:t>
            </w:r>
            <w:r w:rsidR="002B7C49">
              <w:rPr>
                <w:rFonts w:asciiTheme="minorHAnsi" w:hAnsiTheme="minorHAnsi"/>
                <w:color w:val="auto"/>
                <w:sz w:val="24"/>
              </w:rPr>
              <w:t>(n=25</w:t>
            </w:r>
            <w:r w:rsidR="00AD0066">
              <w:rPr>
                <w:rFonts w:asciiTheme="minorHAnsi" w:hAnsiTheme="minorHAnsi"/>
                <w:color w:val="auto"/>
                <w:sz w:val="24"/>
              </w:rPr>
              <w:t>-30</w:t>
            </w:r>
            <w:r w:rsidR="002B7C49">
              <w:rPr>
                <w:rFonts w:asciiTheme="minorHAnsi" w:hAnsiTheme="minorHAnsi"/>
                <w:color w:val="auto"/>
                <w:sz w:val="24"/>
              </w:rPr>
              <w:t xml:space="preserve">) 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will be provided with an infinity enteral feeding pump, and education on enteral feeding and caring for a 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</w:rPr>
              <w:t>jejunal</w:t>
            </w:r>
            <w:proofErr w:type="spellEnd"/>
            <w:r>
              <w:rPr>
                <w:rFonts w:asciiTheme="minorHAnsi" w:hAnsiTheme="minorHAnsi"/>
                <w:color w:val="auto"/>
                <w:sz w:val="24"/>
              </w:rPr>
              <w:t xml:space="preserve"> feeding tube. They will be asked to run 60ml/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</w:rPr>
              <w:t>hr</w:t>
            </w:r>
            <w:proofErr w:type="spellEnd"/>
            <w:r>
              <w:rPr>
                <w:rFonts w:asciiTheme="minorHAnsi" w:hAnsiTheme="minorHAnsi"/>
                <w:color w:val="auto"/>
                <w:sz w:val="24"/>
              </w:rPr>
              <w:t xml:space="preserve"> of </w:t>
            </w:r>
            <w:proofErr w:type="spellStart"/>
            <w:proofErr w:type="gramStart"/>
            <w:r w:rsidRPr="00C33ACD">
              <w:rPr>
                <w:rFonts w:ascii="Calibri" w:hAnsi="Calibri"/>
                <w:color w:val="auto"/>
                <w:sz w:val="24"/>
              </w:rPr>
              <w:t>Nutrison</w:t>
            </w:r>
            <w:proofErr w:type="spellEnd"/>
            <w:r w:rsidRPr="00C33ACD">
              <w:rPr>
                <w:rFonts w:ascii="Calibri" w:hAnsi="Calibri"/>
                <w:color w:val="auto"/>
                <w:sz w:val="24"/>
              </w:rPr>
              <w:t xml:space="preserve">  Energy</w:t>
            </w:r>
            <w:proofErr w:type="gramEnd"/>
            <w:r w:rsidRPr="00C33ACD">
              <w:rPr>
                <w:rFonts w:ascii="Calibri" w:hAnsi="Calibri"/>
                <w:color w:val="auto"/>
                <w:sz w:val="24"/>
              </w:rPr>
              <w:t xml:space="preserve"> </w:t>
            </w:r>
            <w:proofErr w:type="spellStart"/>
            <w:r w:rsidRPr="00C33ACD">
              <w:rPr>
                <w:rFonts w:ascii="Calibri" w:hAnsi="Calibri"/>
                <w:color w:val="auto"/>
                <w:sz w:val="24"/>
              </w:rPr>
              <w:t>Multifibre</w:t>
            </w:r>
            <w:proofErr w:type="spellEnd"/>
            <w:r>
              <w:rPr>
                <w:rFonts w:ascii="Calibri" w:hAnsi="Calibri"/>
                <w:color w:val="auto"/>
                <w:sz w:val="24"/>
              </w:rPr>
              <w:t xml:space="preserve"> overnight via continuous enteral feeding through a </w:t>
            </w:r>
            <w:proofErr w:type="spellStart"/>
            <w:r>
              <w:rPr>
                <w:rFonts w:ascii="Calibri" w:hAnsi="Calibri"/>
                <w:color w:val="auto"/>
                <w:sz w:val="24"/>
              </w:rPr>
              <w:t>jejunal</w:t>
            </w:r>
            <w:proofErr w:type="spellEnd"/>
            <w:r>
              <w:rPr>
                <w:rFonts w:ascii="Calibri" w:hAnsi="Calibri"/>
                <w:color w:val="auto"/>
                <w:sz w:val="24"/>
              </w:rPr>
              <w:t xml:space="preserve"> feeding tube. Total amount of time on enteral feeds will be 10 hours. 50ml water </w:t>
            </w:r>
            <w:proofErr w:type="gramStart"/>
            <w:r>
              <w:rPr>
                <w:rFonts w:ascii="Calibri" w:hAnsi="Calibri"/>
                <w:color w:val="auto"/>
                <w:sz w:val="24"/>
              </w:rPr>
              <w:t>flush</w:t>
            </w:r>
            <w:proofErr w:type="gramEnd"/>
            <w:r>
              <w:rPr>
                <w:rFonts w:ascii="Calibri" w:hAnsi="Calibri"/>
                <w:color w:val="auto"/>
                <w:sz w:val="24"/>
              </w:rPr>
              <w:t xml:space="preserve"> before and after feeds. </w:t>
            </w:r>
          </w:p>
          <w:p w:rsidR="00DD647B" w:rsidRDefault="00DD647B" w:rsidP="0053194D">
            <w:pPr>
              <w:rPr>
                <w:rFonts w:asciiTheme="minorHAnsi" w:hAnsiTheme="minorHAnsi" w:cs="Arial"/>
                <w:sz w:val="24"/>
              </w:rPr>
            </w:pPr>
          </w:p>
          <w:p w:rsidR="00623246" w:rsidRDefault="00623246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All patients will have weekly phone review for the first month using a standardised checklist, and a face-to-face review at one month. One month data will be collected at this review appointment</w:t>
            </w:r>
            <w:r w:rsidR="00590A46">
              <w:rPr>
                <w:rFonts w:asciiTheme="minorHAnsi" w:hAnsiTheme="minorHAnsi" w:cs="Arial"/>
                <w:sz w:val="24"/>
              </w:rPr>
              <w:t xml:space="preserve"> (either by phone or face-to-face)</w:t>
            </w:r>
            <w:r>
              <w:rPr>
                <w:rFonts w:asciiTheme="minorHAnsi" w:hAnsiTheme="minorHAnsi" w:cs="Arial"/>
                <w:sz w:val="24"/>
              </w:rPr>
              <w:t xml:space="preserve">. </w:t>
            </w:r>
          </w:p>
          <w:p w:rsidR="00623246" w:rsidRDefault="00623246" w:rsidP="0053194D">
            <w:pPr>
              <w:rPr>
                <w:rFonts w:asciiTheme="minorHAnsi" w:hAnsiTheme="minorHAnsi" w:cs="Arial"/>
                <w:sz w:val="24"/>
              </w:rPr>
            </w:pPr>
          </w:p>
          <w:p w:rsidR="002B7C49" w:rsidRDefault="00623246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Both oral and enteral provision of nutrition support will be ceased </w:t>
            </w:r>
            <w:r w:rsidR="002B7C49">
              <w:rPr>
                <w:rFonts w:asciiTheme="minorHAnsi" w:hAnsiTheme="minorHAnsi" w:cs="Arial"/>
                <w:sz w:val="24"/>
              </w:rPr>
              <w:t xml:space="preserve">at one month, and the high energy, high protein diet and small frequent eating education will be reiterated. Oral nutrition support will be provided to patients as </w:t>
            </w:r>
            <w:proofErr w:type="gramStart"/>
            <w:r w:rsidR="002B7C49">
              <w:rPr>
                <w:rFonts w:asciiTheme="minorHAnsi" w:hAnsiTheme="minorHAnsi" w:cs="Arial"/>
                <w:sz w:val="24"/>
              </w:rPr>
              <w:t>required,</w:t>
            </w:r>
            <w:proofErr w:type="gramEnd"/>
            <w:r w:rsidR="002B7C49">
              <w:rPr>
                <w:rFonts w:asciiTheme="minorHAnsi" w:hAnsiTheme="minorHAnsi" w:cs="Arial"/>
                <w:sz w:val="24"/>
              </w:rPr>
              <w:t xml:space="preserve"> and enteral nutrition will only continue if deemed necessary. </w:t>
            </w:r>
          </w:p>
          <w:p w:rsidR="00590A46" w:rsidRDefault="00590A46" w:rsidP="0053194D">
            <w:pPr>
              <w:rPr>
                <w:rFonts w:asciiTheme="minorHAnsi" w:hAnsiTheme="minorHAnsi" w:cs="Arial"/>
                <w:sz w:val="24"/>
              </w:rPr>
            </w:pPr>
          </w:p>
          <w:p w:rsidR="002B7C49" w:rsidRDefault="002B7C49" w:rsidP="0053194D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 3 month face-to-face </w:t>
            </w:r>
            <w:r w:rsidR="00590A46">
              <w:rPr>
                <w:rFonts w:asciiTheme="minorHAnsi" w:hAnsiTheme="minorHAnsi" w:cs="Arial"/>
                <w:sz w:val="24"/>
              </w:rPr>
              <w:t xml:space="preserve">or phone </w:t>
            </w:r>
            <w:r>
              <w:rPr>
                <w:rFonts w:asciiTheme="minorHAnsi" w:hAnsiTheme="minorHAnsi" w:cs="Arial"/>
                <w:sz w:val="24"/>
              </w:rPr>
              <w:t xml:space="preserve">review will be arranged, and 3 month data collection will take place at this time. Further follow-up will be arranged depending on need. </w:t>
            </w:r>
          </w:p>
          <w:p w:rsidR="00623246" w:rsidRPr="0043038A" w:rsidRDefault="00623246" w:rsidP="0053194D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3038A" w:rsidRPr="0043038A" w:rsidTr="00DD647B">
        <w:tc>
          <w:tcPr>
            <w:tcW w:w="2261" w:type="dxa"/>
            <w:shd w:val="pct15" w:color="auto" w:fill="auto"/>
          </w:tcPr>
          <w:p w:rsidR="00DD647B" w:rsidRPr="00C33ACD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C33ACD">
              <w:rPr>
                <w:rFonts w:asciiTheme="minorHAnsi" w:hAnsiTheme="minorHAnsi"/>
                <w:sz w:val="24"/>
              </w:rPr>
              <w:lastRenderedPageBreak/>
              <w:t>study product regimen</w:t>
            </w:r>
          </w:p>
        </w:tc>
        <w:tc>
          <w:tcPr>
            <w:tcW w:w="6981" w:type="dxa"/>
          </w:tcPr>
          <w:p w:rsidR="00C33ACD" w:rsidRPr="00C33ACD" w:rsidRDefault="00C33ACD" w:rsidP="00C33ACD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 w:rsidRPr="00C33ACD">
              <w:rPr>
                <w:rFonts w:asciiTheme="minorHAnsi" w:hAnsiTheme="minorHAnsi"/>
                <w:b/>
                <w:color w:val="auto"/>
                <w:sz w:val="24"/>
              </w:rPr>
              <w:t xml:space="preserve">Control group: </w:t>
            </w:r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patients will receive 3 </w:t>
            </w:r>
            <w:r w:rsidRPr="00C33ACD">
              <w:rPr>
                <w:rFonts w:ascii="Calibri" w:hAnsi="Calibri"/>
                <w:color w:val="auto"/>
                <w:sz w:val="24"/>
              </w:rPr>
              <w:t>×</w:t>
            </w:r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proofErr w:type="spellStart"/>
            <w:r w:rsidRPr="00C33ACD">
              <w:rPr>
                <w:rFonts w:asciiTheme="minorHAnsi" w:hAnsiTheme="minorHAnsi"/>
                <w:color w:val="auto"/>
                <w:sz w:val="24"/>
              </w:rPr>
              <w:t>Fortisip</w:t>
            </w:r>
            <w:proofErr w:type="spellEnd"/>
            <w:r w:rsidR="00590A46">
              <w:rPr>
                <w:rFonts w:asciiTheme="minorHAnsi" w:hAnsiTheme="minorHAnsi"/>
                <w:color w:val="auto"/>
                <w:sz w:val="24"/>
              </w:rPr>
              <w:t xml:space="preserve"> +/-</w:t>
            </w:r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proofErr w:type="spellStart"/>
            <w:r w:rsidRPr="00C33ACD">
              <w:rPr>
                <w:rFonts w:asciiTheme="minorHAnsi" w:hAnsiTheme="minorHAnsi"/>
                <w:color w:val="auto"/>
                <w:sz w:val="24"/>
              </w:rPr>
              <w:t>multifibre</w:t>
            </w:r>
            <w:proofErr w:type="spellEnd"/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 per day for 30 days post-discharge from hospital</w:t>
            </w:r>
          </w:p>
          <w:p w:rsidR="002B7C49" w:rsidRDefault="002B7C49" w:rsidP="00C33ACD">
            <w:pPr>
              <w:pStyle w:val="Reminder"/>
              <w:ind w:left="0"/>
              <w:rPr>
                <w:rFonts w:asciiTheme="minorHAnsi" w:hAnsiTheme="minorHAnsi"/>
                <w:b/>
                <w:color w:val="auto"/>
                <w:sz w:val="24"/>
              </w:rPr>
            </w:pPr>
          </w:p>
          <w:p w:rsidR="00C33ACD" w:rsidRPr="00C33ACD" w:rsidRDefault="00C33ACD" w:rsidP="00AD0066">
            <w:pPr>
              <w:pStyle w:val="Reminder"/>
              <w:ind w:left="0"/>
              <w:rPr>
                <w:rFonts w:ascii="Calibri" w:hAnsi="Calibri"/>
                <w:color w:val="auto"/>
                <w:sz w:val="24"/>
              </w:rPr>
            </w:pPr>
            <w:r w:rsidRPr="002B7C49">
              <w:rPr>
                <w:rFonts w:asciiTheme="minorHAnsi" w:hAnsiTheme="minorHAnsi"/>
                <w:b/>
                <w:color w:val="auto"/>
                <w:sz w:val="24"/>
              </w:rPr>
              <w:t>Intervention group:</w:t>
            </w:r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 patients will receive 6</w:t>
            </w:r>
            <w:r w:rsidR="00AD0066">
              <w:rPr>
                <w:rFonts w:asciiTheme="minorHAnsi" w:hAnsiTheme="minorHAnsi"/>
                <w:color w:val="auto"/>
                <w:sz w:val="24"/>
              </w:rPr>
              <w:t>00</w:t>
            </w:r>
            <w:r w:rsidRPr="00C33ACD">
              <w:rPr>
                <w:rFonts w:asciiTheme="minorHAnsi" w:hAnsiTheme="minorHAnsi"/>
                <w:color w:val="auto"/>
                <w:sz w:val="24"/>
              </w:rPr>
              <w:t xml:space="preserve">ml </w:t>
            </w:r>
            <w:proofErr w:type="spellStart"/>
            <w:proofErr w:type="gramStart"/>
            <w:r w:rsidRPr="00C33ACD">
              <w:rPr>
                <w:rFonts w:ascii="Calibri" w:hAnsi="Calibri"/>
                <w:color w:val="auto"/>
                <w:sz w:val="24"/>
              </w:rPr>
              <w:t>Nutrison</w:t>
            </w:r>
            <w:proofErr w:type="spellEnd"/>
            <w:r w:rsidRPr="00C33ACD">
              <w:rPr>
                <w:rFonts w:ascii="Calibri" w:hAnsi="Calibri"/>
                <w:color w:val="auto"/>
                <w:sz w:val="24"/>
              </w:rPr>
              <w:t xml:space="preserve">  Energy</w:t>
            </w:r>
            <w:proofErr w:type="gramEnd"/>
            <w:r w:rsidRPr="00C33ACD">
              <w:rPr>
                <w:rFonts w:ascii="Calibri" w:hAnsi="Calibri"/>
                <w:color w:val="auto"/>
                <w:sz w:val="24"/>
              </w:rPr>
              <w:t xml:space="preserve"> </w:t>
            </w:r>
            <w:r w:rsidR="00590A46">
              <w:rPr>
                <w:rFonts w:ascii="Calibri" w:hAnsi="Calibri"/>
                <w:color w:val="auto"/>
                <w:sz w:val="24"/>
              </w:rPr>
              <w:t>+/-</w:t>
            </w:r>
            <w:proofErr w:type="spellStart"/>
            <w:r w:rsidRPr="00C33ACD">
              <w:rPr>
                <w:rFonts w:ascii="Calibri" w:hAnsi="Calibri"/>
                <w:color w:val="auto"/>
                <w:sz w:val="24"/>
              </w:rPr>
              <w:t>Multifibre</w:t>
            </w:r>
            <w:proofErr w:type="spellEnd"/>
            <w:r>
              <w:rPr>
                <w:rFonts w:ascii="Calibri" w:hAnsi="Calibri"/>
                <w:color w:val="auto"/>
                <w:sz w:val="24"/>
              </w:rPr>
              <w:t xml:space="preserve"> overnight via continuous enteral feeding through a </w:t>
            </w:r>
            <w:proofErr w:type="spellStart"/>
            <w:r>
              <w:rPr>
                <w:rFonts w:ascii="Calibri" w:hAnsi="Calibri"/>
                <w:color w:val="auto"/>
                <w:sz w:val="24"/>
              </w:rPr>
              <w:t>jejunal</w:t>
            </w:r>
            <w:proofErr w:type="spellEnd"/>
            <w:r w:rsidR="00590A46">
              <w:rPr>
                <w:rFonts w:ascii="Calibri" w:hAnsi="Calibri"/>
                <w:color w:val="auto"/>
                <w:sz w:val="24"/>
              </w:rPr>
              <w:t>/NJ</w:t>
            </w:r>
            <w:r>
              <w:rPr>
                <w:rFonts w:ascii="Calibri" w:hAnsi="Calibri"/>
                <w:color w:val="auto"/>
                <w:sz w:val="24"/>
              </w:rPr>
              <w:t xml:space="preserve"> feeding tube. </w:t>
            </w:r>
          </w:p>
        </w:tc>
      </w:tr>
      <w:tr w:rsidR="0043038A" w:rsidRPr="0043038A" w:rsidTr="007A6475"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DD647B" w:rsidRPr="0043038A" w:rsidRDefault="00DD647B" w:rsidP="0053194D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Study period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2B7C49" w:rsidRDefault="002B7C49" w:rsidP="002B7C49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Duration of the study for each patient from randomisation to completion of study will be approximately 3 months. </w:t>
            </w:r>
          </w:p>
          <w:p w:rsidR="002B7C49" w:rsidRDefault="002B7C49" w:rsidP="002B7C49">
            <w:pPr>
              <w:rPr>
                <w:rFonts w:asciiTheme="minorHAnsi" w:hAnsiTheme="minorHAnsi" w:cs="Arial"/>
                <w:sz w:val="24"/>
              </w:rPr>
            </w:pPr>
          </w:p>
          <w:p w:rsidR="002B7C49" w:rsidRPr="0043038A" w:rsidRDefault="002B7C49" w:rsidP="002B7C4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It is expected with a multicentre study, recruiting 50-60 patients will take 1 year.  </w:t>
            </w:r>
          </w:p>
          <w:p w:rsidR="00DD647B" w:rsidRPr="0043038A" w:rsidRDefault="00DD647B" w:rsidP="0053194D">
            <w:pPr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43038A" w:rsidRPr="0043038A" w:rsidTr="007A6475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7A6475" w:rsidRPr="0043038A" w:rsidRDefault="007A6475" w:rsidP="00CD2D09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Target dates:</w:t>
            </w:r>
          </w:p>
          <w:p w:rsidR="007A6475" w:rsidRPr="0043038A" w:rsidRDefault="007A6475" w:rsidP="007A6475">
            <w:pPr>
              <w:pStyle w:val="Heading8"/>
              <w:jc w:val="right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Final protocol</w:t>
            </w:r>
          </w:p>
          <w:p w:rsidR="007A6475" w:rsidRPr="0043038A" w:rsidRDefault="007A6475" w:rsidP="007A6475">
            <w:pPr>
              <w:pStyle w:val="Heading8"/>
              <w:jc w:val="right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 xml:space="preserve">First subject </w:t>
            </w:r>
            <w:r w:rsidR="00177D99" w:rsidRPr="0043038A">
              <w:rPr>
                <w:rFonts w:asciiTheme="minorHAnsi" w:hAnsiTheme="minorHAnsi"/>
                <w:sz w:val="24"/>
              </w:rPr>
              <w:lastRenderedPageBreak/>
              <w:t>RECRUITED</w:t>
            </w:r>
          </w:p>
          <w:p w:rsidR="007A6475" w:rsidRPr="0043038A" w:rsidRDefault="007A6475" w:rsidP="007A6475">
            <w:pPr>
              <w:pStyle w:val="Heading8"/>
              <w:jc w:val="right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Final results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475" w:rsidRPr="0043038A" w:rsidRDefault="007A6475" w:rsidP="007A6475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43038A" w:rsidRPr="0043038A" w:rsidTr="007A6475"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7A6475" w:rsidRPr="0043038A" w:rsidRDefault="007A6475" w:rsidP="007A6475">
            <w:pPr>
              <w:pStyle w:val="Heading8"/>
              <w:rPr>
                <w:rFonts w:asciiTheme="minorHAnsi" w:hAnsiTheme="minorHAnsi"/>
                <w:sz w:val="24"/>
              </w:rPr>
            </w:pPr>
          </w:p>
        </w:tc>
        <w:tc>
          <w:tcPr>
            <w:tcW w:w="6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475" w:rsidRDefault="00AD0066" w:rsidP="007A6475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End </w:t>
            </w:r>
            <w:r w:rsidR="002B7C49">
              <w:rPr>
                <w:rFonts w:asciiTheme="minorHAnsi" w:hAnsiTheme="minorHAnsi"/>
                <w:color w:val="auto"/>
                <w:sz w:val="24"/>
              </w:rPr>
              <w:t>May 2015 (and ethics by August 2015)</w:t>
            </w:r>
          </w:p>
          <w:p w:rsidR="002B7C49" w:rsidRPr="0043038A" w:rsidRDefault="002B7C49" w:rsidP="007A6475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September 2015</w:t>
            </w:r>
          </w:p>
        </w:tc>
      </w:tr>
      <w:tr w:rsidR="0043038A" w:rsidRPr="0043038A" w:rsidTr="007A6475"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7A6475" w:rsidRPr="0043038A" w:rsidRDefault="007A6475" w:rsidP="007A6475">
            <w:pPr>
              <w:pStyle w:val="Heading8"/>
              <w:rPr>
                <w:rFonts w:asciiTheme="minorHAnsi" w:hAnsiTheme="minorHAnsi"/>
                <w:sz w:val="24"/>
              </w:rPr>
            </w:pPr>
          </w:p>
        </w:tc>
        <w:tc>
          <w:tcPr>
            <w:tcW w:w="6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475" w:rsidRPr="0043038A" w:rsidRDefault="002B7C49" w:rsidP="007A6475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N=50</w:t>
            </w:r>
            <w:r w:rsidR="00561017">
              <w:rPr>
                <w:rFonts w:asciiTheme="minorHAnsi" w:hAnsiTheme="minorHAnsi"/>
                <w:color w:val="auto"/>
                <w:sz w:val="24"/>
              </w:rPr>
              <w:t>-60</w:t>
            </w:r>
          </w:p>
        </w:tc>
      </w:tr>
      <w:tr w:rsidR="0043038A" w:rsidRPr="0043038A" w:rsidTr="007A6475"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A6475" w:rsidRPr="0043038A" w:rsidRDefault="007A6475" w:rsidP="007A6475">
            <w:pPr>
              <w:pStyle w:val="Heading8"/>
              <w:rPr>
                <w:rFonts w:asciiTheme="minorHAnsi" w:hAnsiTheme="minorHAnsi"/>
                <w:sz w:val="24"/>
              </w:rPr>
            </w:pPr>
          </w:p>
        </w:tc>
        <w:tc>
          <w:tcPr>
            <w:tcW w:w="6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75" w:rsidRPr="0043038A" w:rsidRDefault="002B7C49" w:rsidP="007A6475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September 2016</w:t>
            </w:r>
          </w:p>
        </w:tc>
      </w:tr>
      <w:tr w:rsidR="002B7C49" w:rsidRPr="0043038A" w:rsidTr="002B7C49">
        <w:trPr>
          <w:trHeight w:val="2259"/>
        </w:trPr>
        <w:tc>
          <w:tcPr>
            <w:tcW w:w="2261" w:type="dxa"/>
            <w:tcBorders>
              <w:bottom w:val="single" w:sz="4" w:space="0" w:color="auto"/>
            </w:tcBorders>
            <w:shd w:val="pct15" w:color="auto" w:fill="auto"/>
          </w:tcPr>
          <w:p w:rsidR="002B7C49" w:rsidRPr="0043038A" w:rsidRDefault="002B7C49" w:rsidP="00CD2D09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POWER CALculation</w:t>
            </w:r>
          </w:p>
        </w:tc>
        <w:tc>
          <w:tcPr>
            <w:tcW w:w="6981" w:type="dxa"/>
            <w:tcBorders>
              <w:bottom w:val="single" w:sz="4" w:space="0" w:color="auto"/>
            </w:tcBorders>
          </w:tcPr>
          <w:p w:rsidR="002B7C49" w:rsidRDefault="002B7C49" w:rsidP="005C5C92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For a </w:t>
            </w:r>
            <w:r w:rsidRPr="00561017">
              <w:rPr>
                <w:rFonts w:asciiTheme="minorHAnsi" w:hAnsiTheme="minorHAnsi"/>
                <w:b/>
                <w:color w:val="auto"/>
                <w:sz w:val="24"/>
              </w:rPr>
              <w:t>one-sided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statistical significant (</w:t>
            </w:r>
            <w:r>
              <w:rPr>
                <w:rFonts w:ascii="Calibri" w:hAnsi="Calibri"/>
                <w:color w:val="auto"/>
                <w:sz w:val="24"/>
              </w:rPr>
              <w:t>α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= 0.05 and 80% power) with a 2kg difference between groups (=/- 5.5 SD)</w:t>
            </w:r>
          </w:p>
          <w:p w:rsidR="002B7C49" w:rsidRDefault="002B7C49" w:rsidP="005C5C92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N=47</w:t>
            </w:r>
          </w:p>
          <w:p w:rsidR="00561017" w:rsidRDefault="00561017" w:rsidP="005C5C92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561017" w:rsidRDefault="00561017" w:rsidP="00561017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For a </w:t>
            </w:r>
            <w:r w:rsidRPr="00561017">
              <w:rPr>
                <w:rFonts w:asciiTheme="minorHAnsi" w:hAnsiTheme="minorHAnsi"/>
                <w:b/>
                <w:color w:val="auto"/>
                <w:sz w:val="24"/>
              </w:rPr>
              <w:t>two-sided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statistical significant (</w:t>
            </w:r>
            <w:r>
              <w:rPr>
                <w:rFonts w:ascii="Calibri" w:hAnsi="Calibri"/>
                <w:color w:val="auto"/>
                <w:sz w:val="24"/>
              </w:rPr>
              <w:t>α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= 0.05 and 80% power) with a 2kg difference between groups (=/- 5.5 SD)</w:t>
            </w:r>
          </w:p>
          <w:p w:rsidR="00561017" w:rsidRPr="0043038A" w:rsidRDefault="00561017" w:rsidP="00561017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N=60</w:t>
            </w:r>
          </w:p>
        </w:tc>
      </w:tr>
      <w:tr w:rsidR="002B7C49" w:rsidRPr="0043038A" w:rsidTr="00D5706E"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B7C49" w:rsidRPr="0043038A" w:rsidRDefault="002B7C49" w:rsidP="00CD2D09">
            <w:pPr>
              <w:pStyle w:val="Heading8"/>
              <w:rPr>
                <w:rFonts w:asciiTheme="minorHAnsi" w:hAnsiTheme="minorHAnsi"/>
                <w:sz w:val="24"/>
              </w:rPr>
            </w:pPr>
            <w:r w:rsidRPr="0043038A">
              <w:rPr>
                <w:rFonts w:asciiTheme="minorHAnsi" w:hAnsiTheme="minorHAnsi"/>
                <w:sz w:val="24"/>
              </w:rPr>
              <w:t>Statistical Analysis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</w:tcPr>
          <w:p w:rsidR="002B7C49" w:rsidRDefault="002B7C49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Basic comparison statistics (t-test and ANOVA)</w:t>
            </w:r>
          </w:p>
          <w:p w:rsidR="002B7C49" w:rsidRPr="0043038A" w:rsidRDefault="002B7C49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Correlations (persons rho) </w:t>
            </w:r>
          </w:p>
        </w:tc>
      </w:tr>
      <w:tr w:rsidR="00D5706E" w:rsidRPr="0043038A" w:rsidTr="007A6475">
        <w:tc>
          <w:tcPr>
            <w:tcW w:w="2261" w:type="dxa"/>
            <w:tcBorders>
              <w:top w:val="single" w:sz="4" w:space="0" w:color="auto"/>
            </w:tcBorders>
            <w:shd w:val="pct15" w:color="auto" w:fill="auto"/>
          </w:tcPr>
          <w:p w:rsidR="00D5706E" w:rsidRPr="0043038A" w:rsidRDefault="00D5706E" w:rsidP="00CD2D09">
            <w:pPr>
              <w:pStyle w:val="Heading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SITES AND PRIMARY INVESTIGATORS</w:t>
            </w:r>
          </w:p>
        </w:tc>
        <w:tc>
          <w:tcPr>
            <w:tcW w:w="6981" w:type="dxa"/>
            <w:tcBorders>
              <w:top w:val="single" w:sz="4" w:space="0" w:color="auto"/>
            </w:tcBorders>
          </w:tcPr>
          <w:p w:rsidR="00D5706E" w:rsidRDefault="00D5706E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CHIEF INVESTIGATOR: Dr Sharon Carey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CHIEF INVESTIGATOR: </w:t>
            </w:r>
            <w:r>
              <w:rPr>
                <w:rFonts w:asciiTheme="minorHAnsi" w:hAnsiTheme="minorHAnsi"/>
                <w:color w:val="auto"/>
                <w:sz w:val="24"/>
              </w:rPr>
              <w:t>Dr Charbel Sandroussi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ASSOCIATE INVESTIGATOR: Suzie Ferrie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PRIMARY INVESTIGATOR FOR ROYAL PRINCE ALFRED HOSPITAL: Michelle Harrison</w:t>
            </w:r>
          </w:p>
          <w:p w:rsidR="00D5706E" w:rsidRDefault="00D5706E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PRINCE OF WALES HOSPITAL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: </w:t>
            </w:r>
            <w:r>
              <w:rPr>
                <w:rFonts w:asciiTheme="minorHAnsi" w:hAnsiTheme="minorHAnsi"/>
                <w:color w:val="auto"/>
                <w:sz w:val="24"/>
              </w:rPr>
              <w:t>Suzie Daniels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NEPEAN HOSPITAL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: </w:t>
            </w:r>
            <w:r>
              <w:rPr>
                <w:rFonts w:asciiTheme="minorHAnsi" w:hAnsiTheme="minorHAnsi"/>
                <w:color w:val="auto"/>
                <w:sz w:val="24"/>
              </w:rPr>
              <w:t>Trang Soriano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LIVERPOOL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HOSPITAL: </w:t>
            </w:r>
            <w:r>
              <w:rPr>
                <w:rFonts w:asciiTheme="minorHAnsi" w:hAnsiTheme="minorHAnsi"/>
                <w:color w:val="auto"/>
                <w:sz w:val="24"/>
              </w:rPr>
              <w:t>Ruth Vo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THE MATER 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HOSPITAL: </w:t>
            </w:r>
            <w:r>
              <w:rPr>
                <w:rFonts w:asciiTheme="minorHAnsi" w:hAnsiTheme="minorHAnsi"/>
                <w:color w:val="auto"/>
                <w:sz w:val="24"/>
              </w:rPr>
              <w:t>Jocelyn King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CONCORD REPATRIATION GENERAL HOSPITAL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: </w:t>
            </w:r>
            <w:r>
              <w:rPr>
                <w:rFonts w:asciiTheme="minorHAnsi" w:hAnsiTheme="minorHAnsi"/>
                <w:color w:val="auto"/>
                <w:sz w:val="24"/>
              </w:rPr>
              <w:t>Eleanor Quinn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THE ALFRED 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HOSPITAL: </w:t>
            </w:r>
            <w:r>
              <w:rPr>
                <w:rFonts w:asciiTheme="minorHAnsi" w:hAnsiTheme="minorHAnsi"/>
                <w:color w:val="auto"/>
                <w:sz w:val="24"/>
              </w:rPr>
              <w:t>Lisa Murnane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ST GEORGE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HOSPITAL: </w:t>
            </w:r>
            <w:r>
              <w:rPr>
                <w:rFonts w:asciiTheme="minorHAnsi" w:hAnsiTheme="minorHAnsi"/>
                <w:color w:val="auto"/>
                <w:sz w:val="24"/>
              </w:rPr>
              <w:t>Lauren Reece</w:t>
            </w: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</w:t>
            </w:r>
            <w:r>
              <w:rPr>
                <w:rFonts w:asciiTheme="minorHAnsi" w:hAnsiTheme="minorHAnsi"/>
                <w:color w:val="auto"/>
                <w:sz w:val="24"/>
              </w:rPr>
              <w:t>WESTMEAD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HOSPITAL: </w:t>
            </w:r>
            <w:r>
              <w:rPr>
                <w:rFonts w:asciiTheme="minorHAnsi" w:hAnsiTheme="minorHAnsi"/>
                <w:color w:val="auto"/>
                <w:sz w:val="24"/>
              </w:rPr>
              <w:t>Elizabeth Parker</w:t>
            </w:r>
          </w:p>
          <w:p w:rsidR="00D5706E" w:rsidRDefault="00D5706E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  <w:p w:rsidR="00D5706E" w:rsidRDefault="00D5706E" w:rsidP="00D5706E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PRIMARY INVESTIGATOR FOR ROYAL </w:t>
            </w:r>
            <w:r>
              <w:rPr>
                <w:rFonts w:asciiTheme="minorHAnsi" w:hAnsiTheme="minorHAnsi"/>
                <w:color w:val="auto"/>
                <w:sz w:val="24"/>
              </w:rPr>
              <w:t>NORTH SHORE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HOSPITAL: </w:t>
            </w:r>
            <w:r>
              <w:rPr>
                <w:rFonts w:asciiTheme="minorHAnsi" w:hAnsiTheme="minorHAnsi"/>
                <w:color w:val="auto"/>
                <w:sz w:val="24"/>
              </w:rPr>
              <w:t>Murielle Ryan</w:t>
            </w:r>
          </w:p>
          <w:p w:rsidR="00D5706E" w:rsidRDefault="00D5706E" w:rsidP="00CD2D09">
            <w:pPr>
              <w:pStyle w:val="Reminder"/>
              <w:ind w:left="0"/>
              <w:rPr>
                <w:rFonts w:asciiTheme="minorHAnsi" w:hAnsiTheme="minorHAnsi"/>
                <w:color w:val="auto"/>
                <w:sz w:val="24"/>
              </w:rPr>
            </w:pPr>
          </w:p>
        </w:tc>
      </w:tr>
    </w:tbl>
    <w:p w:rsidR="00947C13" w:rsidRPr="0043038A" w:rsidRDefault="00F05052">
      <w:pPr>
        <w:rPr>
          <w:rFonts w:asciiTheme="minorHAnsi" w:hAnsiTheme="minorHAnsi"/>
          <w:sz w:val="24"/>
        </w:rPr>
      </w:pPr>
      <w:bookmarkStart w:id="0" w:name="_GoBack"/>
      <w:bookmarkEnd w:id="0"/>
    </w:p>
    <w:sectPr w:rsidR="00947C13" w:rsidRPr="004303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6E" w:rsidRDefault="00D5706E" w:rsidP="00D5706E">
      <w:pPr>
        <w:spacing w:line="240" w:lineRule="auto"/>
      </w:pPr>
      <w:r>
        <w:separator/>
      </w:r>
    </w:p>
  </w:endnote>
  <w:endnote w:type="continuationSeparator" w:id="0">
    <w:p w:rsidR="00D5706E" w:rsidRDefault="00D5706E" w:rsidP="00D57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46dcae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6E" w:rsidRPr="005740DB" w:rsidRDefault="00D5706E" w:rsidP="00D5706E">
    <w:pPr>
      <w:pStyle w:val="Footer"/>
      <w:rPr>
        <w:rFonts w:cs="Arial"/>
        <w:szCs w:val="20"/>
      </w:rPr>
    </w:pPr>
    <w:r w:rsidRPr="005740DB">
      <w:rPr>
        <w:rFonts w:cs="Arial"/>
        <w:szCs w:val="20"/>
      </w:rPr>
      <w:t xml:space="preserve">MASTER </w:t>
    </w:r>
    <w:r>
      <w:rPr>
        <w:rFonts w:cs="Arial"/>
        <w:szCs w:val="20"/>
      </w:rPr>
      <w:t>Study Protocol</w:t>
    </w:r>
    <w:r>
      <w:rPr>
        <w:rFonts w:cs="Arial"/>
        <w:szCs w:val="20"/>
      </w:rPr>
      <w:t>, Version 1, 11/05/2015</w:t>
    </w:r>
  </w:p>
  <w:p w:rsidR="00D5706E" w:rsidRPr="005740DB" w:rsidRDefault="00D5706E" w:rsidP="00D5706E">
    <w:pPr>
      <w:pStyle w:val="Footer"/>
      <w:rPr>
        <w:rFonts w:cs="Arial"/>
        <w:szCs w:val="20"/>
      </w:rPr>
    </w:pPr>
    <w:r w:rsidRPr="005740DB">
      <w:rPr>
        <w:rFonts w:cs="Arial"/>
        <w:szCs w:val="20"/>
      </w:rPr>
      <w:t xml:space="preserve">Page </w:t>
    </w:r>
    <w:r w:rsidRPr="005740DB">
      <w:rPr>
        <w:rFonts w:cs="Arial"/>
        <w:szCs w:val="20"/>
      </w:rPr>
      <w:fldChar w:fldCharType="begin"/>
    </w:r>
    <w:r w:rsidRPr="005740DB">
      <w:rPr>
        <w:rFonts w:cs="Arial"/>
        <w:szCs w:val="20"/>
      </w:rPr>
      <w:instrText xml:space="preserve"> PAGE </w:instrText>
    </w:r>
    <w:r w:rsidRPr="005740DB">
      <w:rPr>
        <w:rFonts w:cs="Arial"/>
        <w:szCs w:val="20"/>
      </w:rPr>
      <w:fldChar w:fldCharType="separate"/>
    </w:r>
    <w:r w:rsidR="007541CB">
      <w:rPr>
        <w:rFonts w:cs="Arial"/>
        <w:noProof/>
        <w:szCs w:val="20"/>
      </w:rPr>
      <w:t>3</w:t>
    </w:r>
    <w:r w:rsidRPr="005740DB">
      <w:rPr>
        <w:rFonts w:cs="Arial"/>
        <w:szCs w:val="20"/>
      </w:rPr>
      <w:fldChar w:fldCharType="end"/>
    </w:r>
    <w:r w:rsidRPr="005740DB">
      <w:rPr>
        <w:rFonts w:cs="Arial"/>
        <w:szCs w:val="20"/>
      </w:rPr>
      <w:t xml:space="preserve"> of </w:t>
    </w:r>
    <w:r w:rsidRPr="005740DB">
      <w:rPr>
        <w:rFonts w:cs="Arial"/>
        <w:szCs w:val="20"/>
      </w:rPr>
      <w:fldChar w:fldCharType="begin"/>
    </w:r>
    <w:r w:rsidRPr="005740DB">
      <w:rPr>
        <w:rFonts w:cs="Arial"/>
        <w:szCs w:val="20"/>
      </w:rPr>
      <w:instrText xml:space="preserve"> NUMPAGES </w:instrText>
    </w:r>
    <w:r w:rsidRPr="005740DB">
      <w:rPr>
        <w:rFonts w:cs="Arial"/>
        <w:szCs w:val="20"/>
      </w:rPr>
      <w:fldChar w:fldCharType="separate"/>
    </w:r>
    <w:r w:rsidR="007541CB">
      <w:rPr>
        <w:rFonts w:cs="Arial"/>
        <w:noProof/>
        <w:szCs w:val="20"/>
      </w:rPr>
      <w:t>3</w:t>
    </w:r>
    <w:r w:rsidRPr="005740DB">
      <w:rPr>
        <w:rFonts w:cs="Arial"/>
        <w:szCs w:val="20"/>
      </w:rPr>
      <w:fldChar w:fldCharType="end"/>
    </w:r>
  </w:p>
  <w:p w:rsidR="00D5706E" w:rsidRDefault="00D57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6E" w:rsidRDefault="00D5706E" w:rsidP="00D5706E">
      <w:pPr>
        <w:spacing w:line="240" w:lineRule="auto"/>
      </w:pPr>
      <w:r>
        <w:separator/>
      </w:r>
    </w:p>
  </w:footnote>
  <w:footnote w:type="continuationSeparator" w:id="0">
    <w:p w:rsidR="00D5706E" w:rsidRDefault="00D5706E" w:rsidP="00D57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6E67"/>
    <w:multiLevelType w:val="singleLevel"/>
    <w:tmpl w:val="40A8E302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B"/>
    <w:rsid w:val="000101CA"/>
    <w:rsid w:val="00177D99"/>
    <w:rsid w:val="00227B0B"/>
    <w:rsid w:val="002954C8"/>
    <w:rsid w:val="002955C7"/>
    <w:rsid w:val="002B7C49"/>
    <w:rsid w:val="0043038A"/>
    <w:rsid w:val="005417BA"/>
    <w:rsid w:val="00561017"/>
    <w:rsid w:val="00590A46"/>
    <w:rsid w:val="00623246"/>
    <w:rsid w:val="006E2492"/>
    <w:rsid w:val="007541CB"/>
    <w:rsid w:val="007A6475"/>
    <w:rsid w:val="00AD0066"/>
    <w:rsid w:val="00B94060"/>
    <w:rsid w:val="00BE4831"/>
    <w:rsid w:val="00C05D8A"/>
    <w:rsid w:val="00C1568C"/>
    <w:rsid w:val="00C33ACD"/>
    <w:rsid w:val="00D5706E"/>
    <w:rsid w:val="00DD647B"/>
    <w:rsid w:val="00E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7B"/>
    <w:pPr>
      <w:spacing w:after="0" w:line="264" w:lineRule="auto"/>
    </w:pPr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Heading8">
    <w:name w:val="heading 8"/>
    <w:basedOn w:val="Normal"/>
    <w:next w:val="Normal"/>
    <w:link w:val="Heading8Char"/>
    <w:qFormat/>
    <w:rsid w:val="00DD647B"/>
    <w:pPr>
      <w:outlineLvl w:val="7"/>
    </w:pPr>
    <w:rPr>
      <w:iCs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D647B"/>
    <w:rPr>
      <w:rFonts w:ascii="Arial" w:eastAsia="Times New Roman" w:hAnsi="Arial" w:cs="Times New Roman"/>
      <w:iCs/>
      <w:caps/>
      <w:sz w:val="18"/>
      <w:szCs w:val="24"/>
      <w:lang w:val="en-GB" w:eastAsia="nl-NL"/>
    </w:rPr>
  </w:style>
  <w:style w:type="paragraph" w:customStyle="1" w:styleId="Reminder">
    <w:name w:val="Reminder"/>
    <w:basedOn w:val="Normal"/>
    <w:rsid w:val="00DD647B"/>
    <w:pPr>
      <w:tabs>
        <w:tab w:val="left" w:pos="431"/>
      </w:tabs>
      <w:ind w:left="578"/>
    </w:pPr>
    <w:rPr>
      <w:rFonts w:cs="Arial"/>
      <w:color w:val="FF0000"/>
      <w:sz w:val="16"/>
    </w:rPr>
  </w:style>
  <w:style w:type="paragraph" w:customStyle="1" w:styleId="Pagenr">
    <w:name w:val="Page nr"/>
    <w:basedOn w:val="Normal"/>
    <w:rsid w:val="00DD647B"/>
    <w:pPr>
      <w:widowControl w:val="0"/>
      <w:jc w:val="right"/>
    </w:pPr>
    <w:rPr>
      <w:color w:val="000000"/>
      <w:spacing w:val="-3"/>
      <w:szCs w:val="20"/>
      <w:lang w:eastAsia="en-US"/>
    </w:rPr>
  </w:style>
  <w:style w:type="paragraph" w:styleId="ListBullet">
    <w:name w:val="List Bullet"/>
    <w:basedOn w:val="Normal"/>
    <w:rsid w:val="00DD647B"/>
    <w:pPr>
      <w:widowControl w:val="0"/>
      <w:numPr>
        <w:numId w:val="1"/>
      </w:numPr>
      <w:ind w:left="357" w:right="-113" w:hanging="357"/>
    </w:pPr>
    <w:rPr>
      <w:color w:val="000000"/>
      <w:spacing w:val="-3"/>
      <w:szCs w:val="20"/>
      <w:lang w:eastAsia="en-US"/>
    </w:rPr>
  </w:style>
  <w:style w:type="paragraph" w:customStyle="1" w:styleId="Definitions">
    <w:name w:val="Definitions"/>
    <w:aliases w:val="guidelines"/>
    <w:basedOn w:val="Reminder"/>
    <w:rsid w:val="00DD647B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D570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6E"/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Footer">
    <w:name w:val="footer"/>
    <w:basedOn w:val="Normal"/>
    <w:link w:val="FooterChar"/>
    <w:unhideWhenUsed/>
    <w:rsid w:val="00D570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6E"/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CB"/>
    <w:rPr>
      <w:rFonts w:ascii="Tahoma" w:eastAsia="Times New Roman" w:hAnsi="Tahoma" w:cs="Tahoma"/>
      <w:sz w:val="16"/>
      <w:szCs w:val="16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7B"/>
    <w:pPr>
      <w:spacing w:after="0" w:line="264" w:lineRule="auto"/>
    </w:pPr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Heading8">
    <w:name w:val="heading 8"/>
    <w:basedOn w:val="Normal"/>
    <w:next w:val="Normal"/>
    <w:link w:val="Heading8Char"/>
    <w:qFormat/>
    <w:rsid w:val="00DD647B"/>
    <w:pPr>
      <w:outlineLvl w:val="7"/>
    </w:pPr>
    <w:rPr>
      <w:iCs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D647B"/>
    <w:rPr>
      <w:rFonts w:ascii="Arial" w:eastAsia="Times New Roman" w:hAnsi="Arial" w:cs="Times New Roman"/>
      <w:iCs/>
      <w:caps/>
      <w:sz w:val="18"/>
      <w:szCs w:val="24"/>
      <w:lang w:val="en-GB" w:eastAsia="nl-NL"/>
    </w:rPr>
  </w:style>
  <w:style w:type="paragraph" w:customStyle="1" w:styleId="Reminder">
    <w:name w:val="Reminder"/>
    <w:basedOn w:val="Normal"/>
    <w:rsid w:val="00DD647B"/>
    <w:pPr>
      <w:tabs>
        <w:tab w:val="left" w:pos="431"/>
      </w:tabs>
      <w:ind w:left="578"/>
    </w:pPr>
    <w:rPr>
      <w:rFonts w:cs="Arial"/>
      <w:color w:val="FF0000"/>
      <w:sz w:val="16"/>
    </w:rPr>
  </w:style>
  <w:style w:type="paragraph" w:customStyle="1" w:styleId="Pagenr">
    <w:name w:val="Page nr"/>
    <w:basedOn w:val="Normal"/>
    <w:rsid w:val="00DD647B"/>
    <w:pPr>
      <w:widowControl w:val="0"/>
      <w:jc w:val="right"/>
    </w:pPr>
    <w:rPr>
      <w:color w:val="000000"/>
      <w:spacing w:val="-3"/>
      <w:szCs w:val="20"/>
      <w:lang w:eastAsia="en-US"/>
    </w:rPr>
  </w:style>
  <w:style w:type="paragraph" w:styleId="ListBullet">
    <w:name w:val="List Bullet"/>
    <w:basedOn w:val="Normal"/>
    <w:rsid w:val="00DD647B"/>
    <w:pPr>
      <w:widowControl w:val="0"/>
      <w:numPr>
        <w:numId w:val="1"/>
      </w:numPr>
      <w:ind w:left="357" w:right="-113" w:hanging="357"/>
    </w:pPr>
    <w:rPr>
      <w:color w:val="000000"/>
      <w:spacing w:val="-3"/>
      <w:szCs w:val="20"/>
      <w:lang w:eastAsia="en-US"/>
    </w:rPr>
  </w:style>
  <w:style w:type="paragraph" w:customStyle="1" w:styleId="Definitions">
    <w:name w:val="Definitions"/>
    <w:aliases w:val="guidelines"/>
    <w:basedOn w:val="Reminder"/>
    <w:rsid w:val="00DD647B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D570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6E"/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Footer">
    <w:name w:val="footer"/>
    <w:basedOn w:val="Normal"/>
    <w:link w:val="FooterChar"/>
    <w:unhideWhenUsed/>
    <w:rsid w:val="00D570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6E"/>
    <w:rPr>
      <w:rFonts w:ascii="Arial" w:eastAsia="Times New Roman" w:hAnsi="Arial" w:cs="Times New Roman"/>
      <w:sz w:val="20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CB"/>
    <w:rPr>
      <w:rFonts w:ascii="Tahoma" w:eastAsia="Times New Roman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Katina Loughman</dc:creator>
  <cp:lastModifiedBy>Administrator</cp:lastModifiedBy>
  <cp:revision>13</cp:revision>
  <cp:lastPrinted>2015-05-26T07:04:00Z</cp:lastPrinted>
  <dcterms:created xsi:type="dcterms:W3CDTF">2015-03-09T01:42:00Z</dcterms:created>
  <dcterms:modified xsi:type="dcterms:W3CDTF">2015-05-26T07:06:00Z</dcterms:modified>
</cp:coreProperties>
</file>